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A836B">
      <w:pPr>
        <w:rPr>
          <w:rFonts w:ascii="宋体" w:hAnsi="宋体"/>
          <w:color w:val="FF0000"/>
        </w:rPr>
      </w:pPr>
    </w:p>
    <w:p w14:paraId="479053B9">
      <w:pPr>
        <w:rPr>
          <w:rFonts w:ascii="宋体" w:hAnsi="宋体"/>
        </w:rPr>
      </w:pPr>
    </w:p>
    <w:p w14:paraId="06E8AE5C">
      <w:pPr>
        <w:pStyle w:val="2"/>
        <w:ind w:firstLine="560" w:firstLineChars="200"/>
        <w:jc w:val="both"/>
      </w:pPr>
      <w:bookmarkStart w:id="0" w:name="_Toc29314"/>
      <w:bookmarkStart w:id="1" w:name="_Toc5672"/>
      <w:r>
        <w:rPr>
          <w:rFonts w:hint="eastAsia"/>
        </w:rPr>
        <w:t>ICS</w:t>
      </w:r>
      <w:bookmarkEnd w:id="0"/>
      <w:bookmarkEnd w:id="1"/>
      <w:r>
        <w:rPr>
          <w:rFonts w:hint="eastAsia"/>
        </w:rPr>
        <w:t xml:space="preserve">   </w:t>
      </w:r>
    </w:p>
    <w:p w14:paraId="2775C435">
      <w:pPr>
        <w:spacing w:line="360" w:lineRule="auto"/>
        <w:ind w:firstLine="1606" w:firstLineChars="500"/>
        <w:outlineLvl w:val="0"/>
        <w:rPr>
          <w:rFonts w:eastAsia="黑体"/>
          <w:b/>
          <w:bCs/>
          <w:sz w:val="72"/>
        </w:rPr>
      </w:pPr>
      <w:bookmarkStart w:id="2" w:name="_Toc30162"/>
      <w:bookmarkStart w:id="3" w:name="_Toc29440"/>
      <w:r>
        <w:rPr>
          <w:rFonts w:hint="eastAsia" w:eastAsia="黑体"/>
          <w:b/>
          <w:bCs/>
          <w:sz w:val="32"/>
        </w:rPr>
        <w:t xml:space="preserve">中国建筑业协会团体标准   </w:t>
      </w:r>
      <w:r>
        <w:rPr>
          <w:rFonts w:hint="eastAsia" w:ascii="Arial Black" w:hAnsi="Arial Black" w:eastAsia="黑体"/>
          <w:b/>
          <w:bCs/>
          <w:sz w:val="52"/>
          <w:szCs w:val="52"/>
          <w14:shadow w14:blurRad="50800" w14:dist="38100" w14:dir="2700000" w14:sx="100000" w14:sy="100000" w14:kx="0" w14:ky="0" w14:algn="tl">
            <w14:srgbClr w14:val="000000">
              <w14:alpha w14:val="60000"/>
            </w14:srgbClr>
          </w14:shadow>
        </w:rPr>
        <w:t>团体</w:t>
      </w:r>
      <w:r>
        <w:rPr>
          <w:rFonts w:ascii="Arial Black" w:hAnsi="Arial Black" w:eastAsia="黑体"/>
          <w:b/>
          <w:bCs/>
          <w:sz w:val="52"/>
          <w:szCs w:val="52"/>
          <w14:shadow w14:blurRad="50800" w14:dist="38100" w14:dir="2700000" w14:sx="100000" w14:sy="100000" w14:kx="0" w14:ky="0" w14:algn="tl">
            <w14:srgbClr w14:val="000000">
              <w14:alpha w14:val="60000"/>
            </w14:srgbClr>
          </w14:shadow>
        </w:rPr>
        <w:t>标准</w:t>
      </w:r>
      <w:bookmarkEnd w:id="2"/>
      <w:bookmarkEnd w:id="3"/>
    </w:p>
    <w:p w14:paraId="6BF4F55A">
      <w:pPr>
        <w:spacing w:line="360" w:lineRule="auto"/>
        <w:ind w:firstLine="744" w:firstLineChars="247"/>
        <w:rPr>
          <w:b/>
          <w:bCs/>
          <w:color w:val="000080"/>
          <w:sz w:val="28"/>
        </w:rPr>
      </w:pPr>
      <w:r>
        <w:rPr>
          <w:rFonts w:hint="eastAsia"/>
          <w:b/>
          <w:bCs/>
          <w:sz w:val="30"/>
        </w:rPr>
        <w:t xml:space="preserve">P </w:t>
      </w:r>
      <w:r>
        <w:rPr>
          <w:rFonts w:hint="eastAsia"/>
          <w:b/>
          <w:bCs/>
          <w:sz w:val="28"/>
        </w:rPr>
        <w:t xml:space="preserve">   </w:t>
      </w:r>
      <w:r>
        <w:rPr>
          <w:rFonts w:hint="eastAsia"/>
          <w:sz w:val="28"/>
        </w:rPr>
        <w:t xml:space="preserve">               </w:t>
      </w:r>
      <w:r>
        <w:rPr>
          <w:sz w:val="28"/>
        </w:rPr>
        <w:t xml:space="preserve">    </w:t>
      </w:r>
      <w:r>
        <w:rPr>
          <w:rFonts w:hint="eastAsia"/>
          <w:sz w:val="28"/>
        </w:rPr>
        <w:t xml:space="preserve">    T/CCIAT xxxx</w:t>
      </w:r>
      <w:r>
        <w:rPr>
          <w:rFonts w:hint="eastAsia"/>
          <w:sz w:val="28"/>
          <w:lang w:val="en-GB"/>
        </w:rPr>
        <w:t>—</w:t>
      </w:r>
      <w:r>
        <w:rPr>
          <w:rFonts w:hint="eastAsia"/>
          <w:sz w:val="28"/>
        </w:rPr>
        <w:t xml:space="preserve"> 20xx     </w:t>
      </w:r>
      <w:r>
        <w:rPr>
          <w:rFonts w:hint="eastAsia"/>
          <w:color w:val="000080"/>
          <w:sz w:val="28"/>
        </w:rPr>
        <w:t xml:space="preserve">    </w:t>
      </w:r>
    </w:p>
    <w:p w14:paraId="2F755E34">
      <w:pPr>
        <w:spacing w:line="360" w:lineRule="auto"/>
        <w:rPr>
          <w:b/>
          <w:bCs/>
          <w:color w:val="000080"/>
          <w:sz w:val="44"/>
        </w:rPr>
      </w:pPr>
      <w:r>
        <w:rPr>
          <w:b/>
          <w:bCs/>
          <w:color w:val="000080"/>
          <w:sz w:val="20"/>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99060</wp:posOffset>
                </wp:positionV>
                <wp:extent cx="4686300" cy="0"/>
                <wp:effectExtent l="0" t="7620" r="0" b="8255"/>
                <wp:wrapNone/>
                <wp:docPr id="7" name="直接连接符 7"/>
                <wp:cNvGraphicFramePr/>
                <a:graphic xmlns:a="http://schemas.openxmlformats.org/drawingml/2006/main">
                  <a:graphicData uri="http://schemas.microsoft.com/office/word/2010/wordprocessingShape">
                    <wps:wsp>
                      <wps:cNvCnPr/>
                      <wps:spPr>
                        <a:xfrm>
                          <a:off x="0" y="0"/>
                          <a:ext cx="4686300" cy="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6pt;margin-top:7.8pt;height:0pt;width:369pt;z-index:251663360;mso-width-relative:page;mso-height-relative:page;" filled="f" stroked="t" coordsize="21600,21600" o:gfxdata="UEsDBAoAAAAAAIdO4kAAAAAAAAAAAAAAAAAEAAAAZHJzL1BLAwQUAAAACACHTuJA3Eqj7NYAAAAI&#10;AQAADwAAAGRycy9kb3ducmV2LnhtbE2PzWrDMBCE74W8g9hAb43k0MbBtRxCINBLU/LzAIq1sU2t&#10;lbGUH+fpu6WH5rjfDLMz+eLmWnHBPjSeNCQTBQKp9LahSsNhv36ZgwjRkDWtJ9QwYIBFMXrKTWb9&#10;lbZ42cVKcAiFzGioY+wyKUNZozNh4jsk1k6+dyby2VfS9ubK4a6VU6Vm0pmG+ENtOlzVWH7vzk7D&#10;duU36bJ7/frYxM9Ter8PWFaD1s/jRL2DiHiL/2b4rc/VoeBOR38mG0SrIZ3ylMj8bQaC9XmiGBz/&#10;gCxy+Tig+AFQSwMEFAAAAAgAh07iQCgMLSbuAQAA2QMAAA4AAABkcnMvZTJvRG9jLnhtbK1TzW4T&#10;MRC+I/EOlu9k00KTaJVNDw3lgiAS8AAT25u15D953GzyErwAEjc4ceTO21Aeg7E3TWl7yYE9eMfj&#10;mW/m+zyeX+6sYVsVUXvX8LPRmDPlhJfabRr+6eP1ixlnmMBJMN6phu8V8svF82fzPtTq3HfeSBUZ&#10;gTis+9DwLqVQVxWKTlnAkQ/K0WHro4VE27ipZISe0K2pzsfjSdX7KEP0QiGSdzkc8gNiPAXQt60W&#10;aunFjVUuDahRGUhECTsdkC9Kt22rRHrftqgSMw0npqmsVITsdV6rxRzqTYTQaXFoAU5p4REnC9pR&#10;0SPUEhKwm6ifQFktokffppHwthqIFEWIxdn4kTYfOgiqcCGpMRxFx/8HK95tV5Fp2fApZw4sXfjt&#10;l5+/P3/78+srrbc/vrNpFqkPWFPslVvFww7DKmbGuzba/CcubFeE3R+FVbvEBDlfTWaTl2PSXNyd&#10;VfeJIWJ6o7xl2Wi40S5zhhq2bzFRMQq9C8lu41hPc3sxm14QHtAEtnTzZNpALNBtSjJ6o+W1Nian&#10;YNysr0xkW8hTUL7MiYAfhOUqS8BuiCtHw3x0CuRrJ1naB9LH0bPguQerJGdG0SvKFgFCnUCbUyKp&#10;tHHUQZZ1EDJbay/3Rd/ipxsvPR6mM4/Uv/uSff8iF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Eqj7NYAAAAIAQAADwAAAAAAAAABACAAAAAiAAAAZHJzL2Rvd25yZXYueG1sUEsBAhQAFAAAAAgA&#10;h07iQCgMLSbuAQAA2QMAAA4AAAAAAAAAAQAgAAAAJQEAAGRycy9lMm9Eb2MueG1sUEsFBgAAAAAG&#10;AAYAWQEAAIUFAAAAAA==&#10;">
                <v:fill on="f" focussize="0,0"/>
                <v:stroke weight="1.25pt" color="#000000" joinstyle="round"/>
                <v:imagedata o:title=""/>
                <o:lock v:ext="edit" aspectratio="f"/>
              </v:line>
            </w:pict>
          </mc:Fallback>
        </mc:AlternateContent>
      </w:r>
      <w:r>
        <w:rPr>
          <w:b/>
          <w:bCs/>
          <w:color w:val="000080"/>
          <w:sz w:val="44"/>
        </w:rPr>
        <w:t xml:space="preserve">     </w:t>
      </w:r>
    </w:p>
    <w:p w14:paraId="44ABC8EE">
      <w:pPr>
        <w:spacing w:line="300" w:lineRule="auto"/>
        <w:jc w:val="center"/>
        <w:rPr>
          <w:rFonts w:ascii="宋体"/>
          <w:b/>
          <w:sz w:val="44"/>
        </w:rPr>
      </w:pPr>
    </w:p>
    <w:p w14:paraId="0D483CB6">
      <w:pPr>
        <w:spacing w:line="300" w:lineRule="auto"/>
        <w:jc w:val="center"/>
        <w:rPr>
          <w:rFonts w:ascii="宋体"/>
          <w:b/>
          <w:sz w:val="44"/>
        </w:rPr>
      </w:pPr>
    </w:p>
    <w:p w14:paraId="274DDB53">
      <w:pPr>
        <w:jc w:val="center"/>
        <w:outlineLvl w:val="0"/>
        <w:rPr>
          <w:rFonts w:ascii="黑体" w:eastAsia="黑体"/>
          <w:sz w:val="48"/>
        </w:rPr>
      </w:pPr>
      <w:bookmarkStart w:id="4" w:name="_Toc221"/>
      <w:bookmarkStart w:id="5" w:name="_Toc19407"/>
      <w:r>
        <w:rPr>
          <w:rFonts w:hint="eastAsia" w:ascii="黑体" w:eastAsia="黑体"/>
          <w:sz w:val="48"/>
        </w:rPr>
        <w:t>垃圾填埋场防渗工程技术标准</w:t>
      </w:r>
      <w:bookmarkEnd w:id="4"/>
      <w:bookmarkEnd w:id="5"/>
    </w:p>
    <w:p w14:paraId="70E3C462">
      <w:pPr>
        <w:jc w:val="center"/>
        <w:rPr>
          <w:rFonts w:eastAsia="黑体"/>
          <w:sz w:val="28"/>
        </w:rPr>
      </w:pPr>
      <w:r>
        <w:rPr>
          <w:rFonts w:hint="eastAsia" w:eastAsia="黑体"/>
          <w:sz w:val="28"/>
        </w:rPr>
        <w:t>Technical standard for anti-seepage</w:t>
      </w:r>
    </w:p>
    <w:p w14:paraId="6CF1DD82">
      <w:pPr>
        <w:jc w:val="center"/>
        <w:rPr>
          <w:rFonts w:eastAsia="黑体"/>
          <w:sz w:val="28"/>
        </w:rPr>
      </w:pPr>
      <w:r>
        <w:rPr>
          <w:rFonts w:hint="eastAsia" w:eastAsia="黑体"/>
          <w:sz w:val="28"/>
        </w:rPr>
        <w:t xml:space="preserve"> engineering of landfill sites</w:t>
      </w:r>
    </w:p>
    <w:p w14:paraId="15CBB273">
      <w:pPr>
        <w:jc w:val="center"/>
        <w:rPr>
          <w:rFonts w:eastAsia="黑体"/>
          <w:sz w:val="28"/>
        </w:rPr>
      </w:pPr>
      <w:r>
        <w:rPr>
          <w:rFonts w:hint="eastAsia" w:eastAsia="黑体"/>
          <w:sz w:val="28"/>
        </w:rPr>
        <w:t>（征求意见稿）</w:t>
      </w:r>
    </w:p>
    <w:p w14:paraId="4289A0BF">
      <w:pPr>
        <w:spacing w:line="360" w:lineRule="auto"/>
        <w:jc w:val="center"/>
        <w:rPr>
          <w:b/>
          <w:bCs/>
          <w:color w:val="000080"/>
          <w:sz w:val="24"/>
        </w:rPr>
      </w:pPr>
    </w:p>
    <w:p w14:paraId="34E8975B">
      <w:pPr>
        <w:spacing w:line="360" w:lineRule="auto"/>
        <w:rPr>
          <w:b/>
          <w:bCs/>
          <w:color w:val="000080"/>
          <w:sz w:val="24"/>
        </w:rPr>
      </w:pPr>
      <w:r>
        <w:rPr>
          <w:rFonts w:hint="eastAsia"/>
          <w:b/>
          <w:bCs/>
          <w:color w:val="000080"/>
          <w:sz w:val="24"/>
        </w:rPr>
        <w:t xml:space="preserve">                </w:t>
      </w:r>
    </w:p>
    <w:p w14:paraId="5A033AF9">
      <w:pPr>
        <w:spacing w:line="360" w:lineRule="auto"/>
        <w:ind w:firstLine="3123" w:firstLineChars="1296"/>
        <w:rPr>
          <w:b/>
          <w:bCs/>
          <w:color w:val="000080"/>
          <w:sz w:val="24"/>
        </w:rPr>
      </w:pPr>
    </w:p>
    <w:p w14:paraId="48FA5625">
      <w:pPr>
        <w:spacing w:line="360" w:lineRule="auto"/>
        <w:ind w:firstLine="3123" w:firstLineChars="1296"/>
        <w:rPr>
          <w:b/>
          <w:bCs/>
          <w:color w:val="000080"/>
          <w:sz w:val="24"/>
        </w:rPr>
      </w:pPr>
    </w:p>
    <w:p w14:paraId="46C7B4AA">
      <w:pPr>
        <w:spacing w:line="360" w:lineRule="auto"/>
        <w:ind w:firstLine="3123" w:firstLineChars="1296"/>
        <w:rPr>
          <w:b/>
          <w:bCs/>
          <w:color w:val="000080"/>
          <w:sz w:val="24"/>
        </w:rPr>
      </w:pPr>
    </w:p>
    <w:p w14:paraId="766AB4D2">
      <w:pPr>
        <w:spacing w:line="360" w:lineRule="auto"/>
        <w:ind w:firstLine="3123" w:firstLineChars="1296"/>
        <w:rPr>
          <w:b/>
          <w:bCs/>
          <w:color w:val="000080"/>
          <w:sz w:val="24"/>
        </w:rPr>
      </w:pPr>
    </w:p>
    <w:p w14:paraId="76A7DF09">
      <w:pPr>
        <w:spacing w:line="360" w:lineRule="auto"/>
        <w:ind w:firstLine="3123" w:firstLineChars="1296"/>
        <w:rPr>
          <w:b/>
          <w:bCs/>
          <w:color w:val="000080"/>
          <w:sz w:val="24"/>
        </w:rPr>
      </w:pPr>
    </w:p>
    <w:p w14:paraId="21245B20">
      <w:pPr>
        <w:spacing w:line="360" w:lineRule="auto"/>
        <w:ind w:firstLine="3123" w:firstLineChars="1296"/>
        <w:rPr>
          <w:b/>
          <w:bCs/>
          <w:color w:val="000080"/>
          <w:sz w:val="24"/>
        </w:rPr>
      </w:pPr>
    </w:p>
    <w:p w14:paraId="0AC8A209">
      <w:pPr>
        <w:spacing w:line="360" w:lineRule="auto"/>
        <w:ind w:firstLine="3123" w:firstLineChars="1296"/>
        <w:rPr>
          <w:b/>
          <w:bCs/>
          <w:color w:val="000080"/>
          <w:sz w:val="24"/>
        </w:rPr>
      </w:pPr>
    </w:p>
    <w:p w14:paraId="4DFCEAB7">
      <w:pPr>
        <w:spacing w:line="360" w:lineRule="auto"/>
        <w:ind w:firstLine="3123" w:firstLineChars="1296"/>
        <w:rPr>
          <w:b/>
          <w:bCs/>
          <w:color w:val="000080"/>
          <w:sz w:val="24"/>
        </w:rPr>
      </w:pPr>
    </w:p>
    <w:p w14:paraId="7AC55833">
      <w:pPr>
        <w:spacing w:line="360" w:lineRule="auto"/>
        <w:ind w:firstLine="3123" w:firstLineChars="1296"/>
        <w:rPr>
          <w:b/>
          <w:bCs/>
          <w:sz w:val="24"/>
        </w:rPr>
      </w:pPr>
    </w:p>
    <w:p w14:paraId="7FD5A80A">
      <w:pPr>
        <w:spacing w:line="240" w:lineRule="atLeast"/>
        <w:ind w:firstLine="967" w:firstLineChars="344"/>
        <w:rPr>
          <w:b/>
          <w:bCs/>
          <w:sz w:val="28"/>
        </w:rPr>
      </w:pPr>
      <w:r>
        <w:rPr>
          <w:rFonts w:hint="eastAsia" w:ascii="黑体"/>
          <w:b/>
          <w:bCs/>
          <w:sz w:val="28"/>
        </w:rPr>
        <w:t>20xx— xx—xx 发布　　　20xx—xx —xx  实施</w:t>
      </w:r>
    </w:p>
    <w:p w14:paraId="429C903A">
      <w:pPr>
        <w:spacing w:line="360" w:lineRule="auto"/>
        <w:ind w:firstLine="2602" w:firstLineChars="1296"/>
        <w:rPr>
          <w:b/>
          <w:bCs/>
          <w:sz w:val="24"/>
        </w:rPr>
      </w:pPr>
      <w:r>
        <w:rPr>
          <w:b/>
          <w:bCs/>
          <w:sz w:val="20"/>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99060</wp:posOffset>
                </wp:positionV>
                <wp:extent cx="480060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7pt;margin-top:7.8pt;height:0pt;width:378pt;z-index:251664384;mso-width-relative:page;mso-height-relative:page;" filled="f" stroked="t" coordsize="21600,21600" o:gfxdata="UEsDBAoAAAAAAIdO4kAAAAAAAAAAAAAAAAAEAAAAZHJzL1BLAwQUAAAACACHTuJAuE05LNUAAAAI&#10;AQAADwAAAGRycy9kb3ducmV2LnhtbE2PzU7DMBCE70i8g7VIXKrWTqFVFeL0AOTGhQLqdRsvSUS8&#10;TmP3B56eRRzguN+MZmeK9dn36khj7AJbyGYGFHEdXMeNhdeXaroCFROywz4wWfikCOvy8qLA3IUT&#10;P9NxkxolIRxztNCmNORax7olj3EWBmLR3sPoMck5NtqNeJJw3+u5MUvtsWP50OJA9y3VH5uDtxCr&#10;N9pXX5N6YrY3TaD5/uHpEa29vsrMHahE5/Rnhp/6Uh1K6bQLB3ZR9RYWtzIlCV8sQYm+yoyA3S/Q&#10;ZaH/Dyi/AVBLAwQUAAAACACHTuJAIJPrtuwBAADaAwAADgAAAGRycy9lMm9Eb2MueG1srVPNbhMx&#10;EL4j8Q6W72S3EUVllU0PDeWCIBLwABPbu2vJf/K42eQleAEkbnDiyJ23oX0Mxt40hXLJgT14x56Z&#10;b+b7PF5c7qxhWxVRe9fys1nNmXLCS+36ln/8cP3sgjNM4CQY71TL9wr55fLpk8UYGjX3gzdSRUYg&#10;DpsxtHxIKTRVhWJQFnDmg3Lk7Hy0kGgb+0pGGAndmmpe1y+q0UcZohcKkU5Xk5MfEOMpgL7rtFAr&#10;L26scmlCjcpAIko46IB8WbrtOiXSu65DlZhpOTFNZaUiZG/yWi0X0PQRwqDFoQU4pYVHnCxoR0WP&#10;UCtIwG6i/gfKahE9+i7NhLfVRKQoQizO6kfavB8gqMKFpMZwFB3/H6x4u11HpiVNAkniwNKN337+&#10;8evT17ufX2i9/f6NkYdkGgM2FH3l1vGww7COmfOuizb/iQ3bFWn3R2nVLjFBh88v6OprKiHufdVD&#10;YoiYXitvWTZabrTLrKGB7RtMVIxC70PysXFsbPnL8/k5wQGNYEdXT6YNRANdX3LRGy2vtTE5A2O/&#10;uTKRbSGPQfkyJcL9KywXWQEOU1xxTQMyKJCvnGRpH0gfR++C5xaskpwZRc8oWwQITQJtTomk0sZR&#10;B1nVScdsbbzcF3nLOV156fEwnnmm/tyX7Icnu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E05&#10;LNUAAAAIAQAADwAAAAAAAAABACAAAAAiAAAAZHJzL2Rvd25yZXYueG1sUEsBAhQAFAAAAAgAh07i&#10;QCCT67bsAQAA2gMAAA4AAAAAAAAAAQAgAAAAJAEAAGRycy9lMm9Eb2MueG1sUEsFBgAAAAAGAAYA&#10;WQEAAIIFAAAAAA==&#10;">
                <v:fill on="f" focussize="0,0"/>
                <v:stroke color="#000000" joinstyle="round"/>
                <v:imagedata o:title=""/>
                <o:lock v:ext="edit" aspectratio="f"/>
              </v:line>
            </w:pict>
          </mc:Fallback>
        </mc:AlternateContent>
      </w:r>
    </w:p>
    <w:p w14:paraId="0B55E002">
      <w:pPr>
        <w:spacing w:line="360" w:lineRule="auto"/>
        <w:ind w:firstLine="2331" w:firstLineChars="645"/>
        <w:rPr>
          <w:b/>
          <w:bCs/>
          <w:sz w:val="36"/>
        </w:rPr>
      </w:pPr>
      <w:r>
        <w:rPr>
          <w:rFonts w:hint="eastAsia"/>
          <w:b/>
          <w:bCs/>
          <w:sz w:val="36"/>
        </w:rPr>
        <w:t>中国建筑业协会   发布</w:t>
      </w:r>
    </w:p>
    <w:p w14:paraId="787F6585">
      <w:pPr>
        <w:rPr>
          <w:rFonts w:ascii="宋体" w:hAnsi="宋体" w:eastAsia="方正书宋简体"/>
          <w:sz w:val="28"/>
        </w:rPr>
      </w:pPr>
    </w:p>
    <w:p w14:paraId="4A669361">
      <w:pPr>
        <w:jc w:val="center"/>
        <w:rPr>
          <w:rFonts w:eastAsia="仿宋_GB2312"/>
          <w:color w:val="000000"/>
          <w:sz w:val="36"/>
          <w:szCs w:val="20"/>
        </w:rPr>
      </w:pPr>
    </w:p>
    <w:p w14:paraId="5C30D803">
      <w:pPr>
        <w:jc w:val="center"/>
        <w:rPr>
          <w:rFonts w:eastAsia="仿宋_GB2312"/>
          <w:color w:val="000000"/>
          <w:sz w:val="36"/>
          <w:szCs w:val="20"/>
        </w:rPr>
      </w:pPr>
    </w:p>
    <w:p w14:paraId="58DBDAE2">
      <w:pPr>
        <w:jc w:val="center"/>
        <w:rPr>
          <w:rFonts w:eastAsia="仿宋_GB2312"/>
          <w:color w:val="000000"/>
          <w:sz w:val="36"/>
          <w:szCs w:val="20"/>
        </w:rPr>
      </w:pPr>
    </w:p>
    <w:p w14:paraId="0568EA3F">
      <w:pPr>
        <w:jc w:val="center"/>
        <w:outlineLvl w:val="0"/>
        <w:rPr>
          <w:color w:val="000000"/>
          <w:sz w:val="36"/>
          <w:szCs w:val="20"/>
        </w:rPr>
      </w:pPr>
      <w:bookmarkStart w:id="6" w:name="_Toc7611"/>
      <w:bookmarkStart w:id="7" w:name="_Toc1231"/>
      <w:r>
        <w:rPr>
          <w:rFonts w:hint="eastAsia"/>
          <w:color w:val="000000"/>
          <w:sz w:val="36"/>
        </w:rPr>
        <w:t>中国建筑业协会团体标准</w:t>
      </w:r>
      <w:bookmarkEnd w:id="6"/>
      <w:bookmarkEnd w:id="7"/>
    </w:p>
    <w:p w14:paraId="24EF13B5">
      <w:pPr>
        <w:jc w:val="center"/>
        <w:rPr>
          <w:rFonts w:eastAsia="仿宋_GB2312"/>
          <w:color w:val="000000"/>
          <w:sz w:val="36"/>
          <w:szCs w:val="20"/>
        </w:rPr>
      </w:pPr>
    </w:p>
    <w:p w14:paraId="02D3CFAA">
      <w:pPr>
        <w:jc w:val="center"/>
        <w:outlineLvl w:val="0"/>
        <w:rPr>
          <w:rFonts w:ascii="黑体" w:eastAsia="黑体"/>
          <w:sz w:val="48"/>
        </w:rPr>
      </w:pPr>
      <w:bookmarkStart w:id="8" w:name="_Toc6963"/>
      <w:bookmarkStart w:id="9" w:name="_Toc22096"/>
      <w:r>
        <w:rPr>
          <w:rFonts w:hint="eastAsia" w:ascii="黑体" w:eastAsia="黑体"/>
          <w:sz w:val="48"/>
        </w:rPr>
        <w:t>垃圾填埋场防渗工程技术标准</w:t>
      </w:r>
      <w:bookmarkEnd w:id="8"/>
      <w:bookmarkEnd w:id="9"/>
    </w:p>
    <w:p w14:paraId="12D2561F">
      <w:pPr>
        <w:jc w:val="center"/>
        <w:rPr>
          <w:rFonts w:eastAsia="黑体"/>
          <w:sz w:val="28"/>
        </w:rPr>
      </w:pPr>
      <w:r>
        <w:rPr>
          <w:rFonts w:hint="eastAsia" w:eastAsia="黑体"/>
          <w:sz w:val="28"/>
        </w:rPr>
        <w:t>Technical standard for anti-seepage</w:t>
      </w:r>
    </w:p>
    <w:p w14:paraId="2A3EA0EF">
      <w:pPr>
        <w:jc w:val="center"/>
        <w:rPr>
          <w:rFonts w:eastAsia="仿宋_GB2312"/>
          <w:color w:val="000000"/>
          <w:sz w:val="36"/>
          <w:szCs w:val="20"/>
        </w:rPr>
      </w:pPr>
      <w:r>
        <w:rPr>
          <w:rFonts w:hint="eastAsia" w:eastAsia="黑体"/>
          <w:sz w:val="28"/>
        </w:rPr>
        <w:t xml:space="preserve"> engineering of landfill sites</w:t>
      </w:r>
    </w:p>
    <w:p w14:paraId="3FB0A7BF">
      <w:pPr>
        <w:jc w:val="center"/>
        <w:rPr>
          <w:rFonts w:eastAsia="仿宋_GB2312"/>
          <w:color w:val="000000"/>
          <w:sz w:val="30"/>
          <w:szCs w:val="20"/>
        </w:rPr>
      </w:pPr>
      <w:r>
        <w:rPr>
          <w:rFonts w:hint="eastAsia"/>
          <w:sz w:val="28"/>
        </w:rPr>
        <w:t>T/CCIAT xxxx</w:t>
      </w:r>
      <w:r>
        <w:rPr>
          <w:rFonts w:hint="eastAsia"/>
          <w:sz w:val="28"/>
          <w:lang w:val="en-GB"/>
        </w:rPr>
        <w:t>—</w:t>
      </w:r>
      <w:r>
        <w:rPr>
          <w:rFonts w:hint="eastAsia"/>
          <w:sz w:val="28"/>
        </w:rPr>
        <w:t xml:space="preserve"> 20xx</w:t>
      </w:r>
    </w:p>
    <w:p w14:paraId="772029B1">
      <w:pPr>
        <w:jc w:val="center"/>
        <w:rPr>
          <w:rFonts w:eastAsia="仿宋_GB2312"/>
          <w:color w:val="000000"/>
          <w:sz w:val="36"/>
          <w:szCs w:val="20"/>
        </w:rPr>
      </w:pPr>
    </w:p>
    <w:p w14:paraId="27EC6D4E">
      <w:pPr>
        <w:jc w:val="center"/>
        <w:rPr>
          <w:rFonts w:eastAsia="仿宋_GB2312"/>
          <w:color w:val="000000"/>
          <w:sz w:val="28"/>
          <w:szCs w:val="20"/>
        </w:rPr>
      </w:pPr>
      <w:r>
        <w:rPr>
          <w:rFonts w:hint="eastAsia" w:eastAsia="仿宋_GB2312"/>
          <w:color w:val="000000"/>
          <w:sz w:val="28"/>
        </w:rPr>
        <w:t>批准部门：中国建筑业协会</w:t>
      </w:r>
    </w:p>
    <w:p w14:paraId="342A0282">
      <w:pPr>
        <w:jc w:val="center"/>
        <w:rPr>
          <w:rFonts w:eastAsia="仿宋_GB2312"/>
          <w:color w:val="000000"/>
          <w:sz w:val="28"/>
          <w:szCs w:val="20"/>
        </w:rPr>
      </w:pPr>
      <w:r>
        <w:rPr>
          <w:rFonts w:hint="eastAsia" w:eastAsia="仿宋_GB2312"/>
          <w:color w:val="000000"/>
          <w:sz w:val="28"/>
        </w:rPr>
        <w:t>施行日期：20xx年xx月xx日</w:t>
      </w:r>
    </w:p>
    <w:p w14:paraId="4AAEFF68">
      <w:pPr>
        <w:jc w:val="center"/>
        <w:rPr>
          <w:rFonts w:eastAsia="仿宋_GB2312"/>
          <w:color w:val="000000"/>
          <w:sz w:val="36"/>
          <w:szCs w:val="20"/>
        </w:rPr>
      </w:pPr>
    </w:p>
    <w:p w14:paraId="36890BE1">
      <w:pPr>
        <w:jc w:val="center"/>
        <w:rPr>
          <w:rFonts w:eastAsia="仿宋_GB2312"/>
          <w:color w:val="000000"/>
          <w:sz w:val="36"/>
          <w:szCs w:val="20"/>
        </w:rPr>
      </w:pPr>
    </w:p>
    <w:p w14:paraId="42997B13">
      <w:pPr>
        <w:jc w:val="center"/>
        <w:rPr>
          <w:rFonts w:eastAsia="仿宋_GB2312"/>
          <w:color w:val="000000"/>
          <w:sz w:val="36"/>
          <w:szCs w:val="20"/>
        </w:rPr>
      </w:pPr>
    </w:p>
    <w:p w14:paraId="1513548F">
      <w:pPr>
        <w:jc w:val="center"/>
        <w:rPr>
          <w:rFonts w:eastAsia="仿宋_GB2312"/>
          <w:color w:val="000000"/>
          <w:sz w:val="36"/>
          <w:szCs w:val="20"/>
        </w:rPr>
      </w:pPr>
    </w:p>
    <w:p w14:paraId="219F9E75">
      <w:pPr>
        <w:jc w:val="center"/>
        <w:rPr>
          <w:rFonts w:eastAsia="仿宋_GB2312"/>
          <w:color w:val="000000"/>
          <w:sz w:val="36"/>
          <w:szCs w:val="20"/>
        </w:rPr>
      </w:pPr>
    </w:p>
    <w:p w14:paraId="038EC44D">
      <w:pPr>
        <w:jc w:val="center"/>
        <w:rPr>
          <w:rFonts w:eastAsia="仿宋_GB2312"/>
          <w:color w:val="000000"/>
          <w:sz w:val="30"/>
          <w:szCs w:val="20"/>
        </w:rPr>
      </w:pPr>
      <w:r>
        <w:rPr>
          <w:rFonts w:hint="eastAsia" w:eastAsia="仿宋_GB2312"/>
          <w:color w:val="000000"/>
          <w:sz w:val="30"/>
        </w:rPr>
        <w:t>中国建筑工业出版社</w:t>
      </w:r>
    </w:p>
    <w:p w14:paraId="170D70A1">
      <w:pPr>
        <w:jc w:val="center"/>
        <w:rPr>
          <w:rFonts w:eastAsia="仿宋_GB2312"/>
          <w:color w:val="000000"/>
          <w:sz w:val="30"/>
        </w:rPr>
      </w:pPr>
      <w:r>
        <w:rPr>
          <w:rFonts w:eastAsia="仿宋_GB2312"/>
          <w:color w:val="000000"/>
          <w:sz w:val="30"/>
        </w:rPr>
        <w:t>20</w:t>
      </w:r>
      <w:r>
        <w:rPr>
          <w:rFonts w:hint="eastAsia" w:eastAsia="仿宋_GB2312"/>
          <w:color w:val="000000"/>
          <w:sz w:val="30"/>
        </w:rPr>
        <w:t>xx</w:t>
      </w:r>
      <w:r>
        <w:rPr>
          <w:rFonts w:eastAsia="仿宋_GB2312"/>
          <w:color w:val="000000"/>
          <w:sz w:val="30"/>
        </w:rPr>
        <w:t xml:space="preserve">  </w:t>
      </w:r>
      <w:r>
        <w:rPr>
          <w:rFonts w:hint="eastAsia" w:eastAsia="仿宋_GB2312"/>
          <w:color w:val="000000"/>
          <w:sz w:val="30"/>
        </w:rPr>
        <w:t>北京</w:t>
      </w:r>
    </w:p>
    <w:p w14:paraId="79A67BDE">
      <w:pPr>
        <w:jc w:val="center"/>
        <w:rPr>
          <w:rFonts w:eastAsia="黑体"/>
          <w:sz w:val="36"/>
        </w:rPr>
      </w:pPr>
    </w:p>
    <w:p w14:paraId="02EAFA60">
      <w:pPr>
        <w:jc w:val="center"/>
        <w:rPr>
          <w:rFonts w:eastAsia="黑体"/>
          <w:sz w:val="36"/>
        </w:rPr>
      </w:pPr>
    </w:p>
    <w:p w14:paraId="0B93D8C5">
      <w:pPr>
        <w:jc w:val="center"/>
        <w:outlineLvl w:val="0"/>
        <w:rPr>
          <w:rFonts w:eastAsia="黑体"/>
          <w:sz w:val="36"/>
        </w:rPr>
      </w:pPr>
      <w:bookmarkStart w:id="10" w:name="_Toc12496"/>
      <w:bookmarkStart w:id="11" w:name="_Toc25462"/>
      <w:r>
        <w:rPr>
          <w:rFonts w:hint="eastAsia" w:eastAsia="黑体"/>
          <w:sz w:val="36"/>
        </w:rPr>
        <w:t>前  言</w:t>
      </w:r>
      <w:bookmarkEnd w:id="10"/>
      <w:bookmarkEnd w:id="11"/>
    </w:p>
    <w:p w14:paraId="41EFB145">
      <w:pPr>
        <w:spacing w:line="360" w:lineRule="auto"/>
        <w:ind w:firstLine="435"/>
        <w:rPr>
          <w:rFonts w:ascii="宋体" w:hAnsi="宋体"/>
          <w:sz w:val="24"/>
        </w:rPr>
      </w:pPr>
      <w:r>
        <w:rPr>
          <w:rFonts w:hint="eastAsia" w:ascii="宋体" w:hAnsi="宋体"/>
          <w:sz w:val="24"/>
        </w:rPr>
        <w:t>根据中国建筑业协会《关于开展第五批团体标准编制工作的通知》（建协函〔2021〕59号）的要求，标准编制组经广泛调查研究，认真总结实践经验，参考有关国际标准和国外先进标准，并在广泛征求意见的基础上，制定（修订）本标准（规范、规程）。</w:t>
      </w:r>
    </w:p>
    <w:p w14:paraId="23707B47">
      <w:pPr>
        <w:spacing w:line="360" w:lineRule="auto"/>
        <w:ind w:firstLine="420"/>
        <w:rPr>
          <w:rFonts w:ascii="宋体" w:hAnsi="宋体"/>
          <w:sz w:val="24"/>
        </w:rPr>
      </w:pPr>
      <w:r>
        <w:rPr>
          <w:rFonts w:hint="eastAsia" w:ascii="宋体" w:hAnsi="宋体"/>
          <w:sz w:val="24"/>
        </w:rPr>
        <w:t>本标准（规范、规程）的主要技术内容是： 1．总则；2．术语；3．防渗系统工程材料；4.防渗系统工程设计；5.防渗系统工程施工；6.防渗系统工程验收及维护。</w:t>
      </w:r>
    </w:p>
    <w:p w14:paraId="2D360778">
      <w:pPr>
        <w:spacing w:line="360" w:lineRule="auto"/>
        <w:ind w:firstLine="420"/>
        <w:rPr>
          <w:rFonts w:ascii="宋体" w:hAnsi="宋体"/>
          <w:sz w:val="24"/>
        </w:rPr>
      </w:pPr>
      <w:r>
        <w:rPr>
          <w:rFonts w:hint="eastAsia" w:ascii="宋体" w:hAnsi="宋体"/>
          <w:sz w:val="24"/>
        </w:rPr>
        <w:t>本标准（规范、规程）由中国建筑业协会负责管理，由中国建筑业协会建筑防水分会(主编单位)负责具体技术内容的解释。请各单位在执行过程中，总结实践经验，积累资料，随时将有关意见和建议反馈给中国建筑业协会建筑防水分会（地址：北京市西城区德胜门外大街36号A座4层</w:t>
      </w:r>
      <w:r>
        <w:rPr>
          <w:rFonts w:ascii="宋体" w:hAnsi="宋体"/>
          <w:sz w:val="24"/>
        </w:rPr>
        <w:t>；</w:t>
      </w:r>
      <w:r>
        <w:rPr>
          <w:rFonts w:hint="eastAsia" w:ascii="宋体" w:hAnsi="宋体"/>
          <w:sz w:val="24"/>
        </w:rPr>
        <w:t>邮政编码：100120）</w:t>
      </w:r>
    </w:p>
    <w:p w14:paraId="0CC954AC">
      <w:pPr>
        <w:spacing w:line="360" w:lineRule="auto"/>
        <w:ind w:firstLine="420"/>
        <w:rPr>
          <w:rFonts w:ascii="宋体" w:hAnsi="宋体"/>
          <w:sz w:val="24"/>
        </w:rPr>
      </w:pPr>
    </w:p>
    <w:p w14:paraId="22C2084D">
      <w:pPr>
        <w:spacing w:line="360" w:lineRule="auto"/>
        <w:ind w:firstLine="420"/>
        <w:rPr>
          <w:rFonts w:ascii="宋体" w:hAnsi="宋体"/>
          <w:sz w:val="24"/>
        </w:rPr>
      </w:pPr>
      <w:r>
        <w:rPr>
          <w:rFonts w:hint="eastAsia" w:ascii="宋体" w:hAnsi="宋体"/>
          <w:sz w:val="24"/>
        </w:rPr>
        <w:t>本标准主编单位：×××</w:t>
      </w:r>
    </w:p>
    <w:p w14:paraId="08C54632">
      <w:pPr>
        <w:spacing w:line="360" w:lineRule="auto"/>
        <w:ind w:firstLine="420"/>
        <w:outlineLvl w:val="0"/>
        <w:rPr>
          <w:rFonts w:ascii="宋体" w:hAnsi="宋体"/>
          <w:sz w:val="24"/>
        </w:rPr>
      </w:pPr>
      <w:bookmarkStart w:id="12" w:name="_Toc20174"/>
      <w:bookmarkStart w:id="13" w:name="_Toc10756"/>
      <w:r>
        <w:rPr>
          <w:rFonts w:hint="eastAsia" w:ascii="宋体" w:hAnsi="宋体"/>
          <w:sz w:val="24"/>
        </w:rPr>
        <w:t>本标准参编单位：×××、×××</w:t>
      </w:r>
      <w:bookmarkEnd w:id="12"/>
      <w:bookmarkEnd w:id="13"/>
    </w:p>
    <w:p w14:paraId="1322A5F0">
      <w:pPr>
        <w:spacing w:line="360" w:lineRule="auto"/>
        <w:ind w:firstLine="420"/>
        <w:rPr>
          <w:rFonts w:ascii="宋体" w:hAnsi="宋体"/>
          <w:sz w:val="24"/>
        </w:rPr>
      </w:pPr>
      <w:r>
        <w:rPr>
          <w:rFonts w:hint="eastAsia" w:ascii="宋体" w:hAnsi="宋体"/>
          <w:sz w:val="24"/>
        </w:rPr>
        <w:t>本标准主要起草人员：×××、×××</w:t>
      </w:r>
    </w:p>
    <w:p w14:paraId="33449D63">
      <w:pPr>
        <w:spacing w:line="360" w:lineRule="auto"/>
        <w:ind w:firstLine="420"/>
        <w:rPr>
          <w:rFonts w:ascii="宋体" w:hAnsi="宋体"/>
          <w:sz w:val="24"/>
        </w:rPr>
      </w:pPr>
      <w:r>
        <w:rPr>
          <w:rFonts w:hint="eastAsia" w:ascii="宋体" w:hAnsi="宋体"/>
          <w:sz w:val="24"/>
        </w:rPr>
        <w:t>本标准主要审查人员：×××、×××</w:t>
      </w:r>
    </w:p>
    <w:p w14:paraId="6A56B774">
      <w:pPr>
        <w:spacing w:line="360" w:lineRule="auto"/>
        <w:jc w:val="center"/>
        <w:rPr>
          <w:rFonts w:ascii="宋体" w:hAnsi="宋体"/>
          <w:sz w:val="24"/>
        </w:rPr>
      </w:pPr>
    </w:p>
    <w:p w14:paraId="1BC8CAD7">
      <w:pPr>
        <w:spacing w:line="360" w:lineRule="auto"/>
        <w:jc w:val="center"/>
        <w:rPr>
          <w:rFonts w:ascii="宋体" w:hAnsi="宋体"/>
          <w:sz w:val="24"/>
        </w:rPr>
      </w:pPr>
    </w:p>
    <w:p w14:paraId="011A4A97">
      <w:pPr>
        <w:jc w:val="center"/>
        <w:rPr>
          <w:rFonts w:ascii="宋体" w:hAnsi="宋体"/>
        </w:rPr>
      </w:pPr>
    </w:p>
    <w:p w14:paraId="68AC23F9">
      <w:pPr>
        <w:jc w:val="center"/>
        <w:rPr>
          <w:rFonts w:ascii="宋体" w:hAnsi="宋体"/>
        </w:rPr>
      </w:pPr>
    </w:p>
    <w:p w14:paraId="2EECEC3D">
      <w:pPr>
        <w:jc w:val="center"/>
        <w:rPr>
          <w:rFonts w:ascii="宋体" w:hAnsi="宋体"/>
        </w:rPr>
      </w:pPr>
    </w:p>
    <w:p w14:paraId="522FAADD">
      <w:pPr>
        <w:jc w:val="center"/>
        <w:rPr>
          <w:rFonts w:ascii="宋体" w:hAnsi="宋体"/>
        </w:rPr>
      </w:pPr>
    </w:p>
    <w:p w14:paraId="09BABDCD">
      <w:pPr>
        <w:jc w:val="center"/>
        <w:rPr>
          <w:rFonts w:ascii="宋体" w:hAnsi="宋体"/>
        </w:rPr>
      </w:pPr>
    </w:p>
    <w:p w14:paraId="5C1008F5">
      <w:pPr>
        <w:rPr>
          <w:rFonts w:ascii="宋体" w:hAnsi="宋体"/>
        </w:rPr>
      </w:pPr>
    </w:p>
    <w:p w14:paraId="6E3494A4">
      <w:pPr>
        <w:jc w:val="center"/>
        <w:rPr>
          <w:rFonts w:ascii="宋体" w:hAnsi="宋体"/>
        </w:rPr>
      </w:pPr>
    </w:p>
    <w:p w14:paraId="72373828">
      <w:pPr>
        <w:jc w:val="center"/>
        <w:rPr>
          <w:rFonts w:ascii="宋体" w:hAnsi="宋体"/>
        </w:rPr>
      </w:pPr>
    </w:p>
    <w:p w14:paraId="4B725BFA">
      <w:pPr>
        <w:jc w:val="center"/>
        <w:rPr>
          <w:rFonts w:ascii="宋体" w:hAnsi="宋体"/>
        </w:rPr>
      </w:pPr>
    </w:p>
    <w:p w14:paraId="7D3F72FD">
      <w:pPr>
        <w:jc w:val="center"/>
        <w:rPr>
          <w:rFonts w:ascii="宋体" w:hAnsi="宋体"/>
        </w:rPr>
      </w:pPr>
    </w:p>
    <w:p w14:paraId="062B46B4">
      <w:pPr>
        <w:jc w:val="center"/>
        <w:rPr>
          <w:rFonts w:ascii="宋体" w:hAnsi="宋体"/>
        </w:rPr>
      </w:pPr>
    </w:p>
    <w:p w14:paraId="4544255B">
      <w:pPr>
        <w:jc w:val="center"/>
        <w:rPr>
          <w:rFonts w:ascii="宋体" w:hAnsi="宋体"/>
        </w:rPr>
      </w:pPr>
    </w:p>
    <w:p w14:paraId="6259F636">
      <w:pPr>
        <w:jc w:val="center"/>
        <w:rPr>
          <w:rFonts w:ascii="宋体" w:hAnsi="宋体"/>
        </w:rPr>
      </w:pPr>
    </w:p>
    <w:p w14:paraId="304773DF">
      <w:pPr>
        <w:spacing w:before="156" w:beforeLines="50" w:after="156" w:afterLines="50"/>
        <w:jc w:val="center"/>
        <w:outlineLvl w:val="0"/>
        <w:rPr>
          <w:rFonts w:ascii="宋体" w:hAnsi="宋体"/>
          <w:sz w:val="28"/>
        </w:rPr>
      </w:pPr>
      <w:r>
        <w:rPr>
          <w:rFonts w:ascii="宋体" w:hAnsi="宋体"/>
          <w:sz w:val="28"/>
        </w:rPr>
        <w:br w:type="page"/>
      </w:r>
      <w:bookmarkStart w:id="14" w:name="_Toc23746"/>
      <w:r>
        <w:rPr>
          <w:rFonts w:hint="eastAsia" w:ascii="宋体" w:hAnsi="宋体"/>
          <w:sz w:val="28"/>
        </w:rPr>
        <w:t>目  次</w:t>
      </w:r>
      <w:bookmarkEnd w:id="14"/>
    </w:p>
    <w:p w14:paraId="40350E53">
      <w:pPr>
        <w:ind w:firstLine="435"/>
        <w:jc w:val="right"/>
      </w:pPr>
    </w:p>
    <w:sdt>
      <w:sdtPr>
        <w:rPr>
          <w:rFonts w:ascii="宋体" w:hAnsi="宋体" w:eastAsia="宋体"/>
        </w:rPr>
        <w:id w:val="147456224"/>
        <w15:color w:val="DBDBDB"/>
        <w:docPartObj>
          <w:docPartGallery w:val="Table of Contents"/>
          <w:docPartUnique/>
        </w:docPartObj>
      </w:sdtPr>
      <w:sdtEndPr>
        <w:rPr>
          <w:rFonts w:hint="eastAsia" w:asciiTheme="minorHAnsi" w:hAnsiTheme="minorHAnsi" w:eastAsiaTheme="minorEastAsia"/>
          <w:b/>
        </w:rPr>
      </w:sdtEndPr>
      <w:sdtContent>
        <w:p w14:paraId="4E735799">
          <w:pPr>
            <w:jc w:val="center"/>
          </w:pPr>
        </w:p>
        <w:p w14:paraId="39F4736E">
          <w:pPr>
            <w:pStyle w:val="7"/>
            <w:tabs>
              <w:tab w:val="right" w:leader="dot" w:pos="8312"/>
            </w:tabs>
            <w:spacing w:line="360" w:lineRule="auto"/>
            <w:rPr>
              <w:sz w:val="24"/>
              <w:szCs w:val="32"/>
            </w:rPr>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"_Toc11725" </w:instrText>
          </w:r>
          <w:r>
            <w:fldChar w:fldCharType="separate"/>
          </w:r>
          <w:r>
            <w:rPr>
              <w:rFonts w:hint="eastAsia" w:ascii="黑体" w:hAnsi="黑体" w:eastAsia="黑体" w:cs="Times New Roman"/>
              <w:bCs/>
              <w:sz w:val="24"/>
              <w:szCs w:val="40"/>
            </w:rPr>
            <w:t>1  总  则</w:t>
          </w:r>
          <w:r>
            <w:rPr>
              <w:sz w:val="24"/>
              <w:szCs w:val="32"/>
            </w:rPr>
            <w:tab/>
          </w:r>
          <w:r>
            <w:rPr>
              <w:sz w:val="24"/>
              <w:szCs w:val="32"/>
            </w:rPr>
            <w:fldChar w:fldCharType="begin"/>
          </w:r>
          <w:r>
            <w:rPr>
              <w:sz w:val="24"/>
              <w:szCs w:val="32"/>
            </w:rPr>
            <w:instrText xml:space="preserve"> PAGEREF _Toc11725 \h </w:instrText>
          </w:r>
          <w:r>
            <w:rPr>
              <w:sz w:val="24"/>
              <w:szCs w:val="32"/>
            </w:rPr>
            <w:fldChar w:fldCharType="separate"/>
          </w:r>
          <w:r>
            <w:rPr>
              <w:sz w:val="24"/>
              <w:szCs w:val="32"/>
            </w:rPr>
            <w:t>1</w:t>
          </w:r>
          <w:r>
            <w:rPr>
              <w:sz w:val="24"/>
              <w:szCs w:val="32"/>
            </w:rPr>
            <w:fldChar w:fldCharType="end"/>
          </w:r>
          <w:r>
            <w:rPr>
              <w:sz w:val="24"/>
              <w:szCs w:val="32"/>
            </w:rPr>
            <w:fldChar w:fldCharType="end"/>
          </w:r>
        </w:p>
        <w:p w14:paraId="71FD1D8C">
          <w:pPr>
            <w:pStyle w:val="7"/>
            <w:tabs>
              <w:tab w:val="right" w:leader="dot" w:pos="8312"/>
            </w:tabs>
            <w:spacing w:line="360" w:lineRule="auto"/>
            <w:rPr>
              <w:sz w:val="24"/>
              <w:szCs w:val="32"/>
            </w:rPr>
          </w:pPr>
          <w:r>
            <w:fldChar w:fldCharType="begin"/>
          </w:r>
          <w:r>
            <w:instrText xml:space="preserve"> HYPERLINK \l "_Toc29153" </w:instrText>
          </w:r>
          <w:r>
            <w:fldChar w:fldCharType="separate"/>
          </w:r>
          <w:r>
            <w:rPr>
              <w:rFonts w:hint="eastAsia" w:ascii="黑体" w:hAnsi="黑体" w:eastAsia="黑体" w:cs="Times New Roman"/>
              <w:bCs/>
              <w:sz w:val="24"/>
              <w:szCs w:val="40"/>
            </w:rPr>
            <w:t>2  术  语</w:t>
          </w:r>
          <w:r>
            <w:rPr>
              <w:sz w:val="24"/>
              <w:szCs w:val="32"/>
            </w:rPr>
            <w:tab/>
          </w:r>
          <w:r>
            <w:rPr>
              <w:sz w:val="24"/>
              <w:szCs w:val="32"/>
            </w:rPr>
            <w:fldChar w:fldCharType="begin"/>
          </w:r>
          <w:r>
            <w:rPr>
              <w:sz w:val="24"/>
              <w:szCs w:val="32"/>
            </w:rPr>
            <w:instrText xml:space="preserve"> PAGEREF _Toc29153 \h </w:instrText>
          </w:r>
          <w:r>
            <w:rPr>
              <w:sz w:val="24"/>
              <w:szCs w:val="32"/>
            </w:rPr>
            <w:fldChar w:fldCharType="separate"/>
          </w:r>
          <w:r>
            <w:rPr>
              <w:sz w:val="24"/>
              <w:szCs w:val="32"/>
            </w:rPr>
            <w:t>2</w:t>
          </w:r>
          <w:r>
            <w:rPr>
              <w:sz w:val="24"/>
              <w:szCs w:val="32"/>
            </w:rPr>
            <w:fldChar w:fldCharType="end"/>
          </w:r>
          <w:r>
            <w:rPr>
              <w:sz w:val="24"/>
              <w:szCs w:val="32"/>
            </w:rPr>
            <w:fldChar w:fldCharType="end"/>
          </w:r>
        </w:p>
        <w:p w14:paraId="72C08E90">
          <w:pPr>
            <w:pStyle w:val="7"/>
            <w:tabs>
              <w:tab w:val="right" w:leader="dot" w:pos="8312"/>
            </w:tabs>
            <w:spacing w:line="360" w:lineRule="auto"/>
            <w:rPr>
              <w:sz w:val="24"/>
              <w:szCs w:val="32"/>
            </w:rPr>
          </w:pPr>
          <w:r>
            <w:fldChar w:fldCharType="begin"/>
          </w:r>
          <w:r>
            <w:instrText xml:space="preserve"> HYPERLINK \l "_Toc18522" </w:instrText>
          </w:r>
          <w:r>
            <w:fldChar w:fldCharType="separate"/>
          </w:r>
          <w:r>
            <w:rPr>
              <w:rFonts w:hint="eastAsia" w:ascii="黑体" w:hAnsi="黑体" w:eastAsia="黑体" w:cs="Times New Roman"/>
              <w:bCs/>
              <w:sz w:val="24"/>
              <w:szCs w:val="40"/>
            </w:rPr>
            <w:t>3  防渗系统工程材料</w:t>
          </w:r>
          <w:r>
            <w:rPr>
              <w:sz w:val="24"/>
              <w:szCs w:val="32"/>
            </w:rPr>
            <w:tab/>
          </w:r>
          <w:r>
            <w:rPr>
              <w:sz w:val="24"/>
              <w:szCs w:val="32"/>
            </w:rPr>
            <w:fldChar w:fldCharType="begin"/>
          </w:r>
          <w:r>
            <w:rPr>
              <w:sz w:val="24"/>
              <w:szCs w:val="32"/>
            </w:rPr>
            <w:instrText xml:space="preserve"> PAGEREF _Toc18522 \h </w:instrText>
          </w:r>
          <w:r>
            <w:rPr>
              <w:sz w:val="24"/>
              <w:szCs w:val="32"/>
            </w:rPr>
            <w:fldChar w:fldCharType="separate"/>
          </w:r>
          <w:r>
            <w:rPr>
              <w:sz w:val="24"/>
              <w:szCs w:val="32"/>
            </w:rPr>
            <w:t>4</w:t>
          </w:r>
          <w:r>
            <w:rPr>
              <w:sz w:val="24"/>
              <w:szCs w:val="32"/>
            </w:rPr>
            <w:fldChar w:fldCharType="end"/>
          </w:r>
          <w:r>
            <w:rPr>
              <w:sz w:val="24"/>
              <w:szCs w:val="32"/>
            </w:rPr>
            <w:fldChar w:fldCharType="end"/>
          </w:r>
        </w:p>
        <w:p w14:paraId="602A1A41">
          <w:pPr>
            <w:pStyle w:val="8"/>
            <w:tabs>
              <w:tab w:val="right" w:leader="dot" w:pos="8312"/>
            </w:tabs>
            <w:spacing w:line="360" w:lineRule="auto"/>
            <w:rPr>
              <w:sz w:val="24"/>
              <w:szCs w:val="32"/>
            </w:rPr>
          </w:pPr>
          <w:r>
            <w:fldChar w:fldCharType="begin"/>
          </w:r>
          <w:r>
            <w:instrText xml:space="preserve"> HYPERLINK \l "_Toc7121" </w:instrText>
          </w:r>
          <w:r>
            <w:fldChar w:fldCharType="separate"/>
          </w:r>
          <w:r>
            <w:rPr>
              <w:rFonts w:hint="eastAsia" w:asciiTheme="minorEastAsia" w:hAnsiTheme="minorEastAsia"/>
              <w:sz w:val="24"/>
              <w:szCs w:val="32"/>
            </w:rPr>
            <w:t>3.1一般规定</w:t>
          </w:r>
          <w:r>
            <w:rPr>
              <w:sz w:val="24"/>
              <w:szCs w:val="32"/>
            </w:rPr>
            <w:tab/>
          </w:r>
          <w:r>
            <w:rPr>
              <w:sz w:val="24"/>
              <w:szCs w:val="32"/>
            </w:rPr>
            <w:fldChar w:fldCharType="begin"/>
          </w:r>
          <w:r>
            <w:rPr>
              <w:sz w:val="24"/>
              <w:szCs w:val="32"/>
            </w:rPr>
            <w:instrText xml:space="preserve"> PAGEREF _Toc7121 \h </w:instrText>
          </w:r>
          <w:r>
            <w:rPr>
              <w:sz w:val="24"/>
              <w:szCs w:val="32"/>
            </w:rPr>
            <w:fldChar w:fldCharType="separate"/>
          </w:r>
          <w:r>
            <w:rPr>
              <w:sz w:val="24"/>
              <w:szCs w:val="32"/>
            </w:rPr>
            <w:t>4</w:t>
          </w:r>
          <w:r>
            <w:rPr>
              <w:sz w:val="24"/>
              <w:szCs w:val="32"/>
            </w:rPr>
            <w:fldChar w:fldCharType="end"/>
          </w:r>
          <w:r>
            <w:rPr>
              <w:sz w:val="24"/>
              <w:szCs w:val="32"/>
            </w:rPr>
            <w:fldChar w:fldCharType="end"/>
          </w:r>
        </w:p>
        <w:p w14:paraId="4A3E17D7">
          <w:pPr>
            <w:pStyle w:val="8"/>
            <w:tabs>
              <w:tab w:val="right" w:leader="dot" w:pos="8312"/>
            </w:tabs>
            <w:spacing w:line="360" w:lineRule="auto"/>
            <w:rPr>
              <w:sz w:val="24"/>
              <w:szCs w:val="32"/>
            </w:rPr>
          </w:pPr>
          <w:r>
            <w:fldChar w:fldCharType="begin"/>
          </w:r>
          <w:r>
            <w:instrText xml:space="preserve"> HYPERLINK \l "_Toc13722" </w:instrText>
          </w:r>
          <w:r>
            <w:fldChar w:fldCharType="separate"/>
          </w:r>
          <w:r>
            <w:rPr>
              <w:rFonts w:hint="eastAsia" w:asciiTheme="minorEastAsia" w:hAnsiTheme="minorEastAsia"/>
              <w:sz w:val="24"/>
              <w:szCs w:val="32"/>
            </w:rPr>
            <w:t>3.2 高密度聚乙烯土工膜</w:t>
          </w:r>
          <w:r>
            <w:rPr>
              <w:sz w:val="24"/>
              <w:szCs w:val="32"/>
            </w:rPr>
            <w:tab/>
          </w:r>
          <w:r>
            <w:rPr>
              <w:sz w:val="24"/>
              <w:szCs w:val="32"/>
            </w:rPr>
            <w:fldChar w:fldCharType="begin"/>
          </w:r>
          <w:r>
            <w:rPr>
              <w:sz w:val="24"/>
              <w:szCs w:val="32"/>
            </w:rPr>
            <w:instrText xml:space="preserve"> PAGEREF _Toc13722 \h </w:instrText>
          </w:r>
          <w:r>
            <w:rPr>
              <w:sz w:val="24"/>
              <w:szCs w:val="32"/>
            </w:rPr>
            <w:fldChar w:fldCharType="separate"/>
          </w:r>
          <w:r>
            <w:rPr>
              <w:sz w:val="24"/>
              <w:szCs w:val="32"/>
            </w:rPr>
            <w:t>4</w:t>
          </w:r>
          <w:r>
            <w:rPr>
              <w:sz w:val="24"/>
              <w:szCs w:val="32"/>
            </w:rPr>
            <w:fldChar w:fldCharType="end"/>
          </w:r>
          <w:r>
            <w:rPr>
              <w:sz w:val="24"/>
              <w:szCs w:val="32"/>
            </w:rPr>
            <w:fldChar w:fldCharType="end"/>
          </w:r>
        </w:p>
        <w:p w14:paraId="4B255FFB">
          <w:pPr>
            <w:pStyle w:val="8"/>
            <w:tabs>
              <w:tab w:val="right" w:leader="dot" w:pos="8312"/>
            </w:tabs>
            <w:spacing w:line="360" w:lineRule="auto"/>
            <w:rPr>
              <w:sz w:val="24"/>
              <w:szCs w:val="32"/>
            </w:rPr>
          </w:pPr>
          <w:r>
            <w:fldChar w:fldCharType="begin"/>
          </w:r>
          <w:r>
            <w:instrText xml:space="preserve"> HYPERLINK \l "_Toc29540" </w:instrText>
          </w:r>
          <w:r>
            <w:fldChar w:fldCharType="separate"/>
          </w:r>
          <w:r>
            <w:rPr>
              <w:rFonts w:hint="eastAsia" w:asciiTheme="minorEastAsia" w:hAnsiTheme="minorEastAsia"/>
              <w:sz w:val="24"/>
              <w:szCs w:val="32"/>
            </w:rPr>
            <w:t>3.3 钠基膨润土防水毯（GCL）</w:t>
          </w:r>
          <w:r>
            <w:rPr>
              <w:sz w:val="24"/>
              <w:szCs w:val="32"/>
            </w:rPr>
            <w:tab/>
          </w:r>
          <w:r>
            <w:rPr>
              <w:sz w:val="24"/>
              <w:szCs w:val="32"/>
            </w:rPr>
            <w:fldChar w:fldCharType="begin"/>
          </w:r>
          <w:r>
            <w:rPr>
              <w:sz w:val="24"/>
              <w:szCs w:val="32"/>
            </w:rPr>
            <w:instrText xml:space="preserve"> PAGEREF _Toc29540 \h </w:instrText>
          </w:r>
          <w:r>
            <w:rPr>
              <w:sz w:val="24"/>
              <w:szCs w:val="32"/>
            </w:rPr>
            <w:fldChar w:fldCharType="separate"/>
          </w:r>
          <w:r>
            <w:rPr>
              <w:sz w:val="24"/>
              <w:szCs w:val="32"/>
            </w:rPr>
            <w:t>5</w:t>
          </w:r>
          <w:r>
            <w:rPr>
              <w:sz w:val="24"/>
              <w:szCs w:val="32"/>
            </w:rPr>
            <w:fldChar w:fldCharType="end"/>
          </w:r>
          <w:r>
            <w:rPr>
              <w:sz w:val="24"/>
              <w:szCs w:val="32"/>
            </w:rPr>
            <w:fldChar w:fldCharType="end"/>
          </w:r>
        </w:p>
        <w:p w14:paraId="73E007F5">
          <w:pPr>
            <w:pStyle w:val="8"/>
            <w:tabs>
              <w:tab w:val="right" w:leader="dot" w:pos="8312"/>
            </w:tabs>
            <w:spacing w:line="360" w:lineRule="auto"/>
            <w:rPr>
              <w:sz w:val="24"/>
              <w:szCs w:val="32"/>
            </w:rPr>
          </w:pPr>
          <w:r>
            <w:fldChar w:fldCharType="begin"/>
          </w:r>
          <w:r>
            <w:instrText xml:space="preserve"> HYPERLINK \l "_Toc390" </w:instrText>
          </w:r>
          <w:r>
            <w:fldChar w:fldCharType="separate"/>
          </w:r>
          <w:r>
            <w:rPr>
              <w:rFonts w:hint="eastAsia" w:asciiTheme="minorEastAsia" w:hAnsiTheme="minorEastAsia"/>
              <w:sz w:val="24"/>
              <w:szCs w:val="32"/>
            </w:rPr>
            <w:t>3.4土工布和土工滤网</w:t>
          </w:r>
          <w:r>
            <w:rPr>
              <w:sz w:val="24"/>
              <w:szCs w:val="32"/>
            </w:rPr>
            <w:tab/>
          </w:r>
          <w:r>
            <w:rPr>
              <w:sz w:val="24"/>
              <w:szCs w:val="32"/>
            </w:rPr>
            <w:fldChar w:fldCharType="begin"/>
          </w:r>
          <w:r>
            <w:rPr>
              <w:sz w:val="24"/>
              <w:szCs w:val="32"/>
            </w:rPr>
            <w:instrText xml:space="preserve"> PAGEREF _Toc390 \h </w:instrText>
          </w:r>
          <w:r>
            <w:rPr>
              <w:sz w:val="24"/>
              <w:szCs w:val="32"/>
            </w:rPr>
            <w:fldChar w:fldCharType="separate"/>
          </w:r>
          <w:r>
            <w:rPr>
              <w:sz w:val="24"/>
              <w:szCs w:val="32"/>
            </w:rPr>
            <w:t>5</w:t>
          </w:r>
          <w:r>
            <w:rPr>
              <w:sz w:val="24"/>
              <w:szCs w:val="32"/>
            </w:rPr>
            <w:fldChar w:fldCharType="end"/>
          </w:r>
          <w:r>
            <w:rPr>
              <w:sz w:val="24"/>
              <w:szCs w:val="32"/>
            </w:rPr>
            <w:fldChar w:fldCharType="end"/>
          </w:r>
        </w:p>
        <w:p w14:paraId="749E31CB">
          <w:pPr>
            <w:pStyle w:val="8"/>
            <w:tabs>
              <w:tab w:val="right" w:leader="dot" w:pos="8312"/>
            </w:tabs>
            <w:spacing w:line="360" w:lineRule="auto"/>
            <w:rPr>
              <w:sz w:val="24"/>
              <w:szCs w:val="32"/>
            </w:rPr>
          </w:pPr>
          <w:r>
            <w:fldChar w:fldCharType="begin"/>
          </w:r>
          <w:r>
            <w:instrText xml:space="preserve"> HYPERLINK \l "_Toc1489" </w:instrText>
          </w:r>
          <w:r>
            <w:fldChar w:fldCharType="separate"/>
          </w:r>
          <w:r>
            <w:rPr>
              <w:rFonts w:hint="eastAsia" w:asciiTheme="minorEastAsia" w:hAnsiTheme="minorEastAsia"/>
              <w:sz w:val="24"/>
              <w:szCs w:val="32"/>
            </w:rPr>
            <w:t>3.5土工排水网</w:t>
          </w:r>
          <w:r>
            <w:rPr>
              <w:sz w:val="24"/>
              <w:szCs w:val="32"/>
            </w:rPr>
            <w:tab/>
          </w:r>
          <w:r>
            <w:rPr>
              <w:sz w:val="24"/>
              <w:szCs w:val="32"/>
            </w:rPr>
            <w:fldChar w:fldCharType="begin"/>
          </w:r>
          <w:r>
            <w:rPr>
              <w:sz w:val="24"/>
              <w:szCs w:val="32"/>
            </w:rPr>
            <w:instrText xml:space="preserve"> PAGEREF _Toc1489 \h </w:instrText>
          </w:r>
          <w:r>
            <w:rPr>
              <w:sz w:val="24"/>
              <w:szCs w:val="32"/>
            </w:rPr>
            <w:fldChar w:fldCharType="separate"/>
          </w:r>
          <w:r>
            <w:rPr>
              <w:sz w:val="24"/>
              <w:szCs w:val="32"/>
            </w:rPr>
            <w:t>5</w:t>
          </w:r>
          <w:r>
            <w:rPr>
              <w:sz w:val="24"/>
              <w:szCs w:val="32"/>
            </w:rPr>
            <w:fldChar w:fldCharType="end"/>
          </w:r>
          <w:r>
            <w:rPr>
              <w:sz w:val="24"/>
              <w:szCs w:val="32"/>
            </w:rPr>
            <w:fldChar w:fldCharType="end"/>
          </w:r>
        </w:p>
        <w:p w14:paraId="73E9393F">
          <w:pPr>
            <w:pStyle w:val="8"/>
            <w:tabs>
              <w:tab w:val="right" w:leader="dot" w:pos="8312"/>
            </w:tabs>
            <w:spacing w:line="360" w:lineRule="auto"/>
            <w:rPr>
              <w:sz w:val="24"/>
              <w:szCs w:val="32"/>
            </w:rPr>
          </w:pPr>
          <w:r>
            <w:fldChar w:fldCharType="begin"/>
          </w:r>
          <w:r>
            <w:instrText xml:space="preserve"> HYPERLINK \l "_Toc7498" </w:instrText>
          </w:r>
          <w:r>
            <w:fldChar w:fldCharType="separate"/>
          </w:r>
          <w:r>
            <w:rPr>
              <w:rFonts w:hint="eastAsia" w:asciiTheme="minorEastAsia" w:hAnsiTheme="minorEastAsia"/>
              <w:sz w:val="24"/>
              <w:szCs w:val="32"/>
            </w:rPr>
            <w:t>3.6 高密度聚乙烯管材</w:t>
          </w:r>
          <w:r>
            <w:rPr>
              <w:sz w:val="24"/>
              <w:szCs w:val="32"/>
            </w:rPr>
            <w:tab/>
          </w:r>
          <w:r>
            <w:rPr>
              <w:sz w:val="24"/>
              <w:szCs w:val="32"/>
            </w:rPr>
            <w:fldChar w:fldCharType="begin"/>
          </w:r>
          <w:r>
            <w:rPr>
              <w:sz w:val="24"/>
              <w:szCs w:val="32"/>
            </w:rPr>
            <w:instrText xml:space="preserve"> PAGEREF _Toc7498 \h </w:instrText>
          </w:r>
          <w:r>
            <w:rPr>
              <w:sz w:val="24"/>
              <w:szCs w:val="32"/>
            </w:rPr>
            <w:fldChar w:fldCharType="separate"/>
          </w:r>
          <w:r>
            <w:rPr>
              <w:sz w:val="24"/>
              <w:szCs w:val="32"/>
            </w:rPr>
            <w:t>6</w:t>
          </w:r>
          <w:r>
            <w:rPr>
              <w:sz w:val="24"/>
              <w:szCs w:val="32"/>
            </w:rPr>
            <w:fldChar w:fldCharType="end"/>
          </w:r>
          <w:r>
            <w:rPr>
              <w:sz w:val="24"/>
              <w:szCs w:val="32"/>
            </w:rPr>
            <w:fldChar w:fldCharType="end"/>
          </w:r>
        </w:p>
        <w:p w14:paraId="55461381">
          <w:pPr>
            <w:pStyle w:val="7"/>
            <w:tabs>
              <w:tab w:val="right" w:leader="dot" w:pos="8312"/>
            </w:tabs>
            <w:spacing w:line="360" w:lineRule="auto"/>
            <w:rPr>
              <w:sz w:val="24"/>
              <w:szCs w:val="32"/>
            </w:rPr>
          </w:pPr>
          <w:r>
            <w:fldChar w:fldCharType="begin"/>
          </w:r>
          <w:r>
            <w:instrText xml:space="preserve"> HYPERLINK \l "_Toc6268" </w:instrText>
          </w:r>
          <w:r>
            <w:fldChar w:fldCharType="separate"/>
          </w:r>
          <w:r>
            <w:rPr>
              <w:rFonts w:hint="eastAsia" w:ascii="黑体" w:hAnsi="黑体" w:eastAsia="黑体" w:cs="Times New Roman"/>
              <w:bCs/>
              <w:sz w:val="24"/>
              <w:szCs w:val="40"/>
            </w:rPr>
            <w:t>4  防渗系统工程设计</w:t>
          </w:r>
          <w:r>
            <w:rPr>
              <w:sz w:val="24"/>
              <w:szCs w:val="32"/>
            </w:rPr>
            <w:tab/>
          </w:r>
          <w:r>
            <w:rPr>
              <w:sz w:val="24"/>
              <w:szCs w:val="32"/>
            </w:rPr>
            <w:fldChar w:fldCharType="begin"/>
          </w:r>
          <w:r>
            <w:rPr>
              <w:sz w:val="24"/>
              <w:szCs w:val="32"/>
            </w:rPr>
            <w:instrText xml:space="preserve"> PAGEREF _Toc6268 \h </w:instrText>
          </w:r>
          <w:r>
            <w:rPr>
              <w:sz w:val="24"/>
              <w:szCs w:val="32"/>
            </w:rPr>
            <w:fldChar w:fldCharType="separate"/>
          </w:r>
          <w:r>
            <w:rPr>
              <w:sz w:val="24"/>
              <w:szCs w:val="32"/>
            </w:rPr>
            <w:t>7</w:t>
          </w:r>
          <w:r>
            <w:rPr>
              <w:sz w:val="24"/>
              <w:szCs w:val="32"/>
            </w:rPr>
            <w:fldChar w:fldCharType="end"/>
          </w:r>
          <w:r>
            <w:rPr>
              <w:sz w:val="24"/>
              <w:szCs w:val="32"/>
            </w:rPr>
            <w:fldChar w:fldCharType="end"/>
          </w:r>
        </w:p>
        <w:p w14:paraId="7C67322C">
          <w:pPr>
            <w:pStyle w:val="8"/>
            <w:tabs>
              <w:tab w:val="right" w:leader="dot" w:pos="8312"/>
            </w:tabs>
            <w:spacing w:line="360" w:lineRule="auto"/>
            <w:rPr>
              <w:sz w:val="24"/>
              <w:szCs w:val="32"/>
            </w:rPr>
          </w:pPr>
          <w:r>
            <w:fldChar w:fldCharType="begin"/>
          </w:r>
          <w:r>
            <w:instrText xml:space="preserve"> HYPERLINK \l "_Toc5634" </w:instrText>
          </w:r>
          <w:r>
            <w:fldChar w:fldCharType="separate"/>
          </w:r>
          <w:r>
            <w:rPr>
              <w:rFonts w:hint="eastAsia" w:asciiTheme="minorEastAsia" w:hAnsiTheme="minorEastAsia"/>
              <w:sz w:val="24"/>
              <w:szCs w:val="32"/>
            </w:rPr>
            <w:t>4.1 一般规定</w:t>
          </w:r>
          <w:r>
            <w:rPr>
              <w:sz w:val="24"/>
              <w:szCs w:val="32"/>
            </w:rPr>
            <w:tab/>
          </w:r>
          <w:r>
            <w:rPr>
              <w:sz w:val="24"/>
              <w:szCs w:val="32"/>
            </w:rPr>
            <w:fldChar w:fldCharType="begin"/>
          </w:r>
          <w:r>
            <w:rPr>
              <w:sz w:val="24"/>
              <w:szCs w:val="32"/>
            </w:rPr>
            <w:instrText xml:space="preserve"> PAGEREF _Toc5634 \h </w:instrText>
          </w:r>
          <w:r>
            <w:rPr>
              <w:sz w:val="24"/>
              <w:szCs w:val="32"/>
            </w:rPr>
            <w:fldChar w:fldCharType="separate"/>
          </w:r>
          <w:r>
            <w:rPr>
              <w:sz w:val="24"/>
              <w:szCs w:val="32"/>
            </w:rPr>
            <w:t>7</w:t>
          </w:r>
          <w:r>
            <w:rPr>
              <w:sz w:val="24"/>
              <w:szCs w:val="32"/>
            </w:rPr>
            <w:fldChar w:fldCharType="end"/>
          </w:r>
          <w:r>
            <w:rPr>
              <w:sz w:val="24"/>
              <w:szCs w:val="32"/>
            </w:rPr>
            <w:fldChar w:fldCharType="end"/>
          </w:r>
        </w:p>
        <w:p w14:paraId="1DFCBAEC">
          <w:pPr>
            <w:pStyle w:val="8"/>
            <w:tabs>
              <w:tab w:val="right" w:leader="dot" w:pos="8312"/>
            </w:tabs>
            <w:spacing w:line="360" w:lineRule="auto"/>
            <w:rPr>
              <w:sz w:val="24"/>
              <w:szCs w:val="32"/>
            </w:rPr>
          </w:pPr>
          <w:r>
            <w:fldChar w:fldCharType="begin"/>
          </w:r>
          <w:r>
            <w:instrText xml:space="preserve"> HYPERLINK \l "_Toc29773" </w:instrText>
          </w:r>
          <w:r>
            <w:fldChar w:fldCharType="separate"/>
          </w:r>
          <w:r>
            <w:rPr>
              <w:rFonts w:hint="eastAsia" w:asciiTheme="minorEastAsia" w:hAnsiTheme="minorEastAsia"/>
              <w:sz w:val="24"/>
              <w:szCs w:val="32"/>
            </w:rPr>
            <w:t>4.2 防渗系统</w:t>
          </w:r>
          <w:r>
            <w:rPr>
              <w:sz w:val="24"/>
              <w:szCs w:val="32"/>
            </w:rPr>
            <w:tab/>
          </w:r>
          <w:r>
            <w:rPr>
              <w:sz w:val="24"/>
              <w:szCs w:val="32"/>
            </w:rPr>
            <w:fldChar w:fldCharType="begin"/>
          </w:r>
          <w:r>
            <w:rPr>
              <w:sz w:val="24"/>
              <w:szCs w:val="32"/>
            </w:rPr>
            <w:instrText xml:space="preserve"> PAGEREF _Toc29773 \h </w:instrText>
          </w:r>
          <w:r>
            <w:rPr>
              <w:sz w:val="24"/>
              <w:szCs w:val="32"/>
            </w:rPr>
            <w:fldChar w:fldCharType="separate"/>
          </w:r>
          <w:r>
            <w:rPr>
              <w:sz w:val="24"/>
              <w:szCs w:val="32"/>
            </w:rPr>
            <w:t>7</w:t>
          </w:r>
          <w:r>
            <w:rPr>
              <w:sz w:val="24"/>
              <w:szCs w:val="32"/>
            </w:rPr>
            <w:fldChar w:fldCharType="end"/>
          </w:r>
          <w:r>
            <w:rPr>
              <w:sz w:val="24"/>
              <w:szCs w:val="32"/>
            </w:rPr>
            <w:fldChar w:fldCharType="end"/>
          </w:r>
        </w:p>
        <w:p w14:paraId="039BA9CF">
          <w:pPr>
            <w:pStyle w:val="8"/>
            <w:tabs>
              <w:tab w:val="right" w:leader="dot" w:pos="8312"/>
            </w:tabs>
            <w:spacing w:line="360" w:lineRule="auto"/>
            <w:rPr>
              <w:sz w:val="24"/>
              <w:szCs w:val="32"/>
            </w:rPr>
          </w:pPr>
          <w:r>
            <w:fldChar w:fldCharType="begin"/>
          </w:r>
          <w:r>
            <w:instrText xml:space="preserve"> HYPERLINK \l "_Toc4365" </w:instrText>
          </w:r>
          <w:r>
            <w:fldChar w:fldCharType="separate"/>
          </w:r>
          <w:r>
            <w:rPr>
              <w:rFonts w:hint="eastAsia" w:asciiTheme="minorEastAsia" w:hAnsiTheme="minorEastAsia"/>
              <w:sz w:val="24"/>
              <w:szCs w:val="32"/>
            </w:rPr>
            <w:t>4.3 基础层</w:t>
          </w:r>
          <w:r>
            <w:rPr>
              <w:sz w:val="24"/>
              <w:szCs w:val="32"/>
            </w:rPr>
            <w:tab/>
          </w:r>
          <w:r>
            <w:rPr>
              <w:sz w:val="24"/>
              <w:szCs w:val="32"/>
            </w:rPr>
            <w:fldChar w:fldCharType="begin"/>
          </w:r>
          <w:r>
            <w:rPr>
              <w:sz w:val="24"/>
              <w:szCs w:val="32"/>
            </w:rPr>
            <w:instrText xml:space="preserve"> PAGEREF _Toc4365 \h </w:instrText>
          </w:r>
          <w:r>
            <w:rPr>
              <w:sz w:val="24"/>
              <w:szCs w:val="32"/>
            </w:rPr>
            <w:fldChar w:fldCharType="separate"/>
          </w:r>
          <w:r>
            <w:rPr>
              <w:sz w:val="24"/>
              <w:szCs w:val="32"/>
            </w:rPr>
            <w:t>9</w:t>
          </w:r>
          <w:r>
            <w:rPr>
              <w:sz w:val="24"/>
              <w:szCs w:val="32"/>
            </w:rPr>
            <w:fldChar w:fldCharType="end"/>
          </w:r>
          <w:r>
            <w:rPr>
              <w:sz w:val="24"/>
              <w:szCs w:val="32"/>
            </w:rPr>
            <w:fldChar w:fldCharType="end"/>
          </w:r>
        </w:p>
        <w:p w14:paraId="05CE14EA">
          <w:pPr>
            <w:pStyle w:val="8"/>
            <w:tabs>
              <w:tab w:val="right" w:leader="dot" w:pos="8312"/>
            </w:tabs>
            <w:spacing w:line="360" w:lineRule="auto"/>
            <w:rPr>
              <w:sz w:val="24"/>
              <w:szCs w:val="32"/>
            </w:rPr>
          </w:pPr>
          <w:r>
            <w:fldChar w:fldCharType="begin"/>
          </w:r>
          <w:r>
            <w:instrText xml:space="preserve"> HYPERLINK \l "_Toc3916" </w:instrText>
          </w:r>
          <w:r>
            <w:fldChar w:fldCharType="separate"/>
          </w:r>
          <w:r>
            <w:rPr>
              <w:rFonts w:hint="eastAsia" w:asciiTheme="minorEastAsia" w:hAnsiTheme="minorEastAsia"/>
              <w:sz w:val="24"/>
              <w:szCs w:val="32"/>
            </w:rPr>
            <w:t>4.4 防渗层</w:t>
          </w:r>
          <w:r>
            <w:rPr>
              <w:sz w:val="24"/>
              <w:szCs w:val="32"/>
            </w:rPr>
            <w:tab/>
          </w:r>
          <w:r>
            <w:rPr>
              <w:sz w:val="24"/>
              <w:szCs w:val="32"/>
            </w:rPr>
            <w:fldChar w:fldCharType="begin"/>
          </w:r>
          <w:r>
            <w:rPr>
              <w:sz w:val="24"/>
              <w:szCs w:val="32"/>
            </w:rPr>
            <w:instrText xml:space="preserve"> PAGEREF _Toc3916 \h </w:instrText>
          </w:r>
          <w:r>
            <w:rPr>
              <w:sz w:val="24"/>
              <w:szCs w:val="32"/>
            </w:rPr>
            <w:fldChar w:fldCharType="separate"/>
          </w:r>
          <w:r>
            <w:rPr>
              <w:sz w:val="24"/>
              <w:szCs w:val="32"/>
            </w:rPr>
            <w:t>10</w:t>
          </w:r>
          <w:r>
            <w:rPr>
              <w:sz w:val="24"/>
              <w:szCs w:val="32"/>
            </w:rPr>
            <w:fldChar w:fldCharType="end"/>
          </w:r>
          <w:r>
            <w:rPr>
              <w:sz w:val="24"/>
              <w:szCs w:val="32"/>
            </w:rPr>
            <w:fldChar w:fldCharType="end"/>
          </w:r>
        </w:p>
        <w:p w14:paraId="4E04F6A6">
          <w:pPr>
            <w:pStyle w:val="8"/>
            <w:tabs>
              <w:tab w:val="right" w:leader="dot" w:pos="8312"/>
            </w:tabs>
            <w:spacing w:line="360" w:lineRule="auto"/>
            <w:rPr>
              <w:sz w:val="24"/>
              <w:szCs w:val="32"/>
            </w:rPr>
          </w:pPr>
          <w:r>
            <w:fldChar w:fldCharType="begin"/>
          </w:r>
          <w:r>
            <w:instrText xml:space="preserve"> HYPERLINK \l "_Toc25160" </w:instrText>
          </w:r>
          <w:r>
            <w:fldChar w:fldCharType="separate"/>
          </w:r>
          <w:r>
            <w:rPr>
              <w:rFonts w:hint="eastAsia" w:asciiTheme="minorEastAsia" w:hAnsiTheme="minorEastAsia"/>
              <w:sz w:val="24"/>
              <w:szCs w:val="32"/>
            </w:rPr>
            <w:t>4.5 渗沥液收集导排系统</w:t>
          </w:r>
          <w:r>
            <w:rPr>
              <w:sz w:val="24"/>
              <w:szCs w:val="32"/>
            </w:rPr>
            <w:tab/>
          </w:r>
          <w:r>
            <w:rPr>
              <w:sz w:val="24"/>
              <w:szCs w:val="32"/>
            </w:rPr>
            <w:fldChar w:fldCharType="begin"/>
          </w:r>
          <w:r>
            <w:rPr>
              <w:sz w:val="24"/>
              <w:szCs w:val="32"/>
            </w:rPr>
            <w:instrText xml:space="preserve"> PAGEREF _Toc25160 \h </w:instrText>
          </w:r>
          <w:r>
            <w:rPr>
              <w:sz w:val="24"/>
              <w:szCs w:val="32"/>
            </w:rPr>
            <w:fldChar w:fldCharType="separate"/>
          </w:r>
          <w:r>
            <w:rPr>
              <w:sz w:val="24"/>
              <w:szCs w:val="32"/>
            </w:rPr>
            <w:t>11</w:t>
          </w:r>
          <w:r>
            <w:rPr>
              <w:sz w:val="24"/>
              <w:szCs w:val="32"/>
            </w:rPr>
            <w:fldChar w:fldCharType="end"/>
          </w:r>
          <w:r>
            <w:rPr>
              <w:sz w:val="24"/>
              <w:szCs w:val="32"/>
            </w:rPr>
            <w:fldChar w:fldCharType="end"/>
          </w:r>
        </w:p>
        <w:p w14:paraId="2F772D80">
          <w:pPr>
            <w:pStyle w:val="8"/>
            <w:tabs>
              <w:tab w:val="right" w:leader="dot" w:pos="8312"/>
            </w:tabs>
            <w:spacing w:line="360" w:lineRule="auto"/>
            <w:rPr>
              <w:sz w:val="24"/>
              <w:szCs w:val="32"/>
            </w:rPr>
          </w:pPr>
          <w:r>
            <w:fldChar w:fldCharType="begin"/>
          </w:r>
          <w:r>
            <w:instrText xml:space="preserve"> HYPERLINK \l "_Toc23096" </w:instrText>
          </w:r>
          <w:r>
            <w:fldChar w:fldCharType="separate"/>
          </w:r>
          <w:r>
            <w:rPr>
              <w:rFonts w:hint="eastAsia" w:asciiTheme="minorEastAsia" w:hAnsiTheme="minorEastAsia"/>
              <w:sz w:val="24"/>
              <w:szCs w:val="32"/>
            </w:rPr>
            <w:t>4.6 地下水收集导排系统</w:t>
          </w:r>
          <w:r>
            <w:rPr>
              <w:sz w:val="24"/>
              <w:szCs w:val="32"/>
            </w:rPr>
            <w:tab/>
          </w:r>
          <w:r>
            <w:rPr>
              <w:sz w:val="24"/>
              <w:szCs w:val="32"/>
            </w:rPr>
            <w:fldChar w:fldCharType="begin"/>
          </w:r>
          <w:r>
            <w:rPr>
              <w:sz w:val="24"/>
              <w:szCs w:val="32"/>
            </w:rPr>
            <w:instrText xml:space="preserve"> PAGEREF _Toc23096 \h </w:instrText>
          </w:r>
          <w:r>
            <w:rPr>
              <w:sz w:val="24"/>
              <w:szCs w:val="32"/>
            </w:rPr>
            <w:fldChar w:fldCharType="separate"/>
          </w:r>
          <w:r>
            <w:rPr>
              <w:sz w:val="24"/>
              <w:szCs w:val="32"/>
            </w:rPr>
            <w:t>13</w:t>
          </w:r>
          <w:r>
            <w:rPr>
              <w:sz w:val="24"/>
              <w:szCs w:val="32"/>
            </w:rPr>
            <w:fldChar w:fldCharType="end"/>
          </w:r>
          <w:r>
            <w:rPr>
              <w:sz w:val="24"/>
              <w:szCs w:val="32"/>
            </w:rPr>
            <w:fldChar w:fldCharType="end"/>
          </w:r>
        </w:p>
        <w:p w14:paraId="0A195042">
          <w:pPr>
            <w:pStyle w:val="8"/>
            <w:tabs>
              <w:tab w:val="right" w:leader="dot" w:pos="8312"/>
            </w:tabs>
            <w:spacing w:line="360" w:lineRule="auto"/>
            <w:rPr>
              <w:sz w:val="24"/>
              <w:szCs w:val="32"/>
            </w:rPr>
          </w:pPr>
          <w:r>
            <w:fldChar w:fldCharType="begin"/>
          </w:r>
          <w:r>
            <w:instrText xml:space="preserve"> HYPERLINK \l "_Toc9530" </w:instrText>
          </w:r>
          <w:r>
            <w:fldChar w:fldCharType="separate"/>
          </w:r>
          <w:r>
            <w:rPr>
              <w:rFonts w:hint="eastAsia" w:asciiTheme="minorEastAsia" w:hAnsiTheme="minorEastAsia"/>
              <w:sz w:val="24"/>
              <w:szCs w:val="32"/>
            </w:rPr>
            <w:t>4.7 渗沥液调节池防渗</w:t>
          </w:r>
          <w:r>
            <w:rPr>
              <w:sz w:val="24"/>
              <w:szCs w:val="32"/>
            </w:rPr>
            <w:tab/>
          </w:r>
          <w:r>
            <w:rPr>
              <w:sz w:val="24"/>
              <w:szCs w:val="32"/>
            </w:rPr>
            <w:fldChar w:fldCharType="begin"/>
          </w:r>
          <w:r>
            <w:rPr>
              <w:sz w:val="24"/>
              <w:szCs w:val="32"/>
            </w:rPr>
            <w:instrText xml:space="preserve"> PAGEREF _Toc9530 \h </w:instrText>
          </w:r>
          <w:r>
            <w:rPr>
              <w:sz w:val="24"/>
              <w:szCs w:val="32"/>
            </w:rPr>
            <w:fldChar w:fldCharType="separate"/>
          </w:r>
          <w:r>
            <w:rPr>
              <w:sz w:val="24"/>
              <w:szCs w:val="32"/>
            </w:rPr>
            <w:t>13</w:t>
          </w:r>
          <w:r>
            <w:rPr>
              <w:sz w:val="24"/>
              <w:szCs w:val="32"/>
            </w:rPr>
            <w:fldChar w:fldCharType="end"/>
          </w:r>
          <w:r>
            <w:rPr>
              <w:sz w:val="24"/>
              <w:szCs w:val="32"/>
            </w:rPr>
            <w:fldChar w:fldCharType="end"/>
          </w:r>
        </w:p>
        <w:p w14:paraId="0828B5C4">
          <w:pPr>
            <w:pStyle w:val="7"/>
            <w:tabs>
              <w:tab w:val="right" w:leader="dot" w:pos="8312"/>
            </w:tabs>
            <w:spacing w:line="360" w:lineRule="auto"/>
            <w:rPr>
              <w:sz w:val="24"/>
              <w:szCs w:val="32"/>
            </w:rPr>
          </w:pPr>
          <w:r>
            <w:fldChar w:fldCharType="begin"/>
          </w:r>
          <w:r>
            <w:instrText xml:space="preserve"> HYPERLINK \l "_Toc5579" </w:instrText>
          </w:r>
          <w:r>
            <w:fldChar w:fldCharType="separate"/>
          </w:r>
          <w:r>
            <w:rPr>
              <w:rFonts w:hint="eastAsia" w:ascii="黑体" w:hAnsi="黑体" w:eastAsia="黑体" w:cs="Times New Roman"/>
              <w:bCs/>
              <w:sz w:val="24"/>
              <w:szCs w:val="40"/>
            </w:rPr>
            <w:t>5  防渗系统工程施工</w:t>
          </w:r>
          <w:r>
            <w:rPr>
              <w:sz w:val="24"/>
              <w:szCs w:val="32"/>
            </w:rPr>
            <w:tab/>
          </w:r>
          <w:r>
            <w:rPr>
              <w:sz w:val="24"/>
              <w:szCs w:val="32"/>
            </w:rPr>
            <w:fldChar w:fldCharType="begin"/>
          </w:r>
          <w:r>
            <w:rPr>
              <w:sz w:val="24"/>
              <w:szCs w:val="32"/>
            </w:rPr>
            <w:instrText xml:space="preserve"> PAGEREF _Toc5579 \h </w:instrText>
          </w:r>
          <w:r>
            <w:rPr>
              <w:sz w:val="24"/>
              <w:szCs w:val="32"/>
            </w:rPr>
            <w:fldChar w:fldCharType="separate"/>
          </w:r>
          <w:r>
            <w:rPr>
              <w:sz w:val="24"/>
              <w:szCs w:val="32"/>
            </w:rPr>
            <w:t>15</w:t>
          </w:r>
          <w:r>
            <w:rPr>
              <w:sz w:val="24"/>
              <w:szCs w:val="32"/>
            </w:rPr>
            <w:fldChar w:fldCharType="end"/>
          </w:r>
          <w:r>
            <w:rPr>
              <w:sz w:val="24"/>
              <w:szCs w:val="32"/>
            </w:rPr>
            <w:fldChar w:fldCharType="end"/>
          </w:r>
        </w:p>
        <w:p w14:paraId="1CD1E61D">
          <w:pPr>
            <w:pStyle w:val="8"/>
            <w:tabs>
              <w:tab w:val="right" w:leader="dot" w:pos="8312"/>
            </w:tabs>
            <w:spacing w:line="360" w:lineRule="auto"/>
            <w:rPr>
              <w:sz w:val="24"/>
              <w:szCs w:val="32"/>
            </w:rPr>
          </w:pPr>
          <w:r>
            <w:fldChar w:fldCharType="begin"/>
          </w:r>
          <w:r>
            <w:instrText xml:space="preserve"> HYPERLINK \l "_Toc7554" </w:instrText>
          </w:r>
          <w:r>
            <w:fldChar w:fldCharType="separate"/>
          </w:r>
          <w:r>
            <w:rPr>
              <w:rFonts w:hint="eastAsia" w:asciiTheme="minorEastAsia" w:hAnsiTheme="minorEastAsia"/>
              <w:sz w:val="24"/>
              <w:szCs w:val="32"/>
            </w:rPr>
            <w:t>5.1 一般规定</w:t>
          </w:r>
          <w:r>
            <w:rPr>
              <w:sz w:val="24"/>
              <w:szCs w:val="32"/>
            </w:rPr>
            <w:tab/>
          </w:r>
          <w:r>
            <w:rPr>
              <w:sz w:val="24"/>
              <w:szCs w:val="32"/>
            </w:rPr>
            <w:fldChar w:fldCharType="begin"/>
          </w:r>
          <w:r>
            <w:rPr>
              <w:sz w:val="24"/>
              <w:szCs w:val="32"/>
            </w:rPr>
            <w:instrText xml:space="preserve"> PAGEREF _Toc7554 \h </w:instrText>
          </w:r>
          <w:r>
            <w:rPr>
              <w:sz w:val="24"/>
              <w:szCs w:val="32"/>
            </w:rPr>
            <w:fldChar w:fldCharType="separate"/>
          </w:r>
          <w:r>
            <w:rPr>
              <w:sz w:val="24"/>
              <w:szCs w:val="32"/>
            </w:rPr>
            <w:t>15</w:t>
          </w:r>
          <w:r>
            <w:rPr>
              <w:sz w:val="24"/>
              <w:szCs w:val="32"/>
            </w:rPr>
            <w:fldChar w:fldCharType="end"/>
          </w:r>
          <w:r>
            <w:rPr>
              <w:sz w:val="24"/>
              <w:szCs w:val="32"/>
            </w:rPr>
            <w:fldChar w:fldCharType="end"/>
          </w:r>
        </w:p>
        <w:p w14:paraId="3B75AC12">
          <w:pPr>
            <w:pStyle w:val="8"/>
            <w:tabs>
              <w:tab w:val="right" w:leader="dot" w:pos="8312"/>
            </w:tabs>
            <w:spacing w:line="360" w:lineRule="auto"/>
            <w:rPr>
              <w:sz w:val="24"/>
              <w:szCs w:val="32"/>
            </w:rPr>
          </w:pPr>
          <w:r>
            <w:fldChar w:fldCharType="begin"/>
          </w:r>
          <w:r>
            <w:instrText xml:space="preserve"> HYPERLINK \l "_Toc24729" </w:instrText>
          </w:r>
          <w:r>
            <w:fldChar w:fldCharType="separate"/>
          </w:r>
          <w:r>
            <w:rPr>
              <w:rFonts w:hint="eastAsia" w:asciiTheme="minorEastAsia" w:hAnsiTheme="minorEastAsia"/>
              <w:sz w:val="24"/>
              <w:szCs w:val="32"/>
            </w:rPr>
            <w:t>5.2 基础层施工</w:t>
          </w:r>
          <w:r>
            <w:rPr>
              <w:sz w:val="24"/>
              <w:szCs w:val="32"/>
            </w:rPr>
            <w:tab/>
          </w:r>
          <w:r>
            <w:rPr>
              <w:sz w:val="24"/>
              <w:szCs w:val="32"/>
            </w:rPr>
            <w:fldChar w:fldCharType="begin"/>
          </w:r>
          <w:r>
            <w:rPr>
              <w:sz w:val="24"/>
              <w:szCs w:val="32"/>
            </w:rPr>
            <w:instrText xml:space="preserve"> PAGEREF _Toc24729 \h </w:instrText>
          </w:r>
          <w:r>
            <w:rPr>
              <w:sz w:val="24"/>
              <w:szCs w:val="32"/>
            </w:rPr>
            <w:fldChar w:fldCharType="separate"/>
          </w:r>
          <w:r>
            <w:rPr>
              <w:sz w:val="24"/>
              <w:szCs w:val="32"/>
            </w:rPr>
            <w:t>15</w:t>
          </w:r>
          <w:r>
            <w:rPr>
              <w:sz w:val="24"/>
              <w:szCs w:val="32"/>
            </w:rPr>
            <w:fldChar w:fldCharType="end"/>
          </w:r>
          <w:r>
            <w:rPr>
              <w:sz w:val="24"/>
              <w:szCs w:val="32"/>
            </w:rPr>
            <w:fldChar w:fldCharType="end"/>
          </w:r>
        </w:p>
        <w:p w14:paraId="2C56F798">
          <w:pPr>
            <w:pStyle w:val="8"/>
            <w:tabs>
              <w:tab w:val="right" w:leader="dot" w:pos="8312"/>
            </w:tabs>
            <w:spacing w:line="360" w:lineRule="auto"/>
            <w:rPr>
              <w:sz w:val="24"/>
              <w:szCs w:val="32"/>
            </w:rPr>
          </w:pPr>
          <w:r>
            <w:fldChar w:fldCharType="begin"/>
          </w:r>
          <w:r>
            <w:instrText xml:space="preserve"> HYPERLINK \l "_Toc6101" </w:instrText>
          </w:r>
          <w:r>
            <w:fldChar w:fldCharType="separate"/>
          </w:r>
          <w:r>
            <w:rPr>
              <w:rFonts w:hint="eastAsia" w:asciiTheme="minorEastAsia" w:hAnsiTheme="minorEastAsia"/>
              <w:sz w:val="24"/>
              <w:szCs w:val="32"/>
            </w:rPr>
            <w:t>5.3 压实黏土防渗层施工</w:t>
          </w:r>
          <w:r>
            <w:rPr>
              <w:sz w:val="24"/>
              <w:szCs w:val="32"/>
            </w:rPr>
            <w:tab/>
          </w:r>
          <w:r>
            <w:rPr>
              <w:sz w:val="24"/>
              <w:szCs w:val="32"/>
            </w:rPr>
            <w:fldChar w:fldCharType="begin"/>
          </w:r>
          <w:r>
            <w:rPr>
              <w:sz w:val="24"/>
              <w:szCs w:val="32"/>
            </w:rPr>
            <w:instrText xml:space="preserve"> PAGEREF _Toc6101 \h </w:instrText>
          </w:r>
          <w:r>
            <w:rPr>
              <w:sz w:val="24"/>
              <w:szCs w:val="32"/>
            </w:rPr>
            <w:fldChar w:fldCharType="separate"/>
          </w:r>
          <w:r>
            <w:rPr>
              <w:sz w:val="24"/>
              <w:szCs w:val="32"/>
            </w:rPr>
            <w:t>15</w:t>
          </w:r>
          <w:r>
            <w:rPr>
              <w:sz w:val="24"/>
              <w:szCs w:val="32"/>
            </w:rPr>
            <w:fldChar w:fldCharType="end"/>
          </w:r>
          <w:r>
            <w:rPr>
              <w:sz w:val="24"/>
              <w:szCs w:val="32"/>
            </w:rPr>
            <w:fldChar w:fldCharType="end"/>
          </w:r>
        </w:p>
        <w:p w14:paraId="1F655FE2">
          <w:pPr>
            <w:pStyle w:val="8"/>
            <w:tabs>
              <w:tab w:val="right" w:leader="dot" w:pos="8312"/>
            </w:tabs>
            <w:spacing w:line="360" w:lineRule="auto"/>
            <w:rPr>
              <w:sz w:val="24"/>
              <w:szCs w:val="32"/>
            </w:rPr>
          </w:pPr>
          <w:r>
            <w:fldChar w:fldCharType="begin"/>
          </w:r>
          <w:r>
            <w:instrText xml:space="preserve"> HYPERLINK \l "_Toc778" </w:instrText>
          </w:r>
          <w:r>
            <w:fldChar w:fldCharType="separate"/>
          </w:r>
          <w:r>
            <w:rPr>
              <w:rFonts w:hint="eastAsia" w:asciiTheme="minorEastAsia" w:hAnsiTheme="minorEastAsia"/>
              <w:sz w:val="24"/>
              <w:szCs w:val="32"/>
            </w:rPr>
            <w:t>5.4 高密度聚乙烯土工膜铺设</w:t>
          </w:r>
          <w:r>
            <w:rPr>
              <w:sz w:val="24"/>
              <w:szCs w:val="32"/>
            </w:rPr>
            <w:tab/>
          </w:r>
          <w:r>
            <w:rPr>
              <w:sz w:val="24"/>
              <w:szCs w:val="32"/>
            </w:rPr>
            <w:fldChar w:fldCharType="begin"/>
          </w:r>
          <w:r>
            <w:rPr>
              <w:sz w:val="24"/>
              <w:szCs w:val="32"/>
            </w:rPr>
            <w:instrText xml:space="preserve"> PAGEREF _Toc778 \h </w:instrText>
          </w:r>
          <w:r>
            <w:rPr>
              <w:sz w:val="24"/>
              <w:szCs w:val="32"/>
            </w:rPr>
            <w:fldChar w:fldCharType="separate"/>
          </w:r>
          <w:r>
            <w:rPr>
              <w:sz w:val="24"/>
              <w:szCs w:val="32"/>
            </w:rPr>
            <w:t>16</w:t>
          </w:r>
          <w:r>
            <w:rPr>
              <w:sz w:val="24"/>
              <w:szCs w:val="32"/>
            </w:rPr>
            <w:fldChar w:fldCharType="end"/>
          </w:r>
          <w:r>
            <w:rPr>
              <w:sz w:val="24"/>
              <w:szCs w:val="32"/>
            </w:rPr>
            <w:fldChar w:fldCharType="end"/>
          </w:r>
        </w:p>
        <w:p w14:paraId="0F1C1687">
          <w:pPr>
            <w:pStyle w:val="8"/>
            <w:tabs>
              <w:tab w:val="right" w:leader="dot" w:pos="8312"/>
            </w:tabs>
            <w:spacing w:line="360" w:lineRule="auto"/>
            <w:rPr>
              <w:sz w:val="24"/>
              <w:szCs w:val="32"/>
            </w:rPr>
          </w:pPr>
          <w:r>
            <w:fldChar w:fldCharType="begin"/>
          </w:r>
          <w:r>
            <w:instrText xml:space="preserve"> HYPERLINK \l "_Toc5980" </w:instrText>
          </w:r>
          <w:r>
            <w:fldChar w:fldCharType="separate"/>
          </w:r>
          <w:r>
            <w:rPr>
              <w:rFonts w:hint="eastAsia" w:asciiTheme="minorEastAsia" w:hAnsiTheme="minorEastAsia"/>
              <w:sz w:val="24"/>
              <w:szCs w:val="32"/>
            </w:rPr>
            <w:t>5.5 土工布铺设</w:t>
          </w:r>
          <w:r>
            <w:rPr>
              <w:sz w:val="24"/>
              <w:szCs w:val="32"/>
            </w:rPr>
            <w:tab/>
          </w:r>
          <w:r>
            <w:rPr>
              <w:sz w:val="24"/>
              <w:szCs w:val="32"/>
            </w:rPr>
            <w:fldChar w:fldCharType="begin"/>
          </w:r>
          <w:r>
            <w:rPr>
              <w:sz w:val="24"/>
              <w:szCs w:val="32"/>
            </w:rPr>
            <w:instrText xml:space="preserve"> PAGEREF _Toc5980 \h </w:instrText>
          </w:r>
          <w:r>
            <w:rPr>
              <w:sz w:val="24"/>
              <w:szCs w:val="32"/>
            </w:rPr>
            <w:fldChar w:fldCharType="separate"/>
          </w:r>
          <w:r>
            <w:rPr>
              <w:sz w:val="24"/>
              <w:szCs w:val="32"/>
            </w:rPr>
            <w:t>17</w:t>
          </w:r>
          <w:r>
            <w:rPr>
              <w:sz w:val="24"/>
              <w:szCs w:val="32"/>
            </w:rPr>
            <w:fldChar w:fldCharType="end"/>
          </w:r>
          <w:r>
            <w:rPr>
              <w:sz w:val="24"/>
              <w:szCs w:val="32"/>
            </w:rPr>
            <w:fldChar w:fldCharType="end"/>
          </w:r>
        </w:p>
        <w:p w14:paraId="43990013">
          <w:pPr>
            <w:pStyle w:val="8"/>
            <w:tabs>
              <w:tab w:val="right" w:leader="dot" w:pos="8312"/>
            </w:tabs>
            <w:spacing w:line="360" w:lineRule="auto"/>
            <w:rPr>
              <w:sz w:val="24"/>
              <w:szCs w:val="32"/>
            </w:rPr>
          </w:pPr>
          <w:r>
            <w:fldChar w:fldCharType="begin"/>
          </w:r>
          <w:r>
            <w:instrText xml:space="preserve"> HYPERLINK \l "_Toc32388" </w:instrText>
          </w:r>
          <w:r>
            <w:fldChar w:fldCharType="separate"/>
          </w:r>
          <w:r>
            <w:rPr>
              <w:rFonts w:hint="eastAsia" w:asciiTheme="minorEastAsia" w:hAnsiTheme="minorEastAsia"/>
              <w:sz w:val="24"/>
              <w:szCs w:val="32"/>
            </w:rPr>
            <w:t>5.6 膨润土防水毯铺设</w:t>
          </w:r>
          <w:r>
            <w:rPr>
              <w:sz w:val="24"/>
              <w:szCs w:val="32"/>
            </w:rPr>
            <w:tab/>
          </w:r>
          <w:r>
            <w:rPr>
              <w:sz w:val="24"/>
              <w:szCs w:val="32"/>
            </w:rPr>
            <w:fldChar w:fldCharType="begin"/>
          </w:r>
          <w:r>
            <w:rPr>
              <w:sz w:val="24"/>
              <w:szCs w:val="32"/>
            </w:rPr>
            <w:instrText xml:space="preserve"> PAGEREF _Toc32388 \h </w:instrText>
          </w:r>
          <w:r>
            <w:rPr>
              <w:sz w:val="24"/>
              <w:szCs w:val="32"/>
            </w:rPr>
            <w:fldChar w:fldCharType="separate"/>
          </w:r>
          <w:r>
            <w:rPr>
              <w:sz w:val="24"/>
              <w:szCs w:val="32"/>
            </w:rPr>
            <w:t>18</w:t>
          </w:r>
          <w:r>
            <w:rPr>
              <w:sz w:val="24"/>
              <w:szCs w:val="32"/>
            </w:rPr>
            <w:fldChar w:fldCharType="end"/>
          </w:r>
          <w:r>
            <w:rPr>
              <w:sz w:val="24"/>
              <w:szCs w:val="32"/>
            </w:rPr>
            <w:fldChar w:fldCharType="end"/>
          </w:r>
        </w:p>
        <w:p w14:paraId="5FA4BA3C">
          <w:pPr>
            <w:pStyle w:val="8"/>
            <w:tabs>
              <w:tab w:val="right" w:leader="dot" w:pos="8312"/>
            </w:tabs>
            <w:spacing w:line="360" w:lineRule="auto"/>
            <w:rPr>
              <w:sz w:val="24"/>
              <w:szCs w:val="32"/>
            </w:rPr>
          </w:pPr>
          <w:r>
            <w:fldChar w:fldCharType="begin"/>
          </w:r>
          <w:r>
            <w:instrText xml:space="preserve"> HYPERLINK \l "_Toc10979" </w:instrText>
          </w:r>
          <w:r>
            <w:fldChar w:fldCharType="separate"/>
          </w:r>
          <w:r>
            <w:rPr>
              <w:rFonts w:hint="eastAsia" w:asciiTheme="minorEastAsia" w:hAnsiTheme="minorEastAsia"/>
              <w:sz w:val="24"/>
              <w:szCs w:val="32"/>
            </w:rPr>
            <w:t>5.7 土工复合排水网铺设</w:t>
          </w:r>
          <w:r>
            <w:rPr>
              <w:sz w:val="24"/>
              <w:szCs w:val="32"/>
            </w:rPr>
            <w:tab/>
          </w:r>
          <w:r>
            <w:rPr>
              <w:sz w:val="24"/>
              <w:szCs w:val="32"/>
            </w:rPr>
            <w:fldChar w:fldCharType="begin"/>
          </w:r>
          <w:r>
            <w:rPr>
              <w:sz w:val="24"/>
              <w:szCs w:val="32"/>
            </w:rPr>
            <w:instrText xml:space="preserve"> PAGEREF _Toc10979 \h </w:instrText>
          </w:r>
          <w:r>
            <w:rPr>
              <w:sz w:val="24"/>
              <w:szCs w:val="32"/>
            </w:rPr>
            <w:fldChar w:fldCharType="separate"/>
          </w:r>
          <w:r>
            <w:rPr>
              <w:sz w:val="24"/>
              <w:szCs w:val="32"/>
            </w:rPr>
            <w:t>20</w:t>
          </w:r>
          <w:r>
            <w:rPr>
              <w:sz w:val="24"/>
              <w:szCs w:val="32"/>
            </w:rPr>
            <w:fldChar w:fldCharType="end"/>
          </w:r>
          <w:r>
            <w:rPr>
              <w:sz w:val="24"/>
              <w:szCs w:val="32"/>
            </w:rPr>
            <w:fldChar w:fldCharType="end"/>
          </w:r>
        </w:p>
        <w:p w14:paraId="4D8967C3">
          <w:pPr>
            <w:pStyle w:val="8"/>
            <w:tabs>
              <w:tab w:val="right" w:leader="dot" w:pos="8312"/>
            </w:tabs>
            <w:spacing w:line="360" w:lineRule="auto"/>
            <w:rPr>
              <w:sz w:val="24"/>
              <w:szCs w:val="32"/>
            </w:rPr>
          </w:pPr>
          <w:r>
            <w:fldChar w:fldCharType="begin"/>
          </w:r>
          <w:r>
            <w:instrText xml:space="preserve"> HYPERLINK \l "_Toc21938" </w:instrText>
          </w:r>
          <w:r>
            <w:fldChar w:fldCharType="separate"/>
          </w:r>
          <w:r>
            <w:rPr>
              <w:rFonts w:hint="eastAsia" w:asciiTheme="minorEastAsia" w:hAnsiTheme="minorEastAsia"/>
              <w:sz w:val="24"/>
              <w:szCs w:val="32"/>
            </w:rPr>
            <w:t>5.8 防渗系统工程材料连接</w:t>
          </w:r>
          <w:r>
            <w:rPr>
              <w:sz w:val="24"/>
              <w:szCs w:val="32"/>
            </w:rPr>
            <w:tab/>
          </w:r>
          <w:r>
            <w:rPr>
              <w:sz w:val="24"/>
              <w:szCs w:val="32"/>
            </w:rPr>
            <w:fldChar w:fldCharType="begin"/>
          </w:r>
          <w:r>
            <w:rPr>
              <w:sz w:val="24"/>
              <w:szCs w:val="32"/>
            </w:rPr>
            <w:instrText xml:space="preserve"> PAGEREF _Toc21938 \h </w:instrText>
          </w:r>
          <w:r>
            <w:rPr>
              <w:sz w:val="24"/>
              <w:szCs w:val="32"/>
            </w:rPr>
            <w:fldChar w:fldCharType="separate"/>
          </w:r>
          <w:r>
            <w:rPr>
              <w:sz w:val="24"/>
              <w:szCs w:val="32"/>
            </w:rPr>
            <w:t>20</w:t>
          </w:r>
          <w:r>
            <w:rPr>
              <w:sz w:val="24"/>
              <w:szCs w:val="32"/>
            </w:rPr>
            <w:fldChar w:fldCharType="end"/>
          </w:r>
          <w:r>
            <w:rPr>
              <w:sz w:val="24"/>
              <w:szCs w:val="32"/>
            </w:rPr>
            <w:fldChar w:fldCharType="end"/>
          </w:r>
        </w:p>
        <w:p w14:paraId="2B5E871F">
          <w:pPr>
            <w:pStyle w:val="8"/>
            <w:tabs>
              <w:tab w:val="right" w:leader="dot" w:pos="8312"/>
            </w:tabs>
            <w:spacing w:line="360" w:lineRule="auto"/>
            <w:rPr>
              <w:sz w:val="24"/>
              <w:szCs w:val="32"/>
            </w:rPr>
          </w:pPr>
          <w:r>
            <w:fldChar w:fldCharType="begin"/>
          </w:r>
          <w:r>
            <w:instrText xml:space="preserve"> HYPERLINK \l "_Toc1327" </w:instrText>
          </w:r>
          <w:r>
            <w:fldChar w:fldCharType="separate"/>
          </w:r>
          <w:r>
            <w:rPr>
              <w:rFonts w:hint="eastAsia" w:asciiTheme="minorEastAsia" w:hAnsiTheme="minorEastAsia"/>
              <w:sz w:val="24"/>
              <w:szCs w:val="32"/>
            </w:rPr>
            <w:t>5.9 局部工程施工</w:t>
          </w:r>
          <w:r>
            <w:rPr>
              <w:sz w:val="24"/>
              <w:szCs w:val="32"/>
            </w:rPr>
            <w:tab/>
          </w:r>
          <w:r>
            <w:rPr>
              <w:sz w:val="24"/>
              <w:szCs w:val="32"/>
            </w:rPr>
            <w:fldChar w:fldCharType="begin"/>
          </w:r>
          <w:r>
            <w:rPr>
              <w:sz w:val="24"/>
              <w:szCs w:val="32"/>
            </w:rPr>
            <w:instrText xml:space="preserve"> PAGEREF _Toc1327 \h </w:instrText>
          </w:r>
          <w:r>
            <w:rPr>
              <w:sz w:val="24"/>
              <w:szCs w:val="32"/>
            </w:rPr>
            <w:fldChar w:fldCharType="separate"/>
          </w:r>
          <w:r>
            <w:rPr>
              <w:sz w:val="24"/>
              <w:szCs w:val="32"/>
            </w:rPr>
            <w:t>21</w:t>
          </w:r>
          <w:r>
            <w:rPr>
              <w:sz w:val="24"/>
              <w:szCs w:val="32"/>
            </w:rPr>
            <w:fldChar w:fldCharType="end"/>
          </w:r>
          <w:r>
            <w:rPr>
              <w:sz w:val="24"/>
              <w:szCs w:val="32"/>
            </w:rPr>
            <w:fldChar w:fldCharType="end"/>
          </w:r>
        </w:p>
        <w:p w14:paraId="64727D96">
          <w:pPr>
            <w:pStyle w:val="8"/>
            <w:tabs>
              <w:tab w:val="right" w:leader="dot" w:pos="8312"/>
            </w:tabs>
            <w:spacing w:line="360" w:lineRule="auto"/>
            <w:rPr>
              <w:sz w:val="24"/>
              <w:szCs w:val="32"/>
            </w:rPr>
          </w:pPr>
          <w:r>
            <w:fldChar w:fldCharType="begin"/>
          </w:r>
          <w:r>
            <w:instrText xml:space="preserve"> HYPERLINK \l "_Toc26599" </w:instrText>
          </w:r>
          <w:r>
            <w:fldChar w:fldCharType="separate"/>
          </w:r>
          <w:r>
            <w:rPr>
              <w:rFonts w:hint="eastAsia" w:asciiTheme="minorEastAsia" w:hAnsiTheme="minorEastAsia"/>
              <w:sz w:val="24"/>
              <w:szCs w:val="32"/>
            </w:rPr>
            <w:t>5.10 绿色施工措施</w:t>
          </w:r>
          <w:r>
            <w:rPr>
              <w:sz w:val="24"/>
              <w:szCs w:val="32"/>
            </w:rPr>
            <w:tab/>
          </w:r>
          <w:r>
            <w:rPr>
              <w:sz w:val="24"/>
              <w:szCs w:val="32"/>
            </w:rPr>
            <w:fldChar w:fldCharType="begin"/>
          </w:r>
          <w:r>
            <w:rPr>
              <w:sz w:val="24"/>
              <w:szCs w:val="32"/>
            </w:rPr>
            <w:instrText xml:space="preserve"> PAGEREF _Toc26599 \h </w:instrText>
          </w:r>
          <w:r>
            <w:rPr>
              <w:sz w:val="24"/>
              <w:szCs w:val="32"/>
            </w:rPr>
            <w:fldChar w:fldCharType="separate"/>
          </w:r>
          <w:r>
            <w:rPr>
              <w:sz w:val="24"/>
              <w:szCs w:val="32"/>
            </w:rPr>
            <w:t>23</w:t>
          </w:r>
          <w:r>
            <w:rPr>
              <w:sz w:val="24"/>
              <w:szCs w:val="32"/>
            </w:rPr>
            <w:fldChar w:fldCharType="end"/>
          </w:r>
          <w:r>
            <w:rPr>
              <w:sz w:val="24"/>
              <w:szCs w:val="32"/>
            </w:rPr>
            <w:fldChar w:fldCharType="end"/>
          </w:r>
        </w:p>
        <w:p w14:paraId="1748CEB8">
          <w:pPr>
            <w:pStyle w:val="7"/>
            <w:tabs>
              <w:tab w:val="right" w:leader="dot" w:pos="8312"/>
            </w:tabs>
            <w:spacing w:line="360" w:lineRule="auto"/>
            <w:rPr>
              <w:sz w:val="24"/>
              <w:szCs w:val="32"/>
            </w:rPr>
          </w:pPr>
          <w:r>
            <w:fldChar w:fldCharType="begin"/>
          </w:r>
          <w:r>
            <w:instrText xml:space="preserve"> HYPERLINK \l "_Toc10598" </w:instrText>
          </w:r>
          <w:r>
            <w:fldChar w:fldCharType="separate"/>
          </w:r>
          <w:r>
            <w:rPr>
              <w:rFonts w:hint="eastAsia" w:ascii="黑体" w:hAnsi="黑体" w:eastAsia="黑体" w:cs="Times New Roman"/>
              <w:bCs/>
              <w:sz w:val="24"/>
              <w:szCs w:val="40"/>
            </w:rPr>
            <w:t>6 防渗系统工程验收及维护</w:t>
          </w:r>
          <w:r>
            <w:rPr>
              <w:sz w:val="24"/>
              <w:szCs w:val="32"/>
            </w:rPr>
            <w:tab/>
          </w:r>
          <w:r>
            <w:rPr>
              <w:sz w:val="24"/>
              <w:szCs w:val="32"/>
            </w:rPr>
            <w:fldChar w:fldCharType="begin"/>
          </w:r>
          <w:r>
            <w:rPr>
              <w:sz w:val="24"/>
              <w:szCs w:val="32"/>
            </w:rPr>
            <w:instrText xml:space="preserve"> PAGEREF _Toc10598 \h </w:instrText>
          </w:r>
          <w:r>
            <w:rPr>
              <w:sz w:val="24"/>
              <w:szCs w:val="32"/>
            </w:rPr>
            <w:fldChar w:fldCharType="separate"/>
          </w:r>
          <w:r>
            <w:rPr>
              <w:sz w:val="24"/>
              <w:szCs w:val="32"/>
            </w:rPr>
            <w:t>26</w:t>
          </w:r>
          <w:r>
            <w:rPr>
              <w:sz w:val="24"/>
              <w:szCs w:val="32"/>
            </w:rPr>
            <w:fldChar w:fldCharType="end"/>
          </w:r>
          <w:r>
            <w:rPr>
              <w:sz w:val="24"/>
              <w:szCs w:val="32"/>
            </w:rPr>
            <w:fldChar w:fldCharType="end"/>
          </w:r>
        </w:p>
        <w:p w14:paraId="5F2F198C">
          <w:pPr>
            <w:pStyle w:val="8"/>
            <w:tabs>
              <w:tab w:val="right" w:leader="dot" w:pos="8312"/>
            </w:tabs>
            <w:spacing w:line="360" w:lineRule="auto"/>
            <w:rPr>
              <w:sz w:val="24"/>
              <w:szCs w:val="32"/>
            </w:rPr>
          </w:pPr>
          <w:r>
            <w:fldChar w:fldCharType="begin"/>
          </w:r>
          <w:r>
            <w:instrText xml:space="preserve"> HYPERLINK \l "_Toc12387" </w:instrText>
          </w:r>
          <w:r>
            <w:fldChar w:fldCharType="separate"/>
          </w:r>
          <w:r>
            <w:rPr>
              <w:rFonts w:hint="eastAsia" w:asciiTheme="minorEastAsia" w:hAnsiTheme="minorEastAsia"/>
              <w:sz w:val="24"/>
              <w:szCs w:val="32"/>
            </w:rPr>
            <w:t>6.1 防渗系统工程验收</w:t>
          </w:r>
          <w:r>
            <w:rPr>
              <w:sz w:val="24"/>
              <w:szCs w:val="32"/>
            </w:rPr>
            <w:tab/>
          </w:r>
          <w:r>
            <w:rPr>
              <w:sz w:val="24"/>
              <w:szCs w:val="32"/>
            </w:rPr>
            <w:fldChar w:fldCharType="begin"/>
          </w:r>
          <w:r>
            <w:rPr>
              <w:sz w:val="24"/>
              <w:szCs w:val="32"/>
            </w:rPr>
            <w:instrText xml:space="preserve"> PAGEREF _Toc12387 \h </w:instrText>
          </w:r>
          <w:r>
            <w:rPr>
              <w:sz w:val="24"/>
              <w:szCs w:val="32"/>
            </w:rPr>
            <w:fldChar w:fldCharType="separate"/>
          </w:r>
          <w:r>
            <w:rPr>
              <w:sz w:val="24"/>
              <w:szCs w:val="32"/>
            </w:rPr>
            <w:t>26</w:t>
          </w:r>
          <w:r>
            <w:rPr>
              <w:sz w:val="24"/>
              <w:szCs w:val="32"/>
            </w:rPr>
            <w:fldChar w:fldCharType="end"/>
          </w:r>
          <w:r>
            <w:rPr>
              <w:sz w:val="24"/>
              <w:szCs w:val="32"/>
            </w:rPr>
            <w:fldChar w:fldCharType="end"/>
          </w:r>
        </w:p>
        <w:p w14:paraId="2CF3EC3F">
          <w:pPr>
            <w:pStyle w:val="8"/>
            <w:tabs>
              <w:tab w:val="right" w:leader="dot" w:pos="8312"/>
            </w:tabs>
            <w:spacing w:line="360" w:lineRule="auto"/>
            <w:rPr>
              <w:sz w:val="24"/>
              <w:szCs w:val="32"/>
            </w:rPr>
          </w:pPr>
          <w:r>
            <w:fldChar w:fldCharType="begin"/>
          </w:r>
          <w:r>
            <w:instrText xml:space="preserve"> HYPERLINK \l "_Toc24494" </w:instrText>
          </w:r>
          <w:r>
            <w:fldChar w:fldCharType="separate"/>
          </w:r>
          <w:r>
            <w:rPr>
              <w:rFonts w:hint="eastAsia" w:asciiTheme="minorEastAsia" w:hAnsiTheme="minorEastAsia"/>
              <w:sz w:val="24"/>
              <w:szCs w:val="32"/>
            </w:rPr>
            <w:t>6.2 防渗体系统工程维护</w:t>
          </w:r>
          <w:r>
            <w:rPr>
              <w:sz w:val="24"/>
              <w:szCs w:val="32"/>
            </w:rPr>
            <w:tab/>
          </w:r>
          <w:r>
            <w:rPr>
              <w:sz w:val="24"/>
              <w:szCs w:val="32"/>
            </w:rPr>
            <w:fldChar w:fldCharType="begin"/>
          </w:r>
          <w:r>
            <w:rPr>
              <w:sz w:val="24"/>
              <w:szCs w:val="32"/>
            </w:rPr>
            <w:instrText xml:space="preserve"> PAGEREF _Toc24494 \h </w:instrText>
          </w:r>
          <w:r>
            <w:rPr>
              <w:sz w:val="24"/>
              <w:szCs w:val="32"/>
            </w:rPr>
            <w:fldChar w:fldCharType="separate"/>
          </w:r>
          <w:r>
            <w:rPr>
              <w:sz w:val="24"/>
              <w:szCs w:val="32"/>
            </w:rPr>
            <w:t>26</w:t>
          </w:r>
          <w:r>
            <w:rPr>
              <w:sz w:val="24"/>
              <w:szCs w:val="32"/>
            </w:rPr>
            <w:fldChar w:fldCharType="end"/>
          </w:r>
          <w:r>
            <w:rPr>
              <w:sz w:val="24"/>
              <w:szCs w:val="32"/>
            </w:rPr>
            <w:fldChar w:fldCharType="end"/>
          </w:r>
        </w:p>
        <w:p w14:paraId="24BB054E">
          <w:pPr>
            <w:pStyle w:val="7"/>
            <w:tabs>
              <w:tab w:val="right" w:leader="dot" w:pos="8312"/>
            </w:tabs>
            <w:spacing w:line="360" w:lineRule="auto"/>
            <w:rPr>
              <w:sz w:val="24"/>
              <w:szCs w:val="32"/>
            </w:rPr>
          </w:pPr>
          <w:r>
            <w:fldChar w:fldCharType="begin"/>
          </w:r>
          <w:r>
            <w:instrText xml:space="preserve"> HYPERLINK \l "_Toc20728" </w:instrText>
          </w:r>
          <w:r>
            <w:fldChar w:fldCharType="separate"/>
          </w:r>
          <w:r>
            <w:rPr>
              <w:bCs/>
              <w:spacing w:val="-2"/>
              <w:sz w:val="24"/>
              <w:szCs w:val="36"/>
            </w:rPr>
            <w:t>附录</w:t>
          </w:r>
          <w:r>
            <w:rPr>
              <w:rFonts w:ascii="Times New Roman" w:hAnsi="Times New Roman" w:eastAsia="Times New Roman" w:cs="Times New Roman"/>
              <w:b w:val="0"/>
              <w:bCs/>
              <w:spacing w:val="-2"/>
              <w:sz w:val="24"/>
              <w:szCs w:val="36"/>
            </w:rPr>
            <w:t>A</w:t>
          </w:r>
          <w:r>
            <w:rPr>
              <w:rFonts w:ascii="Times New Roman" w:hAnsi="Times New Roman" w:eastAsia="Times New Roman" w:cs="Times New Roman"/>
              <w:bCs/>
              <w:spacing w:val="-2"/>
              <w:sz w:val="24"/>
              <w:szCs w:val="36"/>
            </w:rPr>
            <w:t xml:space="preserve">  </w:t>
          </w:r>
          <w:r>
            <w:rPr>
              <w:bCs/>
              <w:spacing w:val="-2"/>
              <w:sz w:val="24"/>
              <w:szCs w:val="36"/>
            </w:rPr>
            <w:t>高密度聚乙烯土工膜铺设施工记录</w:t>
          </w:r>
          <w:r>
            <w:rPr>
              <w:sz w:val="24"/>
              <w:szCs w:val="32"/>
            </w:rPr>
            <w:tab/>
          </w:r>
          <w:r>
            <w:rPr>
              <w:sz w:val="24"/>
              <w:szCs w:val="32"/>
            </w:rPr>
            <w:fldChar w:fldCharType="begin"/>
          </w:r>
          <w:r>
            <w:rPr>
              <w:sz w:val="24"/>
              <w:szCs w:val="32"/>
            </w:rPr>
            <w:instrText xml:space="preserve"> PAGEREF _Toc20728 \h </w:instrText>
          </w:r>
          <w:r>
            <w:rPr>
              <w:sz w:val="24"/>
              <w:szCs w:val="32"/>
            </w:rPr>
            <w:fldChar w:fldCharType="separate"/>
          </w:r>
          <w:r>
            <w:rPr>
              <w:sz w:val="24"/>
              <w:szCs w:val="32"/>
            </w:rPr>
            <w:t>28</w:t>
          </w:r>
          <w:r>
            <w:rPr>
              <w:sz w:val="24"/>
              <w:szCs w:val="32"/>
            </w:rPr>
            <w:fldChar w:fldCharType="end"/>
          </w:r>
          <w:r>
            <w:rPr>
              <w:sz w:val="24"/>
              <w:szCs w:val="32"/>
            </w:rPr>
            <w:fldChar w:fldCharType="end"/>
          </w:r>
        </w:p>
        <w:p w14:paraId="35C741B3">
          <w:pPr>
            <w:pStyle w:val="7"/>
            <w:tabs>
              <w:tab w:val="right" w:leader="dot" w:pos="8312"/>
            </w:tabs>
            <w:spacing w:line="360" w:lineRule="auto"/>
            <w:rPr>
              <w:sz w:val="24"/>
              <w:szCs w:val="32"/>
            </w:rPr>
          </w:pPr>
          <w:r>
            <w:fldChar w:fldCharType="begin"/>
          </w:r>
          <w:r>
            <w:instrText xml:space="preserve"> HYPERLINK \l "_Toc23501" </w:instrText>
          </w:r>
          <w:r>
            <w:fldChar w:fldCharType="separate"/>
          </w:r>
          <w:r>
            <w:rPr>
              <w:bCs/>
              <w:spacing w:val="-2"/>
              <w:sz w:val="24"/>
              <w:szCs w:val="36"/>
            </w:rPr>
            <w:t>附录B  高密度聚乙烯土工膜试样焊接记录</w:t>
          </w:r>
          <w:r>
            <w:rPr>
              <w:sz w:val="24"/>
              <w:szCs w:val="32"/>
            </w:rPr>
            <w:tab/>
          </w:r>
          <w:r>
            <w:rPr>
              <w:sz w:val="24"/>
              <w:szCs w:val="32"/>
            </w:rPr>
            <w:fldChar w:fldCharType="begin"/>
          </w:r>
          <w:r>
            <w:rPr>
              <w:sz w:val="24"/>
              <w:szCs w:val="32"/>
            </w:rPr>
            <w:instrText xml:space="preserve"> PAGEREF _Toc23501 \h </w:instrText>
          </w:r>
          <w:r>
            <w:rPr>
              <w:sz w:val="24"/>
              <w:szCs w:val="32"/>
            </w:rPr>
            <w:fldChar w:fldCharType="separate"/>
          </w:r>
          <w:r>
            <w:rPr>
              <w:sz w:val="24"/>
              <w:szCs w:val="32"/>
            </w:rPr>
            <w:t>29</w:t>
          </w:r>
          <w:r>
            <w:rPr>
              <w:sz w:val="24"/>
              <w:szCs w:val="32"/>
            </w:rPr>
            <w:fldChar w:fldCharType="end"/>
          </w:r>
          <w:r>
            <w:rPr>
              <w:sz w:val="24"/>
              <w:szCs w:val="32"/>
            </w:rPr>
            <w:fldChar w:fldCharType="end"/>
          </w:r>
        </w:p>
        <w:p w14:paraId="38304AFE">
          <w:pPr>
            <w:pStyle w:val="7"/>
            <w:tabs>
              <w:tab w:val="right" w:leader="dot" w:pos="8312"/>
            </w:tabs>
            <w:spacing w:line="360" w:lineRule="auto"/>
            <w:rPr>
              <w:sz w:val="24"/>
              <w:szCs w:val="32"/>
            </w:rPr>
          </w:pPr>
          <w:r>
            <w:fldChar w:fldCharType="begin"/>
          </w:r>
          <w:r>
            <w:instrText xml:space="preserve"> HYPERLINK \l "_Toc19107" </w:instrText>
          </w:r>
          <w:r>
            <w:fldChar w:fldCharType="separate"/>
          </w:r>
          <w:r>
            <w:rPr>
              <w:bCs/>
              <w:spacing w:val="-2"/>
              <w:sz w:val="24"/>
              <w:szCs w:val="36"/>
            </w:rPr>
            <w:t xml:space="preserve">附录C </w:t>
          </w:r>
          <w:r>
            <w:rPr>
              <w:rFonts w:hint="eastAsia"/>
              <w:bCs/>
              <w:spacing w:val="-2"/>
              <w:sz w:val="24"/>
              <w:szCs w:val="36"/>
            </w:rPr>
            <w:t xml:space="preserve"> </w:t>
          </w:r>
          <w:r>
            <w:rPr>
              <w:bCs/>
              <w:spacing w:val="-2"/>
              <w:sz w:val="24"/>
              <w:szCs w:val="36"/>
            </w:rPr>
            <w:t>气压、真空和破坏性检测及电火花测试方法</w:t>
          </w:r>
          <w:r>
            <w:rPr>
              <w:sz w:val="24"/>
              <w:szCs w:val="32"/>
            </w:rPr>
            <w:tab/>
          </w:r>
          <w:r>
            <w:rPr>
              <w:sz w:val="24"/>
              <w:szCs w:val="32"/>
            </w:rPr>
            <w:fldChar w:fldCharType="begin"/>
          </w:r>
          <w:r>
            <w:rPr>
              <w:sz w:val="24"/>
              <w:szCs w:val="32"/>
            </w:rPr>
            <w:instrText xml:space="preserve"> PAGEREF _Toc19107 \h </w:instrText>
          </w:r>
          <w:r>
            <w:rPr>
              <w:sz w:val="24"/>
              <w:szCs w:val="32"/>
            </w:rPr>
            <w:fldChar w:fldCharType="separate"/>
          </w:r>
          <w:r>
            <w:rPr>
              <w:sz w:val="24"/>
              <w:szCs w:val="32"/>
            </w:rPr>
            <w:t>32</w:t>
          </w:r>
          <w:r>
            <w:rPr>
              <w:sz w:val="24"/>
              <w:szCs w:val="32"/>
            </w:rPr>
            <w:fldChar w:fldCharType="end"/>
          </w:r>
          <w:r>
            <w:rPr>
              <w:sz w:val="24"/>
              <w:szCs w:val="32"/>
            </w:rPr>
            <w:fldChar w:fldCharType="end"/>
          </w:r>
        </w:p>
        <w:p w14:paraId="2FB9B962">
          <w:pPr>
            <w:pStyle w:val="7"/>
            <w:tabs>
              <w:tab w:val="right" w:leader="dot" w:pos="8312"/>
            </w:tabs>
            <w:spacing w:line="360" w:lineRule="auto"/>
            <w:rPr>
              <w:sz w:val="24"/>
              <w:szCs w:val="32"/>
            </w:rPr>
          </w:pPr>
          <w:r>
            <w:fldChar w:fldCharType="begin"/>
          </w:r>
          <w:r>
            <w:instrText xml:space="preserve"> HYPERLINK \l "_Toc3541" </w:instrText>
          </w:r>
          <w:r>
            <w:fldChar w:fldCharType="separate"/>
          </w:r>
          <w:r>
            <w:rPr>
              <w:bCs/>
              <w:spacing w:val="-2"/>
              <w:sz w:val="24"/>
              <w:szCs w:val="36"/>
            </w:rPr>
            <w:t>附录D  高密度聚乙烯土工膜施工工序质量检查评定</w:t>
          </w:r>
          <w:r>
            <w:rPr>
              <w:sz w:val="24"/>
              <w:szCs w:val="32"/>
            </w:rPr>
            <w:tab/>
          </w:r>
          <w:r>
            <w:rPr>
              <w:sz w:val="24"/>
              <w:szCs w:val="32"/>
            </w:rPr>
            <w:fldChar w:fldCharType="begin"/>
          </w:r>
          <w:r>
            <w:rPr>
              <w:sz w:val="24"/>
              <w:szCs w:val="32"/>
            </w:rPr>
            <w:instrText xml:space="preserve"> PAGEREF _Toc3541 \h </w:instrText>
          </w:r>
          <w:r>
            <w:rPr>
              <w:sz w:val="24"/>
              <w:szCs w:val="32"/>
            </w:rPr>
            <w:fldChar w:fldCharType="separate"/>
          </w:r>
          <w:r>
            <w:rPr>
              <w:sz w:val="24"/>
              <w:szCs w:val="32"/>
            </w:rPr>
            <w:t>34</w:t>
          </w:r>
          <w:r>
            <w:rPr>
              <w:sz w:val="24"/>
              <w:szCs w:val="32"/>
            </w:rPr>
            <w:fldChar w:fldCharType="end"/>
          </w:r>
          <w:r>
            <w:rPr>
              <w:sz w:val="24"/>
              <w:szCs w:val="32"/>
            </w:rPr>
            <w:fldChar w:fldCharType="end"/>
          </w:r>
        </w:p>
        <w:p w14:paraId="0309A68B">
          <w:pPr>
            <w:pStyle w:val="7"/>
            <w:tabs>
              <w:tab w:val="right" w:leader="dot" w:pos="8312"/>
            </w:tabs>
            <w:spacing w:line="360" w:lineRule="auto"/>
            <w:rPr>
              <w:sz w:val="24"/>
              <w:szCs w:val="32"/>
            </w:rPr>
          </w:pPr>
          <w:r>
            <w:fldChar w:fldCharType="begin"/>
          </w:r>
          <w:r>
            <w:instrText xml:space="preserve"> HYPERLINK \l "_Toc7182" </w:instrText>
          </w:r>
          <w:r>
            <w:fldChar w:fldCharType="separate"/>
          </w:r>
          <w:r>
            <w:rPr>
              <w:bCs/>
              <w:spacing w:val="-5"/>
              <w:sz w:val="24"/>
              <w:szCs w:val="44"/>
            </w:rPr>
            <w:t>本标准用词说明</w:t>
          </w:r>
          <w:r>
            <w:rPr>
              <w:sz w:val="24"/>
              <w:szCs w:val="32"/>
            </w:rPr>
            <w:tab/>
          </w:r>
          <w:r>
            <w:rPr>
              <w:sz w:val="24"/>
              <w:szCs w:val="32"/>
            </w:rPr>
            <w:fldChar w:fldCharType="begin"/>
          </w:r>
          <w:r>
            <w:rPr>
              <w:sz w:val="24"/>
              <w:szCs w:val="32"/>
            </w:rPr>
            <w:instrText xml:space="preserve"> PAGEREF _Toc7182 \h </w:instrText>
          </w:r>
          <w:r>
            <w:rPr>
              <w:sz w:val="24"/>
              <w:szCs w:val="32"/>
            </w:rPr>
            <w:fldChar w:fldCharType="separate"/>
          </w:r>
          <w:r>
            <w:rPr>
              <w:sz w:val="24"/>
              <w:szCs w:val="32"/>
            </w:rPr>
            <w:t>35</w:t>
          </w:r>
          <w:r>
            <w:rPr>
              <w:sz w:val="24"/>
              <w:szCs w:val="32"/>
            </w:rPr>
            <w:fldChar w:fldCharType="end"/>
          </w:r>
          <w:r>
            <w:rPr>
              <w:sz w:val="24"/>
              <w:szCs w:val="32"/>
            </w:rPr>
            <w:fldChar w:fldCharType="end"/>
          </w:r>
        </w:p>
        <w:p w14:paraId="2446CFFB">
          <w:pPr>
            <w:pStyle w:val="7"/>
            <w:tabs>
              <w:tab w:val="right" w:leader="dot" w:pos="8312"/>
            </w:tabs>
            <w:spacing w:line="360" w:lineRule="auto"/>
          </w:pPr>
          <w:r>
            <w:fldChar w:fldCharType="begin"/>
          </w:r>
          <w:r>
            <w:instrText xml:space="preserve"> HYPERLINK \l "_Toc5409" </w:instrText>
          </w:r>
          <w:r>
            <w:fldChar w:fldCharType="separate"/>
          </w:r>
          <w:r>
            <w:rPr>
              <w:bCs/>
              <w:spacing w:val="-5"/>
              <w:sz w:val="24"/>
              <w:szCs w:val="44"/>
            </w:rPr>
            <w:t>引用标准名录</w:t>
          </w:r>
          <w:r>
            <w:rPr>
              <w:sz w:val="24"/>
              <w:szCs w:val="32"/>
            </w:rPr>
            <w:tab/>
          </w:r>
          <w:r>
            <w:rPr>
              <w:sz w:val="24"/>
              <w:szCs w:val="32"/>
            </w:rPr>
            <w:fldChar w:fldCharType="begin"/>
          </w:r>
          <w:r>
            <w:rPr>
              <w:sz w:val="24"/>
              <w:szCs w:val="32"/>
            </w:rPr>
            <w:instrText xml:space="preserve"> PAGEREF _Toc5409 \h </w:instrText>
          </w:r>
          <w:r>
            <w:rPr>
              <w:sz w:val="24"/>
              <w:szCs w:val="32"/>
            </w:rPr>
            <w:fldChar w:fldCharType="separate"/>
          </w:r>
          <w:r>
            <w:rPr>
              <w:sz w:val="24"/>
              <w:szCs w:val="32"/>
            </w:rPr>
            <w:t>36</w:t>
          </w:r>
          <w:r>
            <w:rPr>
              <w:sz w:val="24"/>
              <w:szCs w:val="32"/>
            </w:rPr>
            <w:fldChar w:fldCharType="end"/>
          </w:r>
          <w:r>
            <w:rPr>
              <w:sz w:val="24"/>
              <w:szCs w:val="32"/>
            </w:rPr>
            <w:fldChar w:fldCharType="end"/>
          </w:r>
        </w:p>
        <w:p w14:paraId="4BA58D7A">
          <w:pPr>
            <w:jc w:val="both"/>
            <w:rPr>
              <w:rFonts w:hint="eastAsia" w:ascii="宋体" w:hAnsi="宋体" w:eastAsia="宋体" w:cs="宋体"/>
              <w:kern w:val="2"/>
              <w:sz w:val="24"/>
              <w:szCs w:val="24"/>
              <w:lang w:val="en-US" w:eastAsia="zh-CN" w:bidi="ar-SA"/>
            </w:rPr>
          </w:pPr>
          <w:r>
            <w:rPr>
              <w:rFonts w:hint="eastAsia"/>
            </w:rPr>
            <w:fldChar w:fldCharType="end"/>
          </w:r>
          <w:r>
            <w:rPr>
              <w:rFonts w:hint="eastAsia" w:ascii="宋体" w:hAnsi="宋体" w:eastAsia="宋体" w:cs="宋体"/>
              <w:kern w:val="2"/>
              <w:sz w:val="24"/>
              <w:szCs w:val="24"/>
              <w:lang w:val="en-US" w:eastAsia="zh-CN" w:bidi="ar-SA"/>
            </w:rPr>
            <w:t>附：条文说明</w:t>
          </w:r>
          <w:r>
            <w:rPr>
              <w:rFonts w:hint="eastAsia" w:ascii="宋体" w:hAnsi="宋体" w:eastAsia="宋体" w:cs="宋体"/>
              <w:b w:val="0"/>
              <w:bCs w:val="0"/>
              <w:kern w:val="2"/>
              <w:sz w:val="22"/>
              <w:szCs w:val="22"/>
              <w:lang w:val="en-US" w:eastAsia="zh-CN" w:bidi="ar-SA"/>
            </w:rPr>
            <w:t>………………………………………………………………………</w:t>
          </w:r>
          <w:r>
            <w:rPr>
              <w:rFonts w:hint="eastAsia" w:ascii="宋体" w:hAnsi="宋体" w:eastAsia="宋体" w:cs="宋体"/>
              <w:b w:val="0"/>
              <w:bCs w:val="0"/>
              <w:kern w:val="2"/>
              <w:sz w:val="22"/>
              <w:szCs w:val="22"/>
              <w:lang w:val="en-US" w:eastAsia="zh-CN" w:bidi="ar-SA"/>
            </w:rPr>
            <w:t>……</w:t>
          </w:r>
          <w:r>
            <w:rPr>
              <w:rFonts w:hint="eastAsia" w:ascii="宋体" w:hAnsi="宋体" w:eastAsia="宋体" w:cs="宋体"/>
              <w:b w:val="0"/>
              <w:bCs w:val="0"/>
              <w:kern w:val="2"/>
              <w:sz w:val="22"/>
              <w:szCs w:val="22"/>
              <w:lang w:val="en-US" w:eastAsia="zh-CN" w:bidi="ar-SA"/>
            </w:rPr>
            <w:t>…</w:t>
          </w:r>
          <w:r>
            <w:rPr>
              <w:rFonts w:hint="eastAsia" w:asciiTheme="minorHAnsi" w:hAnsiTheme="minorHAnsi" w:eastAsiaTheme="minorEastAsia" w:cstheme="minorBidi"/>
              <w:kern w:val="2"/>
              <w:sz w:val="24"/>
              <w:szCs w:val="32"/>
              <w:lang w:val="en-US" w:eastAsia="zh-CN" w:bidi="ar-SA"/>
            </w:rPr>
            <w:t>3</w:t>
          </w:r>
          <w:r>
            <w:rPr>
              <w:rFonts w:hint="eastAsia" w:asciiTheme="minorHAnsi" w:hAnsiTheme="minorHAnsi" w:eastAsiaTheme="minorEastAsia" w:cstheme="minorBidi"/>
              <w:kern w:val="2"/>
              <w:sz w:val="24"/>
              <w:szCs w:val="32"/>
              <w:lang w:val="en-US" w:eastAsia="zh-CN" w:bidi="ar-SA"/>
            </w:rPr>
            <w:t>7</w:t>
          </w:r>
        </w:p>
        <w:p w14:paraId="29316221">
          <w:pPr>
            <w:spacing w:before="50" w:after="50"/>
            <w:jc w:val="left"/>
            <w:rPr>
              <w:rFonts w:ascii="宋体" w:hAnsi="宋体"/>
            </w:rPr>
          </w:pPr>
        </w:p>
      </w:sdtContent>
    </w:sdt>
    <w:p w14:paraId="668E5989">
      <w:pPr>
        <w:spacing w:before="50" w:after="50"/>
        <w:jc w:val="left"/>
        <w:rPr>
          <w:rFonts w:ascii="宋体" w:hAnsi="宋体"/>
        </w:rPr>
      </w:pPr>
    </w:p>
    <w:p w14:paraId="7E0DDCE5">
      <w:pPr>
        <w:spacing w:before="50" w:after="50"/>
        <w:jc w:val="left"/>
        <w:rPr>
          <w:rFonts w:ascii="宋体" w:hAnsi="宋体"/>
        </w:rPr>
      </w:pPr>
    </w:p>
    <w:p w14:paraId="74E02E41">
      <w:pPr>
        <w:spacing w:before="50" w:after="50"/>
        <w:jc w:val="left"/>
        <w:rPr>
          <w:rFonts w:ascii="宋体" w:hAnsi="宋体"/>
        </w:rPr>
      </w:pPr>
    </w:p>
    <w:p w14:paraId="575B7790">
      <w:pPr>
        <w:spacing w:before="50" w:after="50"/>
        <w:jc w:val="left"/>
        <w:rPr>
          <w:rFonts w:ascii="宋体" w:hAnsi="宋体"/>
        </w:rPr>
      </w:pPr>
    </w:p>
    <w:p w14:paraId="6B06A434">
      <w:pPr>
        <w:spacing w:before="50" w:after="50"/>
        <w:jc w:val="left"/>
        <w:rPr>
          <w:rFonts w:ascii="宋体" w:hAnsi="宋体"/>
        </w:rPr>
      </w:pPr>
    </w:p>
    <w:p w14:paraId="78D6575F">
      <w:pPr>
        <w:spacing w:before="50" w:after="50"/>
        <w:jc w:val="left"/>
        <w:rPr>
          <w:rFonts w:ascii="宋体" w:hAnsi="宋体"/>
        </w:rPr>
        <w:sectPr>
          <w:footerReference r:id="rId3" w:type="default"/>
          <w:footerReference r:id="rId4" w:type="even"/>
          <w:pgSz w:w="11906" w:h="16838"/>
          <w:pgMar w:top="1440" w:right="1797" w:bottom="1440" w:left="1797" w:header="851" w:footer="992" w:gutter="0"/>
          <w:pgNumType w:start="1"/>
          <w:cols w:space="720" w:num="1"/>
          <w:docGrid w:type="lines" w:linePitch="312" w:charSpace="0"/>
        </w:sectPr>
      </w:pPr>
    </w:p>
    <w:p w14:paraId="51E2DAB6">
      <w:pPr>
        <w:ind w:firstLine="435"/>
        <w:jc w:val="center"/>
        <w:rPr>
          <w:b/>
          <w:sz w:val="24"/>
        </w:rPr>
      </w:pPr>
    </w:p>
    <w:p w14:paraId="06ED540F">
      <w:pPr>
        <w:ind w:firstLine="435"/>
        <w:jc w:val="center"/>
        <w:rPr>
          <w:b/>
          <w:sz w:val="32"/>
          <w:szCs w:val="32"/>
        </w:rPr>
      </w:pPr>
      <w:r>
        <w:rPr>
          <w:rFonts w:hint="eastAsia"/>
          <w:b/>
          <w:sz w:val="32"/>
          <w:szCs w:val="32"/>
        </w:rPr>
        <w:t>Contents</w:t>
      </w:r>
    </w:p>
    <w:p w14:paraId="0B2D413C">
      <w:pPr>
        <w:pStyle w:val="7"/>
        <w:tabs>
          <w:tab w:val="right" w:leader="dot" w:pos="8312"/>
        </w:tabs>
        <w:spacing w:line="360" w:lineRule="auto"/>
        <w:rPr>
          <w:rFonts w:hint="eastAsia"/>
          <w:sz w:val="21"/>
          <w:szCs w:val="21"/>
        </w:rPr>
      </w:pPr>
      <w:r>
        <w:rPr>
          <w:rFonts w:hint="eastAsia"/>
          <w:sz w:val="21"/>
          <w:szCs w:val="21"/>
        </w:rPr>
        <w:t>1 General Provisions</w:t>
      </w:r>
      <w:r>
        <w:rPr>
          <w:sz w:val="21"/>
          <w:szCs w:val="21"/>
        </w:rPr>
        <w:tab/>
      </w:r>
      <w:r>
        <w:rPr>
          <w:rFonts w:hint="eastAsia"/>
          <w:sz w:val="21"/>
          <w:szCs w:val="21"/>
        </w:rPr>
        <w:t xml:space="preserve"> 1</w:t>
      </w:r>
    </w:p>
    <w:p w14:paraId="46619AA1">
      <w:pPr>
        <w:pStyle w:val="7"/>
        <w:tabs>
          <w:tab w:val="right" w:leader="dot" w:pos="8312"/>
        </w:tabs>
        <w:spacing w:line="360" w:lineRule="auto"/>
        <w:rPr>
          <w:rFonts w:hint="eastAsia"/>
          <w:sz w:val="21"/>
          <w:szCs w:val="21"/>
        </w:rPr>
      </w:pPr>
      <w:r>
        <w:rPr>
          <w:rFonts w:hint="eastAsia"/>
          <w:sz w:val="21"/>
          <w:szCs w:val="21"/>
        </w:rPr>
        <w:t>2 Term</w:t>
      </w:r>
      <w:r>
        <w:rPr>
          <w:rFonts w:hint="eastAsia"/>
          <w:sz w:val="21"/>
          <w:szCs w:val="21"/>
          <w:lang w:val="en-US" w:eastAsia="zh-CN"/>
        </w:rPr>
        <w:t>s</w:t>
      </w:r>
      <w:r>
        <w:rPr>
          <w:sz w:val="21"/>
          <w:szCs w:val="21"/>
        </w:rPr>
        <w:tab/>
      </w:r>
      <w:r>
        <w:rPr>
          <w:rFonts w:hint="eastAsia"/>
          <w:sz w:val="21"/>
          <w:szCs w:val="21"/>
        </w:rPr>
        <w:t xml:space="preserve"> 2</w:t>
      </w:r>
    </w:p>
    <w:p w14:paraId="1752077E">
      <w:pPr>
        <w:pStyle w:val="7"/>
        <w:tabs>
          <w:tab w:val="right" w:leader="dot" w:pos="8312"/>
        </w:tabs>
        <w:spacing w:line="360" w:lineRule="auto"/>
        <w:rPr>
          <w:rFonts w:hint="eastAsia"/>
          <w:sz w:val="21"/>
          <w:szCs w:val="21"/>
        </w:rPr>
      </w:pPr>
      <w:r>
        <w:rPr>
          <w:rFonts w:hint="eastAsia"/>
          <w:sz w:val="21"/>
          <w:szCs w:val="21"/>
        </w:rPr>
        <w:t>3 Engineering Materials for Liner Systems</w:t>
      </w:r>
      <w:r>
        <w:rPr>
          <w:sz w:val="21"/>
          <w:szCs w:val="21"/>
        </w:rPr>
        <w:tab/>
      </w:r>
      <w:r>
        <w:rPr>
          <w:rFonts w:hint="eastAsia"/>
          <w:sz w:val="21"/>
          <w:szCs w:val="21"/>
        </w:rPr>
        <w:t xml:space="preserve"> 4</w:t>
      </w:r>
    </w:p>
    <w:p w14:paraId="1BA99C43">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 xml:space="preserve">3.1 General provisions </w:t>
      </w:r>
      <w:r>
        <w:rPr>
          <w:sz w:val="21"/>
          <w:szCs w:val="21"/>
        </w:rPr>
        <w:tab/>
      </w:r>
      <w:r>
        <w:rPr>
          <w:rFonts w:hint="eastAsia"/>
          <w:sz w:val="21"/>
          <w:szCs w:val="21"/>
        </w:rPr>
        <w:t>4</w:t>
      </w:r>
    </w:p>
    <w:p w14:paraId="58748AEF">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3.2 High-density polyethylene geo</w:t>
      </w:r>
      <w:r>
        <w:rPr>
          <w:rFonts w:hint="eastAsia"/>
          <w:sz w:val="21"/>
          <w:szCs w:val="21"/>
          <w:lang w:val="en-US" w:eastAsia="zh-CN"/>
        </w:rPr>
        <w:t>-</w:t>
      </w:r>
      <w:r>
        <w:rPr>
          <w:rFonts w:hint="eastAsia"/>
          <w:sz w:val="21"/>
          <w:szCs w:val="21"/>
        </w:rPr>
        <w:t>membrane</w:t>
      </w:r>
      <w:r>
        <w:rPr>
          <w:sz w:val="21"/>
          <w:szCs w:val="21"/>
        </w:rPr>
        <w:tab/>
      </w:r>
      <w:r>
        <w:rPr>
          <w:rFonts w:hint="eastAsia"/>
          <w:sz w:val="21"/>
          <w:szCs w:val="21"/>
        </w:rPr>
        <w:t xml:space="preserve"> 4</w:t>
      </w:r>
    </w:p>
    <w:p w14:paraId="312C3969">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3.3 Sodium bentonite geosynthetic clay liner (GCL)</w:t>
      </w:r>
      <w:r>
        <w:rPr>
          <w:sz w:val="21"/>
          <w:szCs w:val="21"/>
        </w:rPr>
        <w:tab/>
      </w:r>
      <w:r>
        <w:rPr>
          <w:rFonts w:hint="eastAsia"/>
          <w:sz w:val="21"/>
          <w:szCs w:val="21"/>
        </w:rPr>
        <w:t xml:space="preserve"> 5</w:t>
      </w:r>
    </w:p>
    <w:p w14:paraId="60C54092">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3.4 Geo</w:t>
      </w:r>
      <w:r>
        <w:rPr>
          <w:rFonts w:hint="eastAsia"/>
          <w:sz w:val="21"/>
          <w:szCs w:val="21"/>
          <w:lang w:val="en-US" w:eastAsia="zh-CN"/>
        </w:rPr>
        <w:t>-</w:t>
      </w:r>
      <w:r>
        <w:rPr>
          <w:rFonts w:hint="eastAsia"/>
          <w:sz w:val="21"/>
          <w:szCs w:val="21"/>
        </w:rPr>
        <w:t>textile and geonet</w:t>
      </w:r>
      <w:r>
        <w:rPr>
          <w:sz w:val="21"/>
          <w:szCs w:val="21"/>
        </w:rPr>
        <w:tab/>
      </w:r>
      <w:r>
        <w:rPr>
          <w:rFonts w:hint="eastAsia"/>
          <w:sz w:val="21"/>
          <w:szCs w:val="21"/>
        </w:rPr>
        <w:t xml:space="preserve"> 5</w:t>
      </w:r>
    </w:p>
    <w:p w14:paraId="23DFA2D3">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3.5 Geo</w:t>
      </w:r>
      <w:r>
        <w:rPr>
          <w:rFonts w:hint="eastAsia"/>
          <w:sz w:val="21"/>
          <w:szCs w:val="21"/>
          <w:lang w:val="en-US" w:eastAsia="zh-CN"/>
        </w:rPr>
        <w:t>-</w:t>
      </w:r>
      <w:r>
        <w:rPr>
          <w:rFonts w:hint="eastAsia"/>
          <w:sz w:val="21"/>
          <w:szCs w:val="21"/>
        </w:rPr>
        <w:t>synthetic drainage net</w:t>
      </w:r>
      <w:r>
        <w:rPr>
          <w:sz w:val="21"/>
          <w:szCs w:val="21"/>
        </w:rPr>
        <w:tab/>
      </w:r>
      <w:r>
        <w:rPr>
          <w:rFonts w:hint="eastAsia"/>
          <w:sz w:val="21"/>
          <w:szCs w:val="21"/>
        </w:rPr>
        <w:t xml:space="preserve"> 5</w:t>
      </w:r>
    </w:p>
    <w:p w14:paraId="37137FCB">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3.6 High-density polyethylene pipe</w:t>
      </w:r>
      <w:r>
        <w:rPr>
          <w:sz w:val="21"/>
          <w:szCs w:val="21"/>
        </w:rPr>
        <w:tab/>
      </w:r>
      <w:r>
        <w:rPr>
          <w:rFonts w:hint="eastAsia"/>
          <w:sz w:val="21"/>
          <w:szCs w:val="21"/>
        </w:rPr>
        <w:t xml:space="preserve"> 6</w:t>
      </w:r>
    </w:p>
    <w:p w14:paraId="6E4F9563">
      <w:pPr>
        <w:pStyle w:val="7"/>
        <w:tabs>
          <w:tab w:val="right" w:leader="dot" w:pos="8312"/>
        </w:tabs>
        <w:spacing w:line="360" w:lineRule="auto"/>
        <w:rPr>
          <w:rFonts w:hint="eastAsia"/>
          <w:sz w:val="21"/>
          <w:szCs w:val="21"/>
        </w:rPr>
      </w:pPr>
      <w:r>
        <w:rPr>
          <w:rFonts w:hint="eastAsia"/>
          <w:sz w:val="21"/>
          <w:szCs w:val="21"/>
        </w:rPr>
        <w:t>4 Engineering Design of Liner Systems</w:t>
      </w:r>
      <w:r>
        <w:rPr>
          <w:sz w:val="21"/>
          <w:szCs w:val="21"/>
        </w:rPr>
        <w:tab/>
      </w:r>
      <w:r>
        <w:rPr>
          <w:rFonts w:hint="eastAsia"/>
          <w:sz w:val="21"/>
          <w:szCs w:val="21"/>
        </w:rPr>
        <w:t xml:space="preserve"> 7</w:t>
      </w:r>
    </w:p>
    <w:p w14:paraId="15203F42">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4.1 General provisions</w:t>
      </w:r>
      <w:r>
        <w:rPr>
          <w:sz w:val="21"/>
          <w:szCs w:val="21"/>
        </w:rPr>
        <w:tab/>
      </w:r>
      <w:r>
        <w:rPr>
          <w:rFonts w:hint="eastAsia"/>
          <w:sz w:val="21"/>
          <w:szCs w:val="21"/>
        </w:rPr>
        <w:t xml:space="preserve"> 7</w:t>
      </w:r>
    </w:p>
    <w:p w14:paraId="053A75C1">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4.2 Liner system</w:t>
      </w:r>
      <w:r>
        <w:rPr>
          <w:sz w:val="21"/>
          <w:szCs w:val="21"/>
        </w:rPr>
        <w:tab/>
      </w:r>
      <w:r>
        <w:rPr>
          <w:rFonts w:hint="eastAsia"/>
          <w:sz w:val="21"/>
          <w:szCs w:val="21"/>
        </w:rPr>
        <w:t xml:space="preserve"> 7</w:t>
      </w:r>
    </w:p>
    <w:p w14:paraId="63D0649A">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4.3 Liner foundation</w:t>
      </w:r>
      <w:r>
        <w:rPr>
          <w:sz w:val="21"/>
          <w:szCs w:val="21"/>
        </w:rPr>
        <w:tab/>
      </w:r>
      <w:r>
        <w:rPr>
          <w:rFonts w:hint="eastAsia"/>
          <w:sz w:val="21"/>
          <w:szCs w:val="21"/>
        </w:rPr>
        <w:t xml:space="preserve"> 9</w:t>
      </w:r>
    </w:p>
    <w:p w14:paraId="6E7D97FC">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4.4 Sealing liner</w:t>
      </w:r>
      <w:r>
        <w:rPr>
          <w:sz w:val="21"/>
          <w:szCs w:val="21"/>
        </w:rPr>
        <w:tab/>
      </w:r>
      <w:r>
        <w:rPr>
          <w:rFonts w:hint="eastAsia"/>
          <w:sz w:val="21"/>
          <w:szCs w:val="21"/>
        </w:rPr>
        <w:t xml:space="preserve"> 10</w:t>
      </w:r>
    </w:p>
    <w:p w14:paraId="37107E21">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4.5 Leachate collection and drainage system</w:t>
      </w:r>
      <w:r>
        <w:rPr>
          <w:sz w:val="21"/>
          <w:szCs w:val="21"/>
        </w:rPr>
        <w:tab/>
      </w:r>
      <w:r>
        <w:rPr>
          <w:rFonts w:hint="eastAsia"/>
          <w:sz w:val="21"/>
          <w:szCs w:val="21"/>
        </w:rPr>
        <w:t xml:space="preserve"> 11</w:t>
      </w:r>
    </w:p>
    <w:p w14:paraId="34887CDF">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4.6 Groundwater collection and drainage system</w:t>
      </w:r>
      <w:r>
        <w:rPr>
          <w:sz w:val="21"/>
          <w:szCs w:val="21"/>
        </w:rPr>
        <w:tab/>
      </w:r>
      <w:r>
        <w:rPr>
          <w:rFonts w:hint="eastAsia"/>
          <w:sz w:val="21"/>
          <w:szCs w:val="21"/>
        </w:rPr>
        <w:t xml:space="preserve"> 13</w:t>
      </w:r>
    </w:p>
    <w:p w14:paraId="2F613CCB">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4.7 Liner for leachate regulation pond</w:t>
      </w:r>
      <w:r>
        <w:rPr>
          <w:sz w:val="21"/>
          <w:szCs w:val="21"/>
        </w:rPr>
        <w:tab/>
      </w:r>
      <w:r>
        <w:rPr>
          <w:rFonts w:hint="eastAsia"/>
          <w:sz w:val="21"/>
          <w:szCs w:val="21"/>
        </w:rPr>
        <w:t xml:space="preserve"> 13</w:t>
      </w:r>
    </w:p>
    <w:p w14:paraId="50557ABD">
      <w:pPr>
        <w:pStyle w:val="7"/>
        <w:tabs>
          <w:tab w:val="right" w:leader="dot" w:pos="8312"/>
        </w:tabs>
        <w:spacing w:line="360" w:lineRule="auto"/>
        <w:rPr>
          <w:rFonts w:hint="eastAsia"/>
          <w:sz w:val="21"/>
          <w:szCs w:val="21"/>
        </w:rPr>
      </w:pPr>
      <w:r>
        <w:rPr>
          <w:rFonts w:hint="eastAsia"/>
          <w:sz w:val="21"/>
          <w:szCs w:val="21"/>
        </w:rPr>
        <w:t>5 Construction of Liner Systems</w:t>
      </w:r>
      <w:r>
        <w:rPr>
          <w:sz w:val="21"/>
          <w:szCs w:val="21"/>
        </w:rPr>
        <w:tab/>
      </w:r>
      <w:r>
        <w:rPr>
          <w:rFonts w:hint="eastAsia"/>
          <w:sz w:val="21"/>
          <w:szCs w:val="21"/>
        </w:rPr>
        <w:t xml:space="preserve"> 15</w:t>
      </w:r>
    </w:p>
    <w:p w14:paraId="55C2FC5F">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5.1 General provisions</w:t>
      </w:r>
      <w:r>
        <w:rPr>
          <w:sz w:val="21"/>
          <w:szCs w:val="21"/>
        </w:rPr>
        <w:tab/>
      </w:r>
      <w:r>
        <w:rPr>
          <w:rFonts w:hint="eastAsia"/>
          <w:sz w:val="21"/>
          <w:szCs w:val="21"/>
        </w:rPr>
        <w:t xml:space="preserve"> 15</w:t>
      </w:r>
    </w:p>
    <w:p w14:paraId="50E8111D">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5.2 Construction of liner foundation</w:t>
      </w:r>
      <w:r>
        <w:rPr>
          <w:sz w:val="21"/>
          <w:szCs w:val="21"/>
        </w:rPr>
        <w:tab/>
      </w:r>
      <w:r>
        <w:rPr>
          <w:rFonts w:hint="eastAsia"/>
          <w:sz w:val="21"/>
          <w:szCs w:val="21"/>
        </w:rPr>
        <w:t xml:space="preserve"> 15</w:t>
      </w:r>
    </w:p>
    <w:p w14:paraId="0D749BDE">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5.3 Construction of compacted clay liner</w:t>
      </w:r>
      <w:r>
        <w:rPr>
          <w:sz w:val="21"/>
          <w:szCs w:val="21"/>
        </w:rPr>
        <w:tab/>
      </w:r>
      <w:r>
        <w:rPr>
          <w:rFonts w:hint="eastAsia"/>
          <w:sz w:val="21"/>
          <w:szCs w:val="21"/>
        </w:rPr>
        <w:t xml:space="preserve"> 15</w:t>
      </w:r>
    </w:p>
    <w:p w14:paraId="3E289B67">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5.4 Laying of high-density polyethylene geo</w:t>
      </w:r>
      <w:r>
        <w:rPr>
          <w:rFonts w:hint="eastAsia"/>
          <w:sz w:val="21"/>
          <w:szCs w:val="21"/>
          <w:lang w:val="en-US" w:eastAsia="zh-CN"/>
        </w:rPr>
        <w:t>-</w:t>
      </w:r>
      <w:r>
        <w:rPr>
          <w:rFonts w:hint="eastAsia"/>
          <w:sz w:val="21"/>
          <w:szCs w:val="21"/>
        </w:rPr>
        <w:t>membrane</w:t>
      </w:r>
      <w:r>
        <w:rPr>
          <w:sz w:val="21"/>
          <w:szCs w:val="21"/>
        </w:rPr>
        <w:tab/>
      </w:r>
      <w:r>
        <w:rPr>
          <w:rFonts w:hint="eastAsia"/>
          <w:sz w:val="21"/>
          <w:szCs w:val="21"/>
        </w:rPr>
        <w:t xml:space="preserve"> 16</w:t>
      </w:r>
    </w:p>
    <w:p w14:paraId="754B546C">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5.5 Laying of geo</w:t>
      </w:r>
      <w:r>
        <w:rPr>
          <w:rFonts w:hint="eastAsia"/>
          <w:sz w:val="21"/>
          <w:szCs w:val="21"/>
          <w:lang w:val="en-US" w:eastAsia="zh-CN"/>
        </w:rPr>
        <w:t>-</w:t>
      </w:r>
      <w:r>
        <w:rPr>
          <w:rFonts w:hint="eastAsia"/>
          <w:sz w:val="21"/>
          <w:szCs w:val="21"/>
        </w:rPr>
        <w:t>textile</w:t>
      </w:r>
      <w:r>
        <w:rPr>
          <w:sz w:val="21"/>
          <w:szCs w:val="21"/>
        </w:rPr>
        <w:tab/>
      </w:r>
      <w:r>
        <w:rPr>
          <w:rFonts w:hint="eastAsia"/>
          <w:sz w:val="21"/>
          <w:szCs w:val="21"/>
        </w:rPr>
        <w:t xml:space="preserve"> 17</w:t>
      </w:r>
    </w:p>
    <w:p w14:paraId="7082F0AF">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5.6 Laying of bentonite waterproofing mat</w:t>
      </w:r>
      <w:r>
        <w:rPr>
          <w:sz w:val="21"/>
          <w:szCs w:val="21"/>
        </w:rPr>
        <w:tab/>
      </w:r>
      <w:r>
        <w:rPr>
          <w:rFonts w:hint="eastAsia"/>
          <w:sz w:val="21"/>
          <w:szCs w:val="21"/>
        </w:rPr>
        <w:t xml:space="preserve"> 18</w:t>
      </w:r>
    </w:p>
    <w:p w14:paraId="14EE18A4">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5.7 Laying of geo</w:t>
      </w:r>
      <w:r>
        <w:rPr>
          <w:rFonts w:hint="eastAsia"/>
          <w:sz w:val="21"/>
          <w:szCs w:val="21"/>
          <w:lang w:val="en-US" w:eastAsia="zh-CN"/>
        </w:rPr>
        <w:t>-</w:t>
      </w:r>
      <w:r>
        <w:rPr>
          <w:rFonts w:hint="eastAsia"/>
          <w:sz w:val="21"/>
          <w:szCs w:val="21"/>
        </w:rPr>
        <w:t>composite drainage net</w:t>
      </w:r>
      <w:r>
        <w:rPr>
          <w:sz w:val="21"/>
          <w:szCs w:val="21"/>
        </w:rPr>
        <w:tab/>
      </w:r>
      <w:r>
        <w:rPr>
          <w:rFonts w:hint="eastAsia"/>
          <w:sz w:val="21"/>
          <w:szCs w:val="21"/>
        </w:rPr>
        <w:t xml:space="preserve"> 20</w:t>
      </w:r>
    </w:p>
    <w:p w14:paraId="443EC195">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5.8 Connection of engineering materials for liner systems</w:t>
      </w:r>
      <w:r>
        <w:rPr>
          <w:sz w:val="21"/>
          <w:szCs w:val="21"/>
        </w:rPr>
        <w:tab/>
      </w:r>
      <w:r>
        <w:rPr>
          <w:rFonts w:hint="eastAsia"/>
          <w:sz w:val="21"/>
          <w:szCs w:val="21"/>
        </w:rPr>
        <w:t xml:space="preserve"> 20</w:t>
      </w:r>
    </w:p>
    <w:p w14:paraId="4DA6F1E2">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5.9 Construction of local parts</w:t>
      </w:r>
      <w:r>
        <w:rPr>
          <w:sz w:val="21"/>
          <w:szCs w:val="21"/>
        </w:rPr>
        <w:tab/>
      </w:r>
      <w:r>
        <w:rPr>
          <w:rFonts w:hint="eastAsia"/>
          <w:sz w:val="21"/>
          <w:szCs w:val="21"/>
        </w:rPr>
        <w:t xml:space="preserve"> 21</w:t>
      </w:r>
    </w:p>
    <w:p w14:paraId="6842868C">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5.10 Green construction measures</w:t>
      </w:r>
      <w:r>
        <w:rPr>
          <w:sz w:val="21"/>
          <w:szCs w:val="21"/>
        </w:rPr>
        <w:tab/>
      </w:r>
      <w:r>
        <w:rPr>
          <w:rFonts w:hint="eastAsia"/>
          <w:sz w:val="21"/>
          <w:szCs w:val="21"/>
        </w:rPr>
        <w:t xml:space="preserve"> 23</w:t>
      </w:r>
    </w:p>
    <w:p w14:paraId="02736875">
      <w:pPr>
        <w:pStyle w:val="7"/>
        <w:tabs>
          <w:tab w:val="right" w:leader="dot" w:pos="8312"/>
        </w:tabs>
        <w:spacing w:line="360" w:lineRule="auto"/>
        <w:rPr>
          <w:rFonts w:hint="eastAsia"/>
          <w:sz w:val="21"/>
          <w:szCs w:val="21"/>
        </w:rPr>
      </w:pPr>
      <w:r>
        <w:rPr>
          <w:rFonts w:hint="eastAsia"/>
          <w:sz w:val="21"/>
          <w:szCs w:val="21"/>
        </w:rPr>
        <w:t>6 Acceptance and Maintenance of Liner Systems</w:t>
      </w:r>
      <w:r>
        <w:rPr>
          <w:sz w:val="21"/>
          <w:szCs w:val="21"/>
        </w:rPr>
        <w:tab/>
      </w:r>
      <w:r>
        <w:rPr>
          <w:rFonts w:hint="eastAsia"/>
          <w:sz w:val="21"/>
          <w:szCs w:val="21"/>
        </w:rPr>
        <w:t xml:space="preserve"> 26</w:t>
      </w:r>
    </w:p>
    <w:p w14:paraId="60FEFC05">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6.1 Acceptance of liner systems</w:t>
      </w:r>
      <w:r>
        <w:rPr>
          <w:sz w:val="21"/>
          <w:szCs w:val="21"/>
        </w:rPr>
        <w:tab/>
      </w:r>
      <w:r>
        <w:rPr>
          <w:rFonts w:hint="eastAsia"/>
          <w:sz w:val="21"/>
          <w:szCs w:val="21"/>
        </w:rPr>
        <w:t xml:space="preserve"> 26</w:t>
      </w:r>
    </w:p>
    <w:p w14:paraId="3029BF29">
      <w:pPr>
        <w:pStyle w:val="7"/>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6.2 Maintenance of liner systems</w:t>
      </w:r>
      <w:r>
        <w:rPr>
          <w:sz w:val="21"/>
          <w:szCs w:val="21"/>
        </w:rPr>
        <w:tab/>
      </w:r>
      <w:r>
        <w:rPr>
          <w:rFonts w:hint="eastAsia"/>
          <w:sz w:val="21"/>
          <w:szCs w:val="21"/>
        </w:rPr>
        <w:t xml:space="preserve"> 26</w:t>
      </w:r>
    </w:p>
    <w:p w14:paraId="0A39C707">
      <w:pPr>
        <w:pStyle w:val="7"/>
        <w:tabs>
          <w:tab w:val="right" w:leader="dot" w:pos="8312"/>
        </w:tabs>
        <w:spacing w:line="360" w:lineRule="auto"/>
        <w:rPr>
          <w:rFonts w:hint="eastAsia"/>
          <w:sz w:val="21"/>
          <w:szCs w:val="21"/>
        </w:rPr>
      </w:pPr>
      <w:r>
        <w:rPr>
          <w:rFonts w:hint="eastAsia"/>
          <w:sz w:val="21"/>
          <w:szCs w:val="21"/>
        </w:rPr>
        <w:t>Appendix A Construction Record of High-density Polyethylene Geomembrane Laying</w:t>
      </w:r>
      <w:r>
        <w:rPr>
          <w:sz w:val="21"/>
          <w:szCs w:val="21"/>
        </w:rPr>
        <w:tab/>
      </w:r>
      <w:r>
        <w:rPr>
          <w:rFonts w:hint="eastAsia"/>
          <w:sz w:val="21"/>
          <w:szCs w:val="21"/>
        </w:rPr>
        <w:t xml:space="preserve"> 28</w:t>
      </w:r>
    </w:p>
    <w:p w14:paraId="59CF55E1">
      <w:pPr>
        <w:pStyle w:val="7"/>
        <w:tabs>
          <w:tab w:val="right" w:leader="dot" w:pos="8312"/>
        </w:tabs>
        <w:spacing w:line="360" w:lineRule="auto"/>
        <w:rPr>
          <w:rFonts w:hint="eastAsia"/>
          <w:sz w:val="21"/>
          <w:szCs w:val="21"/>
        </w:rPr>
      </w:pPr>
      <w:r>
        <w:rPr>
          <w:rFonts w:hint="eastAsia"/>
          <w:sz w:val="21"/>
          <w:szCs w:val="21"/>
        </w:rPr>
        <w:t>Appendix B Welding Record of High-density Polyethylene Geomembrane Specimens</w:t>
      </w:r>
      <w:r>
        <w:rPr>
          <w:sz w:val="21"/>
          <w:szCs w:val="21"/>
        </w:rPr>
        <w:tab/>
      </w:r>
      <w:r>
        <w:rPr>
          <w:rFonts w:hint="eastAsia"/>
          <w:sz w:val="21"/>
          <w:szCs w:val="21"/>
        </w:rPr>
        <w:t xml:space="preserve"> 29</w:t>
      </w:r>
    </w:p>
    <w:p w14:paraId="4D761128">
      <w:pPr>
        <w:pStyle w:val="7"/>
        <w:tabs>
          <w:tab w:val="right" w:leader="dot" w:pos="8312"/>
        </w:tabs>
        <w:spacing w:line="360" w:lineRule="auto"/>
        <w:rPr>
          <w:rFonts w:hint="eastAsia"/>
          <w:sz w:val="21"/>
          <w:szCs w:val="21"/>
        </w:rPr>
      </w:pPr>
      <w:r>
        <w:rPr>
          <w:rFonts w:hint="eastAsia"/>
          <w:sz w:val="21"/>
          <w:szCs w:val="21"/>
        </w:rPr>
        <w:t>Appendix C Air Pressure, Vacuum and Destructive Testing and Spark Testing Methods</w:t>
      </w:r>
      <w:r>
        <w:rPr>
          <w:sz w:val="21"/>
          <w:szCs w:val="21"/>
        </w:rPr>
        <w:tab/>
      </w:r>
      <w:r>
        <w:rPr>
          <w:rFonts w:hint="eastAsia"/>
          <w:sz w:val="21"/>
          <w:szCs w:val="21"/>
        </w:rPr>
        <w:t xml:space="preserve"> 32</w:t>
      </w:r>
    </w:p>
    <w:p w14:paraId="2DA26C79">
      <w:pPr>
        <w:pStyle w:val="7"/>
        <w:tabs>
          <w:tab w:val="right" w:leader="dot" w:pos="8312"/>
        </w:tabs>
        <w:spacing w:line="360" w:lineRule="auto"/>
        <w:rPr>
          <w:rFonts w:hint="eastAsia"/>
          <w:sz w:val="21"/>
          <w:szCs w:val="21"/>
        </w:rPr>
      </w:pPr>
      <w:r>
        <w:rPr>
          <w:rFonts w:hint="eastAsia"/>
          <w:sz w:val="21"/>
          <w:szCs w:val="21"/>
        </w:rPr>
        <w:t>Appendix D Quality Inspection and Evaluation of High-density Polyethylene Geo</w:t>
      </w:r>
      <w:r>
        <w:rPr>
          <w:rFonts w:hint="eastAsia"/>
          <w:sz w:val="21"/>
          <w:szCs w:val="21"/>
          <w:lang w:val="en-US" w:eastAsia="zh-CN"/>
        </w:rPr>
        <w:t>-</w:t>
      </w:r>
      <w:r>
        <w:rPr>
          <w:rFonts w:hint="eastAsia"/>
          <w:sz w:val="21"/>
          <w:szCs w:val="21"/>
        </w:rPr>
        <w:t>membrane Construction Processes</w:t>
      </w:r>
      <w:r>
        <w:rPr>
          <w:sz w:val="21"/>
          <w:szCs w:val="21"/>
        </w:rPr>
        <w:tab/>
      </w:r>
      <w:r>
        <w:rPr>
          <w:rFonts w:hint="eastAsia"/>
          <w:sz w:val="21"/>
          <w:szCs w:val="21"/>
        </w:rPr>
        <w:t xml:space="preserve"> 34</w:t>
      </w:r>
    </w:p>
    <w:p w14:paraId="2666677D">
      <w:pPr>
        <w:pStyle w:val="7"/>
        <w:tabs>
          <w:tab w:val="right" w:leader="dot" w:pos="8312"/>
        </w:tabs>
        <w:spacing w:line="360" w:lineRule="auto"/>
        <w:rPr>
          <w:rFonts w:hint="eastAsia"/>
          <w:sz w:val="21"/>
          <w:szCs w:val="21"/>
        </w:rPr>
      </w:pPr>
      <w:r>
        <w:rPr>
          <w:rFonts w:hint="eastAsia"/>
          <w:sz w:val="21"/>
          <w:szCs w:val="21"/>
        </w:rPr>
        <w:t>Explanation of Terms Used in This Standard</w:t>
      </w:r>
      <w:r>
        <w:rPr>
          <w:sz w:val="21"/>
          <w:szCs w:val="21"/>
        </w:rPr>
        <w:tab/>
      </w:r>
      <w:r>
        <w:rPr>
          <w:rFonts w:hint="eastAsia"/>
          <w:sz w:val="21"/>
          <w:szCs w:val="21"/>
        </w:rPr>
        <w:t xml:space="preserve"> 35</w:t>
      </w:r>
    </w:p>
    <w:p w14:paraId="59BE720E">
      <w:pPr>
        <w:pStyle w:val="7"/>
        <w:tabs>
          <w:tab w:val="right" w:leader="dot" w:pos="8312"/>
        </w:tabs>
        <w:spacing w:line="360" w:lineRule="auto"/>
        <w:rPr>
          <w:rFonts w:hint="eastAsia"/>
          <w:sz w:val="21"/>
          <w:szCs w:val="21"/>
        </w:rPr>
      </w:pPr>
      <w:r>
        <w:rPr>
          <w:rFonts w:hint="eastAsia"/>
          <w:sz w:val="21"/>
          <w:szCs w:val="21"/>
        </w:rPr>
        <w:t xml:space="preserve">List of </w:t>
      </w:r>
      <w:r>
        <w:rPr>
          <w:rFonts w:hint="eastAsia"/>
          <w:sz w:val="21"/>
          <w:szCs w:val="21"/>
          <w:lang w:val="en-US" w:eastAsia="zh-CN"/>
        </w:rPr>
        <w:t xml:space="preserve">Quoted </w:t>
      </w:r>
      <w:r>
        <w:rPr>
          <w:rFonts w:hint="eastAsia"/>
          <w:sz w:val="21"/>
          <w:szCs w:val="21"/>
        </w:rPr>
        <w:t>Standards</w:t>
      </w:r>
      <w:r>
        <w:rPr>
          <w:sz w:val="21"/>
          <w:szCs w:val="21"/>
        </w:rPr>
        <w:tab/>
      </w:r>
      <w:r>
        <w:rPr>
          <w:rFonts w:hint="eastAsia"/>
          <w:sz w:val="21"/>
          <w:szCs w:val="21"/>
        </w:rPr>
        <w:t xml:space="preserve"> 36</w:t>
      </w:r>
    </w:p>
    <w:p w14:paraId="25BEF111">
      <w:pPr>
        <w:pStyle w:val="7"/>
        <w:tabs>
          <w:tab w:val="right" w:leader="dot" w:pos="8312"/>
        </w:tabs>
        <w:spacing w:line="360" w:lineRule="auto"/>
        <w:rPr>
          <w:rFonts w:hint="default"/>
          <w:lang w:val="en-US" w:eastAsia="zh-CN"/>
        </w:rPr>
      </w:pPr>
      <w:r>
        <w:rPr>
          <w:rFonts w:hint="eastAsia"/>
          <w:sz w:val="21"/>
          <w:szCs w:val="21"/>
          <w:lang w:val="en-US" w:eastAsia="zh-CN"/>
        </w:rPr>
        <w:t>Addition:Explanations of Provisions</w:t>
      </w:r>
      <w:r>
        <w:rPr>
          <w:rFonts w:hint="eastAsia"/>
          <w:sz w:val="21"/>
          <w:szCs w:val="21"/>
        </w:rPr>
        <w:tab/>
      </w:r>
      <w:r>
        <w:rPr>
          <w:rFonts w:hint="eastAsia"/>
          <w:sz w:val="21"/>
          <w:szCs w:val="21"/>
          <w:lang w:val="en-US" w:eastAsia="zh-CN"/>
        </w:rPr>
        <w:t xml:space="preserve"> 37</w:t>
      </w:r>
    </w:p>
    <w:p w14:paraId="7A2A5C2C">
      <w:pPr>
        <w:spacing w:before="156" w:beforeLines="50" w:after="156" w:afterLines="50"/>
        <w:jc w:val="center"/>
        <w:rPr>
          <w:rFonts w:ascii="宋体" w:hAnsi="宋体"/>
        </w:rPr>
      </w:pPr>
    </w:p>
    <w:p w14:paraId="461F0310">
      <w:pPr>
        <w:spacing w:before="156" w:beforeLines="50" w:after="156" w:afterLines="50"/>
        <w:jc w:val="center"/>
        <w:rPr>
          <w:rFonts w:ascii="宋体" w:hAnsi="宋体"/>
        </w:rPr>
      </w:pPr>
    </w:p>
    <w:p w14:paraId="2EC5590D">
      <w:pPr>
        <w:spacing w:before="156" w:beforeLines="50" w:after="156" w:afterLines="50"/>
        <w:jc w:val="center"/>
        <w:rPr>
          <w:rFonts w:ascii="宋体" w:hAnsi="宋体"/>
        </w:rPr>
      </w:pPr>
    </w:p>
    <w:p w14:paraId="63F61233">
      <w:pPr>
        <w:spacing w:before="156" w:beforeLines="50" w:after="156" w:afterLines="50"/>
        <w:jc w:val="center"/>
        <w:rPr>
          <w:rFonts w:ascii="宋体" w:hAnsi="宋体"/>
        </w:rPr>
      </w:pPr>
    </w:p>
    <w:p w14:paraId="72251D7E">
      <w:pPr>
        <w:spacing w:before="156" w:beforeLines="50" w:after="156" w:afterLines="50"/>
        <w:jc w:val="center"/>
        <w:rPr>
          <w:rFonts w:ascii="宋体" w:hAnsi="宋体"/>
        </w:rPr>
      </w:pPr>
    </w:p>
    <w:p w14:paraId="14E96B5A">
      <w:pPr>
        <w:spacing w:before="156" w:beforeLines="50" w:after="156" w:afterLines="50"/>
        <w:jc w:val="center"/>
        <w:rPr>
          <w:rFonts w:ascii="宋体" w:hAnsi="宋体"/>
        </w:rPr>
      </w:pPr>
    </w:p>
    <w:p w14:paraId="59C829D8">
      <w:pPr>
        <w:spacing w:before="156" w:beforeLines="50" w:after="156" w:afterLines="50"/>
        <w:jc w:val="center"/>
        <w:rPr>
          <w:rFonts w:ascii="宋体" w:hAnsi="宋体"/>
        </w:rPr>
      </w:pPr>
    </w:p>
    <w:p w14:paraId="6EFA2E9D">
      <w:pPr>
        <w:spacing w:before="156" w:beforeLines="50" w:after="156" w:afterLines="50"/>
        <w:jc w:val="center"/>
        <w:rPr>
          <w:rFonts w:ascii="宋体" w:hAnsi="宋体"/>
        </w:rPr>
      </w:pPr>
    </w:p>
    <w:p w14:paraId="0EDB3380">
      <w:pPr>
        <w:spacing w:before="156" w:beforeLines="50" w:after="156" w:afterLines="50"/>
        <w:jc w:val="center"/>
        <w:rPr>
          <w:rFonts w:ascii="宋体" w:hAnsi="宋体"/>
        </w:rPr>
      </w:pPr>
    </w:p>
    <w:p w14:paraId="0A536FB9">
      <w:pPr>
        <w:spacing w:before="156" w:beforeLines="50" w:after="156" w:afterLines="50"/>
        <w:jc w:val="center"/>
        <w:rPr>
          <w:rFonts w:ascii="宋体" w:hAnsi="宋体"/>
        </w:rPr>
      </w:pPr>
    </w:p>
    <w:p w14:paraId="3DF1C4DA">
      <w:pPr>
        <w:spacing w:before="156" w:beforeLines="50" w:after="156" w:afterLines="50"/>
        <w:jc w:val="center"/>
        <w:rPr>
          <w:rFonts w:ascii="宋体" w:hAnsi="宋体"/>
        </w:rPr>
      </w:pPr>
    </w:p>
    <w:p w14:paraId="7F19C552">
      <w:pPr>
        <w:spacing w:before="156" w:beforeLines="50" w:after="156" w:afterLines="50"/>
        <w:jc w:val="center"/>
        <w:rPr>
          <w:rFonts w:ascii="宋体" w:hAnsi="宋体"/>
        </w:rPr>
      </w:pPr>
    </w:p>
    <w:p w14:paraId="1AB3CABC">
      <w:pPr>
        <w:jc w:val="center"/>
        <w:rPr>
          <w:rFonts w:eastAsia="仿宋_GB2312"/>
          <w:color w:val="000000"/>
          <w:sz w:val="30"/>
        </w:rPr>
      </w:pPr>
    </w:p>
    <w:p w14:paraId="7E755028">
      <w:pPr>
        <w:jc w:val="center"/>
        <w:outlineLvl w:val="0"/>
        <w:rPr>
          <w:rFonts w:ascii="黑体" w:hAnsi="黑体" w:eastAsia="黑体" w:cs="Times New Roman"/>
          <w:bCs/>
          <w:sz w:val="32"/>
          <w:szCs w:val="32"/>
        </w:rPr>
        <w:sectPr>
          <w:pgSz w:w="11906" w:h="16838"/>
          <w:pgMar w:top="1440" w:right="1800" w:bottom="1440" w:left="1800" w:header="851" w:footer="992" w:gutter="0"/>
          <w:cols w:space="425" w:num="1"/>
          <w:docGrid w:type="lines" w:linePitch="312" w:charSpace="0"/>
        </w:sectPr>
      </w:pPr>
      <w:bookmarkStart w:id="15" w:name="_Toc21425577"/>
      <w:bookmarkStart w:id="16" w:name="_Toc11725"/>
      <w:bookmarkStart w:id="17" w:name="OLE_LINK2"/>
    </w:p>
    <w:p w14:paraId="759101C5">
      <w:pPr>
        <w:jc w:val="center"/>
        <w:outlineLvl w:val="0"/>
        <w:rPr>
          <w:rFonts w:ascii="FangSong_GB2312" w:eastAsia="黑体" w:cs="Times New Roman"/>
          <w:sz w:val="44"/>
          <w:szCs w:val="44"/>
        </w:rPr>
      </w:pPr>
      <w:r>
        <w:rPr>
          <w:rFonts w:hint="eastAsia" w:ascii="黑体" w:hAnsi="黑体" w:eastAsia="黑体" w:cs="Times New Roman"/>
          <w:bCs/>
          <w:sz w:val="32"/>
          <w:szCs w:val="32"/>
        </w:rPr>
        <w:t xml:space="preserve">1  </w:t>
      </w:r>
      <w:bookmarkEnd w:id="15"/>
      <w:r>
        <w:rPr>
          <w:rFonts w:hint="eastAsia" w:ascii="黑体" w:hAnsi="黑体" w:eastAsia="黑体" w:cs="Times New Roman"/>
          <w:bCs/>
          <w:sz w:val="32"/>
          <w:szCs w:val="32"/>
        </w:rPr>
        <w:t>总  则</w:t>
      </w:r>
      <w:bookmarkEnd w:id="16"/>
    </w:p>
    <w:p w14:paraId="56FDCA7E">
      <w:pPr>
        <w:rPr>
          <w:rFonts w:ascii="宋体" w:hAnsi="宋体" w:eastAsia="宋体" w:cs="宋体"/>
          <w:color w:val="000000"/>
          <w:szCs w:val="21"/>
        </w:rPr>
      </w:pPr>
    </w:p>
    <w:p w14:paraId="614E1B37">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1.0.1 为保证生活垃圾卫生填埋场（以下简称“垃圾填埋场”）防渗系统工程的可靠性和安全性，防止垃圾渗沥液渗漏对周围环境造成污染和损害，制定本标准。</w:t>
      </w:r>
    </w:p>
    <w:p w14:paraId="0C76E5D9">
      <w:pPr>
        <w:widowControl/>
        <w:spacing w:line="360" w:lineRule="auto"/>
        <w:jc w:val="left"/>
        <w:outlineLvl w:val="2"/>
        <w:rPr>
          <w:rFonts w:ascii="Times New Roman" w:hAnsi="Times New Roman" w:eastAsia="宋体" w:cs="Times New Roman"/>
          <w:sz w:val="24"/>
        </w:rPr>
      </w:pPr>
      <w:bookmarkStart w:id="18" w:name="OLE_LINK1"/>
      <w:r>
        <w:rPr>
          <w:rFonts w:hint="eastAsia" w:ascii="Times New Roman" w:hAnsi="Times New Roman" w:eastAsia="宋体" w:cs="Times New Roman"/>
          <w:sz w:val="24"/>
        </w:rPr>
        <w:t>1.0.2 本标准适用于新建、扩建和改建的垃圾填埋场防渗系统工程的设计、施工、验收及维护</w:t>
      </w:r>
      <w:bookmarkEnd w:id="18"/>
      <w:r>
        <w:rPr>
          <w:rFonts w:hint="eastAsia" w:ascii="Times New Roman" w:hAnsi="Times New Roman" w:eastAsia="宋体" w:cs="Times New Roman"/>
          <w:sz w:val="24"/>
        </w:rPr>
        <w:t>。</w:t>
      </w:r>
      <w:bookmarkStart w:id="255" w:name="_GoBack"/>
      <w:bookmarkEnd w:id="255"/>
    </w:p>
    <w:p w14:paraId="485C79A4">
      <w:pPr>
        <w:widowControl/>
        <w:spacing w:line="360" w:lineRule="auto"/>
        <w:jc w:val="left"/>
        <w:outlineLvl w:val="2"/>
        <w:rPr>
          <w:rFonts w:ascii="Times New Roman" w:hAnsi="Times New Roman" w:eastAsia="宋体" w:cs="Times New Roman"/>
          <w:b/>
          <w:bCs/>
          <w:sz w:val="24"/>
        </w:rPr>
      </w:pPr>
      <w:r>
        <w:rPr>
          <w:rFonts w:hint="eastAsia" w:ascii="Times New Roman" w:hAnsi="Times New Roman" w:eastAsia="宋体" w:cs="Times New Roman"/>
          <w:sz w:val="24"/>
        </w:rPr>
        <w:t>1.0.3 垃圾填埋场防渗系统工程的设计、施工、验收及维护除应符合本标准外，尚应符合国家现行有关标准的规定。</w:t>
      </w:r>
    </w:p>
    <w:p w14:paraId="1EB3712E">
      <w:pPr>
        <w:widowControl/>
        <w:spacing w:line="360" w:lineRule="auto"/>
        <w:jc w:val="left"/>
        <w:rPr>
          <w:rFonts w:ascii="Times New Roman" w:hAnsi="Times New Roman" w:eastAsia="宋体" w:cs="Times New Roman"/>
          <w:sz w:val="24"/>
        </w:rPr>
      </w:pPr>
    </w:p>
    <w:bookmarkEnd w:id="17"/>
    <w:p w14:paraId="6509BB10">
      <w:pPr>
        <w:rPr>
          <w:rFonts w:ascii="Times New Roman" w:hAnsi="Times New Roman" w:eastAsia="宋体" w:cs="Times New Roman"/>
          <w:sz w:val="24"/>
        </w:rPr>
      </w:pPr>
      <w:r>
        <w:rPr>
          <w:rFonts w:hint="eastAsia" w:ascii="Times New Roman" w:hAnsi="Times New Roman" w:eastAsia="宋体" w:cs="Times New Roman"/>
          <w:sz w:val="24"/>
        </w:rPr>
        <w:br w:type="page"/>
      </w:r>
    </w:p>
    <w:p w14:paraId="415A4E59">
      <w:pPr>
        <w:jc w:val="center"/>
        <w:outlineLvl w:val="0"/>
        <w:rPr>
          <w:rFonts w:ascii="FangSong_GB2312" w:eastAsia="黑体" w:cs="Times New Roman"/>
          <w:sz w:val="44"/>
          <w:szCs w:val="44"/>
        </w:rPr>
      </w:pPr>
      <w:bookmarkStart w:id="19" w:name="_Toc29153"/>
      <w:r>
        <w:rPr>
          <w:rFonts w:hint="eastAsia" w:ascii="黑体" w:hAnsi="黑体" w:eastAsia="黑体" w:cs="Times New Roman"/>
          <w:bCs/>
          <w:sz w:val="32"/>
          <w:szCs w:val="32"/>
        </w:rPr>
        <w:t>2  术  语</w:t>
      </w:r>
      <w:bookmarkEnd w:id="19"/>
    </w:p>
    <w:p w14:paraId="407C77A3">
      <w:pPr>
        <w:rPr>
          <w:rFonts w:ascii="宋体" w:hAnsi="宋体" w:eastAsia="宋体" w:cs="宋体"/>
          <w:color w:val="000000"/>
          <w:szCs w:val="21"/>
        </w:rPr>
      </w:pPr>
    </w:p>
    <w:p w14:paraId="020670C0">
      <w:pPr>
        <w:widowControl/>
        <w:spacing w:line="360" w:lineRule="auto"/>
        <w:jc w:val="left"/>
        <w:outlineLvl w:val="1"/>
        <w:rPr>
          <w:rFonts w:ascii="Times New Roman" w:hAnsi="Times New Roman" w:eastAsia="宋体" w:cs="Times New Roman"/>
          <w:sz w:val="24"/>
        </w:rPr>
      </w:pPr>
      <w:bookmarkStart w:id="20" w:name="_Toc18488"/>
      <w:r>
        <w:rPr>
          <w:rFonts w:hint="eastAsia" w:ascii="Times New Roman" w:hAnsi="Times New Roman" w:eastAsia="宋体" w:cs="Times New Roman"/>
          <w:sz w:val="24"/>
        </w:rPr>
        <w:t>2.0.1 防渗系统 liner system</w:t>
      </w:r>
      <w:bookmarkEnd w:id="20"/>
    </w:p>
    <w:p w14:paraId="4C2022A2">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在填埋库区和调节池底部及四周边坡上为构筑渗沥液防渗屏障所选用的各种材料组成的体系。</w:t>
      </w:r>
    </w:p>
    <w:p w14:paraId="07DD7321">
      <w:pPr>
        <w:widowControl/>
        <w:spacing w:line="360" w:lineRule="auto"/>
        <w:jc w:val="left"/>
        <w:outlineLvl w:val="1"/>
        <w:rPr>
          <w:rFonts w:ascii="Times New Roman" w:hAnsi="Times New Roman" w:eastAsia="宋体" w:cs="Times New Roman"/>
          <w:sz w:val="24"/>
        </w:rPr>
      </w:pPr>
      <w:bookmarkStart w:id="21" w:name="_Toc17641"/>
      <w:r>
        <w:rPr>
          <w:rFonts w:hint="eastAsia" w:ascii="Times New Roman" w:hAnsi="Times New Roman" w:eastAsia="宋体" w:cs="Times New Roman"/>
          <w:sz w:val="24"/>
        </w:rPr>
        <w:t>2.0.2 防渗系统衬里结构 liner structure</w:t>
      </w:r>
      <w:bookmarkEnd w:id="21"/>
    </w:p>
    <w:p w14:paraId="55966E09">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防渗系统各种材料组成的空间层次，包括基础层、防渗层及其保护层、渗沥液导排系统以及地下水导排系统。按防渗层类型可分为黏土衬里结构和人工合成衬里结构。</w:t>
      </w:r>
    </w:p>
    <w:p w14:paraId="07084031">
      <w:pPr>
        <w:widowControl/>
        <w:spacing w:line="360" w:lineRule="auto"/>
        <w:jc w:val="left"/>
        <w:outlineLvl w:val="1"/>
        <w:rPr>
          <w:rFonts w:ascii="Times New Roman" w:hAnsi="Times New Roman" w:eastAsia="宋体" w:cs="Times New Roman"/>
          <w:sz w:val="24"/>
        </w:rPr>
      </w:pPr>
      <w:bookmarkStart w:id="22" w:name="_Toc22883"/>
      <w:bookmarkStart w:id="23" w:name="OLE_LINK3"/>
      <w:r>
        <w:rPr>
          <w:rFonts w:hint="eastAsia" w:ascii="Times New Roman" w:hAnsi="Times New Roman" w:eastAsia="宋体" w:cs="Times New Roman"/>
          <w:sz w:val="24"/>
        </w:rPr>
        <w:t>2.0.3 基础层 liner foundation</w:t>
      </w:r>
      <w:bookmarkEnd w:id="22"/>
    </w:p>
    <w:p w14:paraId="62934102">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防渗材料的基础，分为场底基础层和四周边坡基础层。</w:t>
      </w:r>
      <w:bookmarkEnd w:id="23"/>
    </w:p>
    <w:p w14:paraId="4631E62F">
      <w:pPr>
        <w:widowControl/>
        <w:spacing w:line="360" w:lineRule="auto"/>
        <w:jc w:val="left"/>
        <w:outlineLvl w:val="1"/>
        <w:rPr>
          <w:rFonts w:ascii="Times New Roman" w:hAnsi="Times New Roman" w:eastAsia="宋体" w:cs="Times New Roman"/>
          <w:sz w:val="24"/>
        </w:rPr>
      </w:pPr>
      <w:bookmarkStart w:id="24" w:name="_Toc8003"/>
      <w:bookmarkStart w:id="25" w:name="OLE_LINK4"/>
      <w:r>
        <w:rPr>
          <w:rFonts w:hint="eastAsia" w:ascii="Times New Roman" w:hAnsi="Times New Roman" w:eastAsia="宋体" w:cs="Times New Roman"/>
          <w:sz w:val="24"/>
        </w:rPr>
        <w:t>2.0.4 防渗层 sealing liner</w:t>
      </w:r>
      <w:bookmarkEnd w:id="24"/>
    </w:p>
    <w:p w14:paraId="0358679A">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在防渗系统中，为构筑渗沥液防渗屏障所选用的各种材料的组合。</w:t>
      </w:r>
      <w:bookmarkEnd w:id="25"/>
    </w:p>
    <w:p w14:paraId="718B4035">
      <w:pPr>
        <w:widowControl/>
        <w:spacing w:line="360" w:lineRule="auto"/>
        <w:jc w:val="left"/>
        <w:outlineLvl w:val="2"/>
        <w:rPr>
          <w:rFonts w:ascii="Times New Roman" w:hAnsi="Times New Roman" w:eastAsia="宋体" w:cs="Times New Roman"/>
          <w:sz w:val="24"/>
        </w:rPr>
      </w:pPr>
      <w:bookmarkStart w:id="26" w:name="OLE_LINK5"/>
      <w:r>
        <w:rPr>
          <w:rFonts w:hint="eastAsia" w:ascii="Times New Roman" w:hAnsi="Times New Roman" w:eastAsia="宋体" w:cs="Times New Roman"/>
          <w:sz w:val="24"/>
        </w:rPr>
        <w:t>2.0.5 渗沥液收集导排系统 leachate collection and removal system</w:t>
      </w:r>
    </w:p>
    <w:p w14:paraId="062B131D">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在填埋库区防渗系统上部，用于将渗沥液汇集和导出的设施。</w:t>
      </w:r>
      <w:bookmarkEnd w:id="26"/>
    </w:p>
    <w:p w14:paraId="3D88FBB4">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2.0.6 地下水收集导排系统 groundwater collection and removal system</w:t>
      </w:r>
    </w:p>
    <w:p w14:paraId="4B2CFCC2">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在防渗系统下部，用于收集和导排地下水的设施。</w:t>
      </w:r>
    </w:p>
    <w:p w14:paraId="17E98C8D">
      <w:pPr>
        <w:widowControl/>
        <w:spacing w:line="360" w:lineRule="auto"/>
        <w:jc w:val="left"/>
        <w:outlineLvl w:val="1"/>
        <w:rPr>
          <w:rFonts w:ascii="Times New Roman" w:hAnsi="Times New Roman" w:eastAsia="宋体" w:cs="Times New Roman"/>
          <w:sz w:val="24"/>
        </w:rPr>
      </w:pPr>
      <w:bookmarkStart w:id="27" w:name="_Toc6895"/>
      <w:bookmarkStart w:id="28" w:name="OLE_LINK6"/>
      <w:r>
        <w:rPr>
          <w:rFonts w:hint="eastAsia" w:ascii="Times New Roman" w:hAnsi="Times New Roman" w:eastAsia="宋体" w:cs="Times New Roman"/>
          <w:sz w:val="24"/>
        </w:rPr>
        <w:t>2.0.7 渗沥液检测层 leachate detection layer</w:t>
      </w:r>
      <w:bookmarkEnd w:id="27"/>
    </w:p>
    <w:p w14:paraId="75C1AA2D">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用于检测垃圾填埋场双层防渗系统可靠性的材料层。</w:t>
      </w:r>
      <w:bookmarkEnd w:id="28"/>
    </w:p>
    <w:p w14:paraId="21AA7FF4">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2.0.8 防渗系统工程材料 liner system engineering material</w:t>
      </w:r>
    </w:p>
    <w:p w14:paraId="24FB7402">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用于防渗系统工程的各种材料的总称，包括高密度聚乙烯（HDPE）土工膜、</w:t>
      </w:r>
      <w:bookmarkStart w:id="29" w:name="OLE_LINK25"/>
      <w:r>
        <w:rPr>
          <w:rFonts w:hint="eastAsia" w:ascii="Times New Roman" w:hAnsi="Times New Roman" w:eastAsia="宋体" w:cs="Times New Roman"/>
          <w:sz w:val="24"/>
        </w:rPr>
        <w:t>钠基膨润土防水毯</w:t>
      </w:r>
      <w:bookmarkEnd w:id="29"/>
      <w:r>
        <w:rPr>
          <w:rFonts w:hint="eastAsia" w:ascii="Times New Roman" w:hAnsi="Times New Roman" w:eastAsia="宋体" w:cs="Times New Roman"/>
          <w:sz w:val="24"/>
        </w:rPr>
        <w:t>（GCL）、土工布、土工复合排水网、土工滤网、卵石、高密度聚乙烯（HDPE）管道、高密度聚乙烯（HDPE）管件、</w:t>
      </w:r>
      <w:bookmarkStart w:id="30" w:name="OLE_LINK24"/>
      <w:r>
        <w:rPr>
          <w:rFonts w:hint="eastAsia" w:ascii="Times New Roman" w:hAnsi="Times New Roman" w:eastAsia="宋体" w:cs="Times New Roman"/>
          <w:sz w:val="24"/>
        </w:rPr>
        <w:t>高密度聚乙烯</w:t>
      </w:r>
      <w:bookmarkEnd w:id="30"/>
      <w:r>
        <w:rPr>
          <w:rFonts w:hint="eastAsia" w:ascii="Times New Roman" w:hAnsi="Times New Roman" w:eastAsia="宋体" w:cs="Times New Roman"/>
          <w:sz w:val="24"/>
        </w:rPr>
        <w:t>（HDPE）球阀等。</w:t>
      </w:r>
    </w:p>
    <w:p w14:paraId="5D9E2553">
      <w:pPr>
        <w:widowControl/>
        <w:spacing w:line="360" w:lineRule="auto"/>
        <w:jc w:val="left"/>
        <w:outlineLvl w:val="1"/>
        <w:rPr>
          <w:rFonts w:ascii="Times New Roman" w:hAnsi="Times New Roman" w:eastAsia="宋体" w:cs="Times New Roman"/>
          <w:sz w:val="24"/>
        </w:rPr>
      </w:pPr>
      <w:bookmarkStart w:id="31" w:name="_Toc31350"/>
      <w:r>
        <w:rPr>
          <w:rFonts w:hint="eastAsia" w:ascii="Times New Roman" w:hAnsi="Times New Roman" w:eastAsia="宋体" w:cs="Times New Roman"/>
          <w:sz w:val="24"/>
        </w:rPr>
        <w:t>2.0.9 导排层渗沥液水头 leachate head</w:t>
      </w:r>
      <w:bookmarkEnd w:id="31"/>
    </w:p>
    <w:p w14:paraId="170ACEA0">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以导排层底面为基准面，导排层内渗沥液最大压力对应的水头。</w:t>
      </w:r>
    </w:p>
    <w:p w14:paraId="14A59211">
      <w:pPr>
        <w:widowControl/>
        <w:spacing w:line="360" w:lineRule="auto"/>
        <w:jc w:val="left"/>
        <w:outlineLvl w:val="1"/>
        <w:rPr>
          <w:rFonts w:ascii="Times New Roman" w:hAnsi="Times New Roman" w:eastAsia="宋体" w:cs="Times New Roman"/>
          <w:sz w:val="24"/>
        </w:rPr>
      </w:pPr>
      <w:bookmarkStart w:id="32" w:name="_Toc29932"/>
      <w:r>
        <w:rPr>
          <w:rFonts w:hint="eastAsia" w:ascii="Times New Roman" w:hAnsi="Times New Roman" w:eastAsia="宋体" w:cs="Times New Roman"/>
          <w:sz w:val="24"/>
        </w:rPr>
        <w:t>2.0.10 单层防渗结构 single liner structure</w:t>
      </w:r>
      <w:bookmarkEnd w:id="32"/>
    </w:p>
    <w:p w14:paraId="2EE143A9">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由一种防渗系统工程材料与基础层构成的防渗结构。</w:t>
      </w:r>
    </w:p>
    <w:p w14:paraId="12ED67B0">
      <w:pPr>
        <w:pStyle w:val="4"/>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lang w:eastAsia="zh-CN"/>
        </w:rPr>
        <w:t xml:space="preserve"> 2.0.11 单层复合防渗结构 single layer composite liner</w:t>
      </w:r>
    </w:p>
    <w:p w14:paraId="38AF94BE">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由单层高密度聚乙烯（HDPE）为主，与其他防渗材料构成的防渗结构。</w:t>
      </w:r>
    </w:p>
    <w:p w14:paraId="42EA13A4">
      <w:pPr>
        <w:pStyle w:val="4"/>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lang w:eastAsia="zh-CN"/>
        </w:rPr>
        <w:t>2.0.12 双层防渗结构 double liner structure</w:t>
      </w:r>
    </w:p>
    <w:p w14:paraId="29005385">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由双层高密度聚乙烯 （HDPE）为主，与其他防渗材料构成的防渗结构，且双层之间设置渗漏检测层的防渗结构。</w:t>
      </w:r>
    </w:p>
    <w:p w14:paraId="0C90E019">
      <w:pPr>
        <w:rPr>
          <w:rFonts w:ascii="黑体" w:hAnsi="黑体" w:eastAsia="黑体" w:cs="Times New Roman"/>
          <w:bCs/>
          <w:sz w:val="32"/>
          <w:szCs w:val="32"/>
        </w:rPr>
      </w:pPr>
      <w:r>
        <w:rPr>
          <w:rFonts w:hint="eastAsia" w:ascii="Times New Roman" w:hAnsi="Times New Roman" w:eastAsia="宋体" w:cs="Times New Roman"/>
          <w:sz w:val="24"/>
        </w:rPr>
        <w:br w:type="page"/>
      </w:r>
    </w:p>
    <w:p w14:paraId="2CF1DD33">
      <w:pPr>
        <w:jc w:val="center"/>
        <w:outlineLvl w:val="0"/>
        <w:rPr>
          <w:rFonts w:ascii="黑体" w:hAnsi="黑体" w:eastAsia="黑体" w:cs="Times New Roman"/>
          <w:bCs/>
          <w:sz w:val="32"/>
          <w:szCs w:val="32"/>
        </w:rPr>
      </w:pPr>
      <w:bookmarkStart w:id="33" w:name="_Toc18522"/>
      <w:r>
        <w:rPr>
          <w:rFonts w:hint="eastAsia" w:ascii="黑体" w:hAnsi="黑体" w:eastAsia="黑体" w:cs="Times New Roman"/>
          <w:bCs/>
          <w:sz w:val="32"/>
          <w:szCs w:val="32"/>
        </w:rPr>
        <w:t>3  防渗系统工程材料</w:t>
      </w:r>
      <w:bookmarkEnd w:id="33"/>
    </w:p>
    <w:p w14:paraId="55BFB741">
      <w:pPr>
        <w:spacing w:before="156" w:beforeLines="50" w:after="156" w:afterLines="50"/>
        <w:jc w:val="center"/>
        <w:outlineLvl w:val="1"/>
        <w:rPr>
          <w:rFonts w:asciiTheme="minorEastAsia" w:hAnsiTheme="minorEastAsia"/>
          <w:b/>
          <w:sz w:val="28"/>
          <w:szCs w:val="28"/>
        </w:rPr>
      </w:pPr>
      <w:bookmarkStart w:id="34" w:name="_Toc7121"/>
      <w:r>
        <w:rPr>
          <w:rFonts w:hint="eastAsia" w:asciiTheme="minorEastAsia" w:hAnsiTheme="minorEastAsia"/>
          <w:b/>
          <w:sz w:val="24"/>
        </w:rPr>
        <w:t>3.1一般规定</w:t>
      </w:r>
      <w:bookmarkEnd w:id="34"/>
    </w:p>
    <w:p w14:paraId="36E62EA0">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3.1.1 垃圾填埋场防渗系统工程中使用的材料可包括黏土材料和土工合成材料。压实黏土防渗层施工所用的土料应符合下列规定：</w:t>
      </w:r>
    </w:p>
    <w:p w14:paraId="37978D30">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 粒径小于0.075mm的土粒干重应大于土粒总干重的25%；</w:t>
      </w:r>
    </w:p>
    <w:p w14:paraId="4C1034D7">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 粒径大于5mm的土粒干重不宜超过土粒总干重的20%；</w:t>
      </w:r>
    </w:p>
    <w:p w14:paraId="24C8041C">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 塑性指数范围宜为15-30。</w:t>
      </w:r>
    </w:p>
    <w:p w14:paraId="28525E25">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3.1.2 填埋场用土工合成材料可采用高密度聚乙烯（HDPE）土工膜、土工布、膨润土防水毯（GCL）、土工复合排水网、土工滤网、高密度聚乙烯（HDPE）管材等。</w:t>
      </w:r>
    </w:p>
    <w:p w14:paraId="7AF27F37">
      <w:pPr>
        <w:spacing w:before="156" w:beforeLines="50" w:after="156" w:afterLines="50"/>
        <w:jc w:val="center"/>
        <w:outlineLvl w:val="1"/>
        <w:rPr>
          <w:rFonts w:asciiTheme="minorEastAsia" w:hAnsiTheme="minorEastAsia"/>
          <w:b/>
          <w:sz w:val="24"/>
        </w:rPr>
      </w:pPr>
      <w:bookmarkStart w:id="35" w:name="_Toc13722"/>
      <w:r>
        <w:rPr>
          <w:rFonts w:hint="eastAsia" w:asciiTheme="minorEastAsia" w:hAnsiTheme="minorEastAsia"/>
          <w:b/>
          <w:sz w:val="24"/>
        </w:rPr>
        <w:t>3.2 高密度聚乙烯土工膜</w:t>
      </w:r>
      <w:bookmarkEnd w:id="35"/>
    </w:p>
    <w:p w14:paraId="44074FA6">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3.2.1 用于垃圾填埋场防渗系统工程的高密度聚乙烯土工膜除应符合现行行业标准《垃圾填埋场用高密度聚乙烯土工膜》CJ/T234的有关规定外，尚应符合下列规定：</w:t>
      </w:r>
    </w:p>
    <w:p w14:paraId="67877815">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 膜的厚度不应小于1.5mm；</w:t>
      </w:r>
    </w:p>
    <w:p w14:paraId="5316A33B">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 膜的幅宽不宜小于6.0m；</w:t>
      </w:r>
    </w:p>
    <w:p w14:paraId="2680F3F7">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 糙面膜的断裂伸长率应≥400%；</w:t>
      </w:r>
    </w:p>
    <w:p w14:paraId="3C1C02ED">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4 耐环境应力开裂≥500h。</w:t>
      </w:r>
      <w:r>
        <w:rPr>
          <w:rFonts w:hint="eastAsia" w:ascii="Times New Roman" w:hAnsi="Times New Roman" w:eastAsia="宋体" w:cs="Times New Roman"/>
          <w:sz w:val="24"/>
        </w:rPr>
        <w:tab/>
      </w:r>
    </w:p>
    <w:p w14:paraId="19A920C8">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3.2.2 当防渗要求严格或垃圾堆高度大于20m时，宜选用厚度不小于 2.0mm的高密度聚乙烯土工膜。</w:t>
      </w:r>
    </w:p>
    <w:p w14:paraId="085B549A">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3.2.3 高密度聚乙烯土工膜的外观要求应符合表3.2.3的规定。</w:t>
      </w:r>
    </w:p>
    <w:p w14:paraId="32C95769">
      <w:pPr>
        <w:jc w:val="center"/>
        <w:rPr>
          <w:rFonts w:asciiTheme="minorEastAsia" w:hAnsiTheme="minorEastAsia"/>
          <w:b/>
          <w:sz w:val="28"/>
          <w:szCs w:val="28"/>
        </w:rPr>
      </w:pPr>
      <w:r>
        <w:rPr>
          <w:rFonts w:asciiTheme="minorEastAsia" w:hAnsiTheme="minorEastAsia"/>
          <w:b/>
          <w:szCs w:val="21"/>
        </w:rPr>
        <w:t>表</w:t>
      </w:r>
      <w:r>
        <w:rPr>
          <w:rFonts w:hint="eastAsia" w:asciiTheme="minorEastAsia" w:hAnsiTheme="minorEastAsia"/>
          <w:b/>
          <w:szCs w:val="21"/>
        </w:rPr>
        <w:t>3</w:t>
      </w:r>
      <w:r>
        <w:rPr>
          <w:rFonts w:asciiTheme="minorEastAsia" w:hAnsiTheme="minorEastAsia"/>
          <w:b/>
          <w:szCs w:val="21"/>
        </w:rPr>
        <w:t>.2.3 高密度聚乙烯土工膜外观要求</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5823"/>
      </w:tblGrid>
      <w:tr w14:paraId="60BE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1582" w:type="pct"/>
          </w:tcPr>
          <w:p w14:paraId="712B2B36">
            <w:pPr>
              <w:jc w:val="center"/>
              <w:rPr>
                <w:rFonts w:asciiTheme="minorEastAsia" w:hAnsiTheme="minorEastAsia"/>
                <w:szCs w:val="21"/>
              </w:rPr>
            </w:pPr>
            <w:r>
              <w:rPr>
                <w:rFonts w:hint="eastAsia" w:asciiTheme="minorEastAsia" w:hAnsiTheme="minorEastAsia"/>
                <w:szCs w:val="21"/>
              </w:rPr>
              <w:t>项目</w:t>
            </w:r>
          </w:p>
        </w:tc>
        <w:tc>
          <w:tcPr>
            <w:tcW w:w="3417" w:type="pct"/>
          </w:tcPr>
          <w:p w14:paraId="2025AF2E">
            <w:pPr>
              <w:jc w:val="center"/>
              <w:rPr>
                <w:rFonts w:asciiTheme="minorEastAsia" w:hAnsiTheme="minorEastAsia"/>
                <w:szCs w:val="21"/>
              </w:rPr>
            </w:pPr>
            <w:r>
              <w:rPr>
                <w:rFonts w:hint="eastAsia" w:asciiTheme="minorEastAsia" w:hAnsiTheme="minorEastAsia"/>
                <w:szCs w:val="21"/>
              </w:rPr>
              <w:t>要求</w:t>
            </w:r>
          </w:p>
        </w:tc>
      </w:tr>
      <w:tr w14:paraId="5E23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tcPr>
          <w:p w14:paraId="7C0CD0C7">
            <w:pPr>
              <w:jc w:val="center"/>
              <w:rPr>
                <w:rFonts w:asciiTheme="minorEastAsia" w:hAnsiTheme="minorEastAsia"/>
                <w:szCs w:val="21"/>
              </w:rPr>
            </w:pPr>
            <w:r>
              <w:rPr>
                <w:rFonts w:hint="eastAsia" w:asciiTheme="minorEastAsia" w:hAnsiTheme="minorEastAsia"/>
                <w:szCs w:val="21"/>
              </w:rPr>
              <w:t>切口</w:t>
            </w:r>
          </w:p>
        </w:tc>
        <w:tc>
          <w:tcPr>
            <w:tcW w:w="3417" w:type="pct"/>
          </w:tcPr>
          <w:p w14:paraId="12B252EA">
            <w:pPr>
              <w:ind w:firstLine="210" w:firstLineChars="100"/>
              <w:jc w:val="left"/>
              <w:rPr>
                <w:rFonts w:asciiTheme="minorEastAsia" w:hAnsiTheme="minorEastAsia"/>
                <w:szCs w:val="21"/>
              </w:rPr>
            </w:pPr>
            <w:r>
              <w:rPr>
                <w:rFonts w:hint="eastAsia" w:asciiTheme="minorEastAsia" w:hAnsiTheme="minorEastAsia"/>
                <w:szCs w:val="21"/>
              </w:rPr>
              <w:t>平直，无明显锯齿现象</w:t>
            </w:r>
          </w:p>
        </w:tc>
      </w:tr>
      <w:tr w14:paraId="4195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2" w:type="pct"/>
          </w:tcPr>
          <w:p w14:paraId="15297C34">
            <w:pPr>
              <w:jc w:val="center"/>
              <w:rPr>
                <w:rFonts w:asciiTheme="minorEastAsia" w:hAnsiTheme="minorEastAsia"/>
                <w:szCs w:val="21"/>
              </w:rPr>
            </w:pPr>
            <w:r>
              <w:rPr>
                <w:rFonts w:hint="eastAsia" w:asciiTheme="minorEastAsia" w:hAnsiTheme="minorEastAsia"/>
                <w:szCs w:val="21"/>
              </w:rPr>
              <w:t>穿孔修复点</w:t>
            </w:r>
          </w:p>
        </w:tc>
        <w:tc>
          <w:tcPr>
            <w:tcW w:w="3417" w:type="pct"/>
          </w:tcPr>
          <w:p w14:paraId="738E9FCB">
            <w:pPr>
              <w:ind w:firstLine="210" w:firstLineChars="100"/>
              <w:jc w:val="left"/>
              <w:rPr>
                <w:rFonts w:asciiTheme="minorEastAsia" w:hAnsiTheme="minorEastAsia"/>
                <w:szCs w:val="21"/>
              </w:rPr>
            </w:pPr>
            <w:r>
              <w:rPr>
                <w:rFonts w:hint="eastAsia" w:asciiTheme="minorEastAsia" w:hAnsiTheme="minorEastAsia"/>
                <w:szCs w:val="21"/>
              </w:rPr>
              <w:t>不允许</w:t>
            </w:r>
          </w:p>
        </w:tc>
      </w:tr>
      <w:tr w14:paraId="03CF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tcPr>
          <w:p w14:paraId="11B2E369">
            <w:pPr>
              <w:jc w:val="center"/>
              <w:rPr>
                <w:rFonts w:asciiTheme="minorEastAsia" w:hAnsiTheme="minorEastAsia"/>
                <w:szCs w:val="21"/>
              </w:rPr>
            </w:pPr>
            <w:r>
              <w:rPr>
                <w:rFonts w:hint="eastAsia" w:asciiTheme="minorEastAsia" w:hAnsiTheme="minorEastAsia"/>
                <w:szCs w:val="21"/>
              </w:rPr>
              <w:t>机械（加工）划痕</w:t>
            </w:r>
          </w:p>
        </w:tc>
        <w:tc>
          <w:tcPr>
            <w:tcW w:w="3417" w:type="pct"/>
          </w:tcPr>
          <w:p w14:paraId="16CAF96E">
            <w:pPr>
              <w:ind w:firstLine="210" w:firstLineChars="100"/>
              <w:jc w:val="left"/>
              <w:rPr>
                <w:rFonts w:asciiTheme="minorEastAsia" w:hAnsiTheme="minorEastAsia"/>
                <w:szCs w:val="21"/>
              </w:rPr>
            </w:pPr>
            <w:r>
              <w:rPr>
                <w:rFonts w:hint="eastAsia" w:asciiTheme="minorEastAsia" w:hAnsiTheme="minorEastAsia"/>
                <w:szCs w:val="21"/>
              </w:rPr>
              <w:t>无或不明显</w:t>
            </w:r>
          </w:p>
        </w:tc>
      </w:tr>
      <w:tr w14:paraId="69D7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vAlign w:val="center"/>
          </w:tcPr>
          <w:p w14:paraId="5211D545">
            <w:pPr>
              <w:jc w:val="center"/>
              <w:rPr>
                <w:rFonts w:asciiTheme="minorEastAsia" w:hAnsiTheme="minorEastAsia"/>
                <w:szCs w:val="21"/>
              </w:rPr>
            </w:pPr>
            <w:r>
              <w:rPr>
                <w:rFonts w:hint="eastAsia" w:asciiTheme="minorEastAsia" w:hAnsiTheme="minorEastAsia"/>
                <w:szCs w:val="21"/>
              </w:rPr>
              <w:t>僵块</w:t>
            </w:r>
          </w:p>
        </w:tc>
        <w:tc>
          <w:tcPr>
            <w:tcW w:w="3417" w:type="pct"/>
            <w:vAlign w:val="center"/>
          </w:tcPr>
          <w:p w14:paraId="112F979A">
            <w:pPr>
              <w:ind w:firstLine="210" w:firstLineChars="100"/>
              <w:rPr>
                <w:rFonts w:asciiTheme="minorEastAsia" w:hAnsiTheme="minorEastAsia"/>
                <w:szCs w:val="21"/>
              </w:rPr>
            </w:pPr>
            <w:r>
              <w:rPr>
                <w:rFonts w:hint="eastAsia" w:asciiTheme="minorEastAsia" w:hAnsiTheme="minorEastAsia"/>
                <w:szCs w:val="21"/>
              </w:rPr>
              <w:t>每1㎡限于1</w:t>
            </w:r>
            <w:r>
              <w:rPr>
                <w:rFonts w:asciiTheme="minorEastAsia" w:hAnsiTheme="minorEastAsia"/>
                <w:szCs w:val="21"/>
              </w:rPr>
              <w:t>0个以内</w:t>
            </w:r>
            <w:r>
              <w:rPr>
                <w:rFonts w:hint="eastAsia" w:asciiTheme="minorEastAsia" w:hAnsiTheme="minorEastAsia"/>
                <w:szCs w:val="21"/>
              </w:rPr>
              <w:t>，</w:t>
            </w:r>
            <w:r>
              <w:rPr>
                <w:rFonts w:asciiTheme="minorEastAsia" w:hAnsiTheme="minorEastAsia"/>
                <w:szCs w:val="21"/>
              </w:rPr>
              <w:t>直径小于或等于</w:t>
            </w:r>
            <w:r>
              <w:rPr>
                <w:rFonts w:hint="eastAsia" w:asciiTheme="minorEastAsia" w:hAnsiTheme="minorEastAsia"/>
                <w:szCs w:val="21"/>
              </w:rPr>
              <w:t>2</w:t>
            </w:r>
            <w:r>
              <w:rPr>
                <w:rFonts w:asciiTheme="minorEastAsia" w:hAnsiTheme="minorEastAsia"/>
                <w:szCs w:val="21"/>
              </w:rPr>
              <w:t>.0mm</w:t>
            </w:r>
            <w:r>
              <w:rPr>
                <w:rFonts w:hint="eastAsia" w:asciiTheme="minorEastAsia" w:hAnsiTheme="minorEastAsia"/>
                <w:szCs w:val="21"/>
              </w:rPr>
              <w:t>，</w:t>
            </w:r>
            <w:r>
              <w:rPr>
                <w:rFonts w:asciiTheme="minorEastAsia" w:hAnsiTheme="minorEastAsia"/>
                <w:szCs w:val="21"/>
              </w:rPr>
              <w:t>截面上不允许有贯穿膜厚度的僵块</w:t>
            </w:r>
          </w:p>
        </w:tc>
      </w:tr>
      <w:tr w14:paraId="349E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vAlign w:val="center"/>
          </w:tcPr>
          <w:p w14:paraId="13E5D3B9">
            <w:pPr>
              <w:jc w:val="center"/>
              <w:rPr>
                <w:rFonts w:asciiTheme="minorEastAsia" w:hAnsiTheme="minorEastAsia"/>
                <w:szCs w:val="21"/>
              </w:rPr>
            </w:pPr>
            <w:r>
              <w:rPr>
                <w:rFonts w:hint="eastAsia" w:asciiTheme="minorEastAsia" w:hAnsiTheme="minorEastAsia"/>
                <w:szCs w:val="21"/>
              </w:rPr>
              <w:t>气泡和杂质</w:t>
            </w:r>
          </w:p>
        </w:tc>
        <w:tc>
          <w:tcPr>
            <w:tcW w:w="3417" w:type="pct"/>
            <w:vAlign w:val="center"/>
          </w:tcPr>
          <w:p w14:paraId="72F8248A">
            <w:pPr>
              <w:ind w:firstLine="210" w:firstLineChars="100"/>
              <w:rPr>
                <w:rFonts w:asciiTheme="minorEastAsia" w:hAnsiTheme="minorEastAsia"/>
                <w:szCs w:val="21"/>
              </w:rPr>
            </w:pPr>
            <w:r>
              <w:rPr>
                <w:rFonts w:hint="eastAsia" w:asciiTheme="minorEastAsia" w:hAnsiTheme="minorEastAsia"/>
                <w:szCs w:val="21"/>
              </w:rPr>
              <w:t>不允许</w:t>
            </w:r>
          </w:p>
        </w:tc>
      </w:tr>
      <w:tr w14:paraId="43CB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vAlign w:val="center"/>
          </w:tcPr>
          <w:p w14:paraId="479845C0">
            <w:pPr>
              <w:jc w:val="center"/>
              <w:rPr>
                <w:rFonts w:asciiTheme="minorEastAsia" w:hAnsiTheme="minorEastAsia"/>
                <w:szCs w:val="21"/>
              </w:rPr>
            </w:pPr>
            <w:r>
              <w:rPr>
                <w:rFonts w:hint="eastAsia" w:asciiTheme="minorEastAsia" w:hAnsiTheme="minorEastAsia"/>
                <w:szCs w:val="21"/>
              </w:rPr>
              <w:t>裂纹、分层、接头和断头</w:t>
            </w:r>
          </w:p>
        </w:tc>
        <w:tc>
          <w:tcPr>
            <w:tcW w:w="3417" w:type="pct"/>
            <w:vAlign w:val="center"/>
          </w:tcPr>
          <w:p w14:paraId="37B8B383">
            <w:pPr>
              <w:ind w:firstLine="210" w:firstLineChars="100"/>
              <w:rPr>
                <w:rFonts w:asciiTheme="minorEastAsia" w:hAnsiTheme="minorEastAsia"/>
                <w:szCs w:val="21"/>
              </w:rPr>
            </w:pPr>
            <w:r>
              <w:rPr>
                <w:rFonts w:hint="eastAsia" w:asciiTheme="minorEastAsia" w:hAnsiTheme="minorEastAsia"/>
                <w:szCs w:val="21"/>
              </w:rPr>
              <w:t>不允许</w:t>
            </w:r>
          </w:p>
        </w:tc>
      </w:tr>
      <w:tr w14:paraId="760A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2" w:type="pct"/>
            <w:vAlign w:val="center"/>
          </w:tcPr>
          <w:p w14:paraId="7099D02A">
            <w:pPr>
              <w:jc w:val="center"/>
              <w:rPr>
                <w:rFonts w:asciiTheme="minorEastAsia" w:hAnsiTheme="minorEastAsia"/>
                <w:szCs w:val="21"/>
              </w:rPr>
            </w:pPr>
            <w:r>
              <w:rPr>
                <w:rFonts w:hint="eastAsia" w:asciiTheme="minorEastAsia" w:hAnsiTheme="minorEastAsia"/>
                <w:szCs w:val="21"/>
              </w:rPr>
              <w:t>糙面膜外观</w:t>
            </w:r>
          </w:p>
        </w:tc>
        <w:tc>
          <w:tcPr>
            <w:tcW w:w="3417" w:type="pct"/>
            <w:vAlign w:val="center"/>
          </w:tcPr>
          <w:p w14:paraId="57D3DE75">
            <w:pPr>
              <w:ind w:firstLine="210" w:firstLineChars="100"/>
              <w:rPr>
                <w:rFonts w:asciiTheme="minorEastAsia" w:hAnsiTheme="minorEastAsia"/>
                <w:szCs w:val="21"/>
              </w:rPr>
            </w:pPr>
            <w:r>
              <w:rPr>
                <w:rFonts w:hint="eastAsia" w:asciiTheme="minorEastAsia" w:hAnsiTheme="minorEastAsia"/>
                <w:szCs w:val="21"/>
              </w:rPr>
              <w:t>均匀，不应有结块、缺损等现象</w:t>
            </w:r>
          </w:p>
        </w:tc>
      </w:tr>
    </w:tbl>
    <w:p w14:paraId="7A3F6604">
      <w:pPr>
        <w:spacing w:before="156" w:beforeLines="50" w:after="156" w:afterLines="50"/>
        <w:jc w:val="center"/>
        <w:outlineLvl w:val="1"/>
        <w:rPr>
          <w:rFonts w:asciiTheme="minorEastAsia" w:hAnsiTheme="minorEastAsia"/>
          <w:b/>
          <w:sz w:val="24"/>
        </w:rPr>
      </w:pPr>
      <w:bookmarkStart w:id="36" w:name="_Toc29540"/>
      <w:r>
        <w:rPr>
          <w:rFonts w:hint="eastAsia" w:asciiTheme="minorEastAsia" w:hAnsiTheme="minorEastAsia"/>
          <w:b/>
          <w:sz w:val="24"/>
        </w:rPr>
        <w:t>3.3 钠基膨润土防水毯（GCL）</w:t>
      </w:r>
      <w:bookmarkEnd w:id="36"/>
    </w:p>
    <w:p w14:paraId="6D39A70E">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3.3.1 用于垃圾填埋场防渗系统工程的膨润土防水毯应使用钠基膨润土防水毯，可选用天然钠基膨润土防水毯或人工钠基膨润土防水毯。选用的钠基膨润土防水毯除应符合现行行业标准《钠基膨润土防水毯》JG/T193的有关规定外，尚应符合下列规定：</w:t>
      </w:r>
    </w:p>
    <w:p w14:paraId="57CAAAD0">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 单位面积质量不应小于5000g/㎡；</w:t>
      </w:r>
    </w:p>
    <w:p w14:paraId="1507C89A">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 膨润土体积膨胀度不应小于24mL/2g；</w:t>
      </w:r>
    </w:p>
    <w:p w14:paraId="66A78A05">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 抗拉强度不应小于800N/100mm；</w:t>
      </w:r>
    </w:p>
    <w:p w14:paraId="4466C5FF">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4 抗剥强度不应小于65N/10cm；</w:t>
      </w:r>
    </w:p>
    <w:p w14:paraId="35C69BDB">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5 渗透系数应小于5</w:t>
      </w:r>
      <w:r>
        <w:rPr>
          <w:rFonts w:ascii="Arial" w:hAnsi="Arial" w:eastAsia="宋体" w:cs="Arial"/>
          <w:sz w:val="24"/>
        </w:rPr>
        <w:t>×</w:t>
      </w:r>
      <w:r>
        <w:rPr>
          <w:rFonts w:hint="eastAsia" w:ascii="Times New Roman" w:hAnsi="Times New Roman" w:eastAsia="宋体" w:cs="Times New Roman"/>
          <w:sz w:val="24"/>
        </w:rPr>
        <w:t>10</w:t>
      </w:r>
      <w:r>
        <w:rPr>
          <w:rFonts w:hint="eastAsia" w:ascii="Times New Roman" w:hAnsi="Times New Roman" w:eastAsia="宋体" w:cs="Times New Roman"/>
          <w:sz w:val="24"/>
          <w:vertAlign w:val="superscript"/>
        </w:rPr>
        <w:t>-11</w:t>
      </w:r>
      <w:r>
        <w:rPr>
          <w:rFonts w:hint="eastAsia" w:ascii="Times New Roman" w:hAnsi="Times New Roman" w:eastAsia="宋体" w:cs="Times New Roman"/>
          <w:sz w:val="24"/>
        </w:rPr>
        <w:t>m/s；</w:t>
      </w:r>
    </w:p>
    <w:p w14:paraId="1F5600B2">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6 抗静水压力0.4MPa/1h，无渗漏。</w:t>
      </w:r>
    </w:p>
    <w:p w14:paraId="416561DD">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3.3.2 应根据防渗要求选用粉末型膨润土防水毯或颗粒型膨润土防水毯，防渗要求高的工程中应优先选用粉末型膨润土防水毯。</w:t>
      </w:r>
    </w:p>
    <w:p w14:paraId="696833C6">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3.3.3 应保证膨润土平整度，并防止缺土。</w:t>
      </w:r>
    </w:p>
    <w:p w14:paraId="5D9720A0">
      <w:pPr>
        <w:widowControl/>
        <w:spacing w:line="360" w:lineRule="auto"/>
        <w:jc w:val="left"/>
        <w:outlineLvl w:val="2"/>
        <w:rPr>
          <w:rFonts w:asciiTheme="minorEastAsia" w:hAnsiTheme="minorEastAsia"/>
          <w:sz w:val="28"/>
          <w:szCs w:val="28"/>
        </w:rPr>
      </w:pPr>
      <w:r>
        <w:rPr>
          <w:rFonts w:hint="eastAsia" w:ascii="Times New Roman" w:hAnsi="Times New Roman" w:eastAsia="宋体" w:cs="Times New Roman"/>
          <w:sz w:val="24"/>
        </w:rPr>
        <w:t>3.3.4 垃圾填埋场防渗系统工程中的膨润土防水毯应表面平整，厚度均匀，无破洞、破边现象。针刺类产品的针刺应均匀密实，并应无残留断针。</w:t>
      </w:r>
    </w:p>
    <w:p w14:paraId="09CB70F8">
      <w:pPr>
        <w:spacing w:before="156" w:beforeLines="50" w:after="156" w:afterLines="50"/>
        <w:jc w:val="center"/>
        <w:outlineLvl w:val="1"/>
        <w:rPr>
          <w:rFonts w:asciiTheme="minorEastAsia" w:hAnsiTheme="minorEastAsia"/>
          <w:b/>
          <w:sz w:val="24"/>
        </w:rPr>
      </w:pPr>
      <w:bookmarkStart w:id="37" w:name="_Toc390"/>
      <w:r>
        <w:rPr>
          <w:rFonts w:hint="eastAsia" w:asciiTheme="minorEastAsia" w:hAnsiTheme="minorEastAsia"/>
          <w:b/>
          <w:sz w:val="24"/>
        </w:rPr>
        <w:t>3.4土工布和土工滤网</w:t>
      </w:r>
      <w:bookmarkEnd w:id="37"/>
    </w:p>
    <w:p w14:paraId="5CB9A193">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3.4.1 用于垃圾填埋场防渗系统工程的各种土工布和土工滤网应符合国家现行有关标准的规定。</w:t>
      </w:r>
    </w:p>
    <w:p w14:paraId="5878692E">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3.4.2 高密度聚乙烯土工膜保护层应使用非织造土工布，并应符合现行行业标准《垃圾填埋场用非织造土工布》CJ/T430的规定，规格不应小于600g/㎡。</w:t>
      </w:r>
    </w:p>
    <w:p w14:paraId="1E67EF51">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3.4.3 用于盲沟和渗沥液收集导排层的反滤材料时，可使用土工布或土工滤网，</w:t>
      </w:r>
      <w:bookmarkStart w:id="38" w:name="OLE_LINK7"/>
      <w:r>
        <w:rPr>
          <w:rFonts w:hint="eastAsia" w:ascii="Times New Roman" w:hAnsi="Times New Roman" w:eastAsia="宋体" w:cs="Times New Roman"/>
          <w:sz w:val="24"/>
        </w:rPr>
        <w:t>且规格不宜小于200g/㎡</w:t>
      </w:r>
      <w:bookmarkEnd w:id="38"/>
      <w:r>
        <w:rPr>
          <w:rFonts w:hint="eastAsia" w:ascii="Times New Roman" w:hAnsi="Times New Roman" w:eastAsia="宋体" w:cs="Times New Roman"/>
          <w:sz w:val="24"/>
        </w:rPr>
        <w:t>。</w:t>
      </w:r>
    </w:p>
    <w:p w14:paraId="1454B598">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3.4.4 用于反滤的材料应使用土工滤网，土工滤网应符合现行行业标准《垃圾填埋场用土工滤网》CJ/T437的有关规定，且规格不宜小于 200g/㎡。</w:t>
      </w:r>
    </w:p>
    <w:p w14:paraId="10C7406B">
      <w:pPr>
        <w:spacing w:before="156" w:beforeLines="50" w:after="156" w:afterLines="50"/>
        <w:jc w:val="center"/>
        <w:outlineLvl w:val="1"/>
        <w:rPr>
          <w:rFonts w:asciiTheme="minorEastAsia" w:hAnsiTheme="minorEastAsia"/>
          <w:b/>
          <w:sz w:val="24"/>
        </w:rPr>
      </w:pPr>
      <w:bookmarkStart w:id="39" w:name="_Toc1489"/>
      <w:r>
        <w:rPr>
          <w:rFonts w:hint="eastAsia" w:asciiTheme="minorEastAsia" w:hAnsiTheme="minorEastAsia"/>
          <w:b/>
          <w:sz w:val="24"/>
        </w:rPr>
        <w:t>3.5土工排水网</w:t>
      </w:r>
      <w:bookmarkEnd w:id="39"/>
    </w:p>
    <w:p w14:paraId="46FF0530">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3.5.1 用于垃圾填埋场防渗系统工程的土工排水网应符合现行行业标准《垃圾填埋场用土工排水网》CJ/T452的有关规定。</w:t>
      </w:r>
    </w:p>
    <w:p w14:paraId="4076E4BE">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3.5.2 土工排水网的导水率选取应根据蠕变折减因素、土工布嵌入折减因素、生物淤堵折减因素、化学淤堵折减因素和化学沉淀折减因素等确定。</w:t>
      </w:r>
    </w:p>
    <w:p w14:paraId="2C3232DA">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3.5.3 土工排水网宜使用高密度聚乙烯材质，纵向抗拉强度应大于 8kN/m，横向抗拉强度应大于3kN/m。</w:t>
      </w:r>
    </w:p>
    <w:p w14:paraId="1CD5A944">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3.5.4 土工复合排水网中土工网和土工布应预先粘合，且粘合强度应大于0.17kN/m。</w:t>
      </w:r>
    </w:p>
    <w:p w14:paraId="4BCB67E6">
      <w:pPr>
        <w:spacing w:before="156" w:beforeLines="50" w:after="156" w:afterLines="50"/>
        <w:jc w:val="center"/>
        <w:outlineLvl w:val="1"/>
        <w:rPr>
          <w:rFonts w:asciiTheme="minorEastAsia" w:hAnsiTheme="minorEastAsia"/>
          <w:b/>
          <w:sz w:val="24"/>
        </w:rPr>
      </w:pPr>
      <w:bookmarkStart w:id="40" w:name="_Toc7498"/>
      <w:r>
        <w:rPr>
          <w:rFonts w:hint="eastAsia" w:asciiTheme="minorEastAsia" w:hAnsiTheme="minorEastAsia"/>
          <w:b/>
          <w:sz w:val="24"/>
        </w:rPr>
        <w:t>3.6 高密度聚乙烯管材</w:t>
      </w:r>
      <w:bookmarkEnd w:id="40"/>
    </w:p>
    <w:p w14:paraId="555DC65C">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3.6.1 用于垃圾填埋场防渗系统工程渗沥液收集导排系统、渗沥液检测层及地下水收集导排系统的高密度聚乙烯管材应符合现行行业标准《垃圾填埋场用高密度聚乙烯管材》CJ/T371的有关规定。</w:t>
      </w:r>
    </w:p>
    <w:p w14:paraId="098F8F2B">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3.6.2 应根据导排需求选择开孔管或实管。其中，开孔管宜用于收集，实管宜用于导排。</w:t>
      </w:r>
    </w:p>
    <w:p w14:paraId="63740CA2">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3.6.3 管材的内外表面应清洁、光滑、无气泡、明显的划伤、凹陷、杂质、颜色不均等缺陷。管端应切割平整，并与管轴线垂直。</w:t>
      </w:r>
    </w:p>
    <w:p w14:paraId="76157C8A">
      <w:pPr>
        <w:rPr>
          <w:rFonts w:ascii="Times New Roman" w:hAnsi="Times New Roman" w:eastAsia="宋体" w:cs="Times New Roman"/>
          <w:sz w:val="24"/>
        </w:rPr>
      </w:pPr>
      <w:r>
        <w:rPr>
          <w:rFonts w:hint="eastAsia" w:ascii="Times New Roman" w:hAnsi="Times New Roman" w:eastAsia="宋体" w:cs="Times New Roman"/>
          <w:sz w:val="24"/>
        </w:rPr>
        <w:br w:type="page"/>
      </w:r>
    </w:p>
    <w:p w14:paraId="3157A43C">
      <w:pPr>
        <w:jc w:val="center"/>
        <w:outlineLvl w:val="0"/>
        <w:rPr>
          <w:rFonts w:ascii="黑体" w:hAnsi="黑体" w:eastAsia="黑体" w:cs="Times New Roman"/>
          <w:bCs/>
          <w:sz w:val="32"/>
          <w:szCs w:val="32"/>
        </w:rPr>
      </w:pPr>
      <w:bookmarkStart w:id="41" w:name="_Toc6268"/>
      <w:bookmarkStart w:id="42" w:name="OLE_LINK12"/>
      <w:r>
        <w:rPr>
          <w:rFonts w:hint="eastAsia" w:ascii="黑体" w:hAnsi="黑体" w:eastAsia="黑体" w:cs="Times New Roman"/>
          <w:bCs/>
          <w:sz w:val="32"/>
          <w:szCs w:val="32"/>
        </w:rPr>
        <w:t>4  防渗系统工程设计</w:t>
      </w:r>
      <w:bookmarkEnd w:id="41"/>
    </w:p>
    <w:p w14:paraId="0A444D12">
      <w:pPr>
        <w:spacing w:before="156" w:beforeLines="50" w:after="156" w:afterLines="50"/>
        <w:jc w:val="center"/>
        <w:outlineLvl w:val="1"/>
        <w:rPr>
          <w:rFonts w:asciiTheme="minorEastAsia" w:hAnsiTheme="minorEastAsia"/>
          <w:b/>
          <w:sz w:val="24"/>
        </w:rPr>
      </w:pPr>
      <w:bookmarkStart w:id="43" w:name="_Toc133575301"/>
      <w:bookmarkStart w:id="44" w:name="_Toc484683889"/>
      <w:bookmarkStart w:id="45" w:name="_Toc5634"/>
      <w:bookmarkStart w:id="46" w:name="_Toc484202149"/>
      <w:bookmarkStart w:id="47" w:name="_Toc312247158"/>
      <w:bookmarkStart w:id="48" w:name="_Toc139116467"/>
      <w:bookmarkStart w:id="49" w:name="_Toc21425578"/>
      <w:bookmarkStart w:id="50" w:name="_Ref130178026"/>
      <w:bookmarkStart w:id="51" w:name="_Toc133575441"/>
      <w:bookmarkStart w:id="52" w:name="_Toc133575504"/>
      <w:bookmarkStart w:id="53" w:name="_Toc16704258"/>
      <w:bookmarkStart w:id="54" w:name="_Toc450576771"/>
      <w:bookmarkStart w:id="55" w:name="_Toc139118678"/>
      <w:r>
        <w:rPr>
          <w:rFonts w:hint="eastAsia" w:asciiTheme="minorEastAsia" w:hAnsiTheme="minorEastAsia"/>
          <w:b/>
          <w:sz w:val="24"/>
        </w:rPr>
        <w:t>4.1 一般规定</w:t>
      </w:r>
      <w:bookmarkEnd w:id="43"/>
      <w:bookmarkEnd w:id="44"/>
      <w:bookmarkEnd w:id="45"/>
      <w:bookmarkEnd w:id="46"/>
      <w:bookmarkEnd w:id="47"/>
      <w:bookmarkEnd w:id="48"/>
      <w:bookmarkEnd w:id="49"/>
      <w:bookmarkEnd w:id="50"/>
      <w:bookmarkEnd w:id="51"/>
      <w:bookmarkEnd w:id="52"/>
      <w:bookmarkEnd w:id="53"/>
      <w:bookmarkEnd w:id="54"/>
      <w:bookmarkEnd w:id="55"/>
    </w:p>
    <w:bookmarkEnd w:id="42"/>
    <w:p w14:paraId="794D52A6">
      <w:pPr>
        <w:widowControl/>
        <w:numPr>
          <w:ilvl w:val="0"/>
          <w:numId w:val="1"/>
        </w:numPr>
        <w:jc w:val="left"/>
        <w:outlineLvl w:val="2"/>
        <w:rPr>
          <w:rFonts w:ascii="Times New Roman" w:hAnsi="Times New Roman" w:eastAsia="宋体" w:cs="Times New Roman"/>
          <w:bCs/>
          <w:vanish/>
          <w:sz w:val="24"/>
          <w:szCs w:val="21"/>
        </w:rPr>
      </w:pPr>
      <w:bookmarkStart w:id="56" w:name="_Toc312247159"/>
      <w:bookmarkStart w:id="57" w:name="_Toc133575302"/>
      <w:bookmarkStart w:id="58" w:name="_Toc133575505"/>
      <w:bookmarkStart w:id="59" w:name="_Ref128712938"/>
    </w:p>
    <w:p w14:paraId="2668A377">
      <w:pPr>
        <w:widowControl/>
        <w:numPr>
          <w:ilvl w:val="1"/>
          <w:numId w:val="1"/>
        </w:numPr>
        <w:jc w:val="left"/>
        <w:outlineLvl w:val="2"/>
        <w:rPr>
          <w:rFonts w:ascii="Times New Roman" w:hAnsi="Times New Roman" w:eastAsia="宋体" w:cs="Times New Roman"/>
          <w:bCs/>
          <w:vanish/>
          <w:sz w:val="24"/>
          <w:szCs w:val="21"/>
        </w:rPr>
      </w:pPr>
    </w:p>
    <w:p w14:paraId="1753DB22">
      <w:pPr>
        <w:widowControl/>
        <w:numPr>
          <w:ilvl w:val="1"/>
          <w:numId w:val="1"/>
        </w:numPr>
        <w:jc w:val="left"/>
        <w:outlineLvl w:val="2"/>
        <w:rPr>
          <w:rFonts w:ascii="Times New Roman" w:hAnsi="Times New Roman" w:eastAsia="宋体" w:cs="Times New Roman"/>
          <w:bCs/>
          <w:vanish/>
          <w:sz w:val="24"/>
          <w:szCs w:val="21"/>
        </w:rPr>
      </w:pPr>
    </w:p>
    <w:p w14:paraId="070A6519">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4.1.1 填埋场必须进行防渗处理，防止对地下水和地表水的污染，同时还应防止地下水进入填埋场。</w:t>
      </w:r>
    </w:p>
    <w:bookmarkEnd w:id="56"/>
    <w:bookmarkEnd w:id="57"/>
    <w:bookmarkEnd w:id="58"/>
    <w:bookmarkEnd w:id="59"/>
    <w:p w14:paraId="1CC0E9FF">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4.1.2 防渗系统工程设计应符合填埋场工程总设计要求。应依据填埋场总体设计进行分期和分区，可分期实施。</w:t>
      </w:r>
    </w:p>
    <w:p w14:paraId="34D516F9">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4.1.3</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场地平整应满足填埋库容、边坡稳定、防渗系统铺设及场地压实度等方面的要求。场地平整宜与防渗系统的分期铺设同步进行，并应考虑设置堆土区，用于临时堆放开挖的土方。</w:t>
      </w:r>
    </w:p>
    <w:p w14:paraId="6DDF0C58">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4.1.4 防渗系统工程应能够在填埋场的使用期限和封场后的稳定化期限内有效地发挥其功能。填埋场应构建全寿命防污衬垫，并使其在填埋场的运行、封场、封场后维护直至填埋垃圾稳定化的全生命周期内发挥作用。</w:t>
      </w:r>
    </w:p>
    <w:p w14:paraId="20E98D86">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4.1.5</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防渗系统工程应防止垃圾渗沥液污染地下水和地表水，并应防止地下水和地表水对防渗系统造成破坏。填埋场填埋库区防渗层上的渗沥液水头不应大于0.3m，防渗层底部应与地下水年最高水位保持3m以上的距离。</w:t>
      </w:r>
    </w:p>
    <w:p w14:paraId="3AE70367">
      <w:pPr>
        <w:widowControl/>
        <w:spacing w:line="360" w:lineRule="auto"/>
        <w:jc w:val="left"/>
        <w:outlineLvl w:val="2"/>
        <w:rPr>
          <w:rFonts w:ascii="Times New Roman" w:hAnsi="Times New Roman" w:eastAsia="宋体" w:cs="Times New Roman"/>
          <w:sz w:val="24"/>
        </w:rPr>
      </w:pPr>
      <w:bookmarkStart w:id="60" w:name="_Ref128714579"/>
      <w:r>
        <w:rPr>
          <w:rFonts w:hint="eastAsia" w:ascii="Times New Roman" w:hAnsi="Times New Roman" w:eastAsia="宋体" w:cs="Times New Roman"/>
          <w:sz w:val="24"/>
        </w:rPr>
        <w:t>4.1.6 填埋场的场底和四周边坡应满足整体及局部稳定性的要求。防渗系统应为垃圾填埋堆体提供稳定支撑。防渗系统各材料层之间的摩擦力应保证垃圾填埋堆体稳定。</w:t>
      </w:r>
    </w:p>
    <w:bookmarkEnd w:id="60"/>
    <w:p w14:paraId="4B7A6953">
      <w:pPr>
        <w:widowControl/>
        <w:spacing w:line="360" w:lineRule="auto"/>
        <w:jc w:val="left"/>
        <w:outlineLvl w:val="2"/>
        <w:rPr>
          <w:rFonts w:ascii="Times New Roman" w:hAnsi="Times New Roman" w:eastAsia="宋体" w:cs="Times New Roman"/>
          <w:sz w:val="24"/>
        </w:rPr>
      </w:pPr>
      <w:bookmarkStart w:id="61" w:name="_Ref135118959"/>
      <w:r>
        <w:rPr>
          <w:rFonts w:hint="eastAsia" w:ascii="Times New Roman" w:hAnsi="Times New Roman" w:eastAsia="宋体" w:cs="Times New Roman"/>
          <w:sz w:val="24"/>
        </w:rPr>
        <w:t>4.1.</w:t>
      </w:r>
      <w:r>
        <w:rPr>
          <w:rFonts w:hint="eastAsia" w:ascii="Times New Roman" w:hAnsi="Times New Roman" w:eastAsia="宋体" w:cs="Times New Roman"/>
          <w:sz w:val="24"/>
          <w:lang w:val="en-US" w:eastAsia="zh-CN"/>
        </w:rPr>
        <w:t>7</w:t>
      </w:r>
      <w:r>
        <w:rPr>
          <w:rFonts w:hint="eastAsia" w:ascii="Times New Roman" w:hAnsi="Times New Roman" w:eastAsia="宋体" w:cs="Times New Roman"/>
          <w:sz w:val="24"/>
        </w:rPr>
        <w:t xml:space="preserve"> 填埋库区地基应是具有承载填埋体负荷的自然土层或经过地基处理的稳定土层，不得因填埋堆体的沉降而使基层失稳。对不能满足承载力、沉降限制及稳定性等工程建设要求的地基，应进行相应的处理。</w:t>
      </w:r>
    </w:p>
    <w:bookmarkEnd w:id="61"/>
    <w:p w14:paraId="32276600">
      <w:pPr>
        <w:spacing w:before="156" w:beforeLines="50" w:after="156" w:afterLines="50"/>
        <w:jc w:val="center"/>
        <w:outlineLvl w:val="1"/>
        <w:rPr>
          <w:rFonts w:asciiTheme="minorEastAsia" w:hAnsiTheme="minorEastAsia"/>
          <w:b/>
          <w:sz w:val="24"/>
        </w:rPr>
      </w:pPr>
      <w:bookmarkStart w:id="62" w:name="_Toc312247168"/>
      <w:bookmarkStart w:id="63" w:name="_Ref128797076"/>
      <w:bookmarkStart w:id="64" w:name="_Toc484683890"/>
      <w:bookmarkStart w:id="65" w:name="_Toc133575309"/>
      <w:bookmarkStart w:id="66" w:name="_Toc21425579"/>
      <w:bookmarkStart w:id="67" w:name="_Ref128818165"/>
      <w:bookmarkStart w:id="68" w:name="_Toc133575442"/>
      <w:bookmarkStart w:id="69" w:name="_Toc139118679"/>
      <w:bookmarkStart w:id="70" w:name="_Toc139116468"/>
      <w:bookmarkStart w:id="71" w:name="_Toc133575512"/>
      <w:bookmarkStart w:id="72" w:name="_Toc450576772"/>
      <w:bookmarkStart w:id="73" w:name="_Toc484202150"/>
      <w:bookmarkStart w:id="74" w:name="_Ref128797079"/>
      <w:bookmarkStart w:id="75" w:name="_Toc29773"/>
      <w:bookmarkStart w:id="76" w:name="_Toc16704259"/>
      <w:r>
        <w:rPr>
          <w:rFonts w:hint="eastAsia" w:asciiTheme="minorEastAsia" w:hAnsiTheme="minorEastAsia"/>
          <w:b/>
          <w:sz w:val="24"/>
        </w:rPr>
        <w:t>4.2 防渗系统</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C80E777">
      <w:pPr>
        <w:widowControl/>
        <w:numPr>
          <w:ilvl w:val="1"/>
          <w:numId w:val="1"/>
        </w:numPr>
        <w:jc w:val="left"/>
        <w:outlineLvl w:val="2"/>
        <w:rPr>
          <w:rFonts w:ascii="Times New Roman" w:hAnsi="Times New Roman" w:eastAsia="宋体" w:cs="Times New Roman"/>
          <w:bCs/>
          <w:vanish/>
          <w:sz w:val="24"/>
          <w:szCs w:val="21"/>
        </w:rPr>
      </w:pPr>
    </w:p>
    <w:p w14:paraId="683C956C">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4.2.1 防渗系统应根据填埋场工程地质与水文地质条件进行选择。 防渗系统的设计应符合下列规定：</w:t>
      </w:r>
    </w:p>
    <w:p w14:paraId="773D3E3A">
      <w:pPr>
        <w:widowControl/>
        <w:spacing w:line="360" w:lineRule="auto"/>
        <w:ind w:firstLine="480" w:firstLineChars="200"/>
        <w:jc w:val="left"/>
        <w:rPr>
          <w:rFonts w:ascii="Times New Roman" w:hAnsi="Times New Roman" w:eastAsia="宋体" w:cs="Times New Roman"/>
          <w:sz w:val="24"/>
        </w:rPr>
      </w:pPr>
      <w:bookmarkStart w:id="77" w:name="_Toc4954"/>
      <w:bookmarkStart w:id="78" w:name="_Toc10307"/>
      <w:r>
        <w:rPr>
          <w:rFonts w:hint="eastAsia" w:ascii="Times New Roman" w:hAnsi="Times New Roman" w:eastAsia="宋体" w:cs="Times New Roman"/>
          <w:sz w:val="24"/>
        </w:rPr>
        <w:t>1 应选用可靠的防渗材料及相应的保护层；</w:t>
      </w:r>
      <w:bookmarkEnd w:id="77"/>
      <w:bookmarkEnd w:id="78"/>
    </w:p>
    <w:p w14:paraId="099EB1F5">
      <w:pPr>
        <w:widowControl/>
        <w:spacing w:line="360" w:lineRule="auto"/>
        <w:ind w:firstLine="480" w:firstLineChars="200"/>
        <w:jc w:val="left"/>
        <w:rPr>
          <w:rFonts w:hint="eastAsia" w:ascii="Times New Roman" w:hAnsi="Times New Roman" w:eastAsia="宋体" w:cs="Times New Roman"/>
          <w:sz w:val="24"/>
        </w:rPr>
      </w:pPr>
      <w:bookmarkStart w:id="79" w:name="_Hlk19716842"/>
      <w:r>
        <w:rPr>
          <w:rFonts w:hint="eastAsia" w:ascii="Times New Roman" w:hAnsi="Times New Roman" w:eastAsia="宋体" w:cs="Times New Roman"/>
          <w:sz w:val="24"/>
        </w:rPr>
        <w:t>2 应根据填埋场地形设置渗沥液收集导排系统，防止渗沥液蓄积，渗沥液导排系统应具有长期高效的导排性能；</w:t>
      </w:r>
      <w:bookmarkEnd w:id="79"/>
    </w:p>
    <w:p w14:paraId="4014E175">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 填埋场工程应根据水文地质条件的情况，设置地下水收集导排系统，地下水收集导排系统应具有长期的导排性能。</w:t>
      </w:r>
    </w:p>
    <w:p w14:paraId="7C1A0C62">
      <w:pPr>
        <w:widowControl/>
        <w:spacing w:line="360" w:lineRule="auto"/>
        <w:jc w:val="left"/>
        <w:outlineLvl w:val="2"/>
        <w:rPr>
          <w:rFonts w:ascii="Times New Roman" w:hAnsi="Times New Roman" w:eastAsia="宋体" w:cs="Times New Roman"/>
          <w:sz w:val="24"/>
        </w:rPr>
      </w:pPr>
      <w:bookmarkStart w:id="80" w:name="_Toc16983"/>
      <w:bookmarkStart w:id="81" w:name="_Toc26000"/>
      <w:r>
        <w:rPr>
          <w:rFonts w:hint="eastAsia" w:ascii="Times New Roman" w:hAnsi="Times New Roman" w:eastAsia="宋体" w:cs="Times New Roman"/>
          <w:sz w:val="24"/>
        </w:rPr>
        <w:t>4.2.2 防渗系统结构可分为单层复合衬里防渗系统结构和双层防渗系统结构。</w:t>
      </w:r>
      <w:bookmarkEnd w:id="80"/>
      <w:bookmarkEnd w:id="81"/>
    </w:p>
    <w:p w14:paraId="0E5A055D">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1 </w:t>
      </w:r>
      <w:r>
        <w:rPr>
          <w:rFonts w:hint="eastAsia" w:ascii="Times New Roman" w:hAnsi="Times New Roman" w:eastAsia="宋体" w:cs="Times New Roman"/>
          <w:sz w:val="24"/>
        </w:rPr>
        <w:t>单层防渗系统基本结构应包括渗沥液收集导排系统、防渗层及保护层和基础层。</w:t>
      </w:r>
      <w:r>
        <w:rPr>
          <w:rFonts w:ascii="Times New Roman" w:hAnsi="Times New Roman" w:eastAsia="宋体" w:cs="Times New Roman"/>
          <w:sz w:val="24"/>
        </w:rPr>
        <w:t>库区复合衬里（HDPE</w:t>
      </w:r>
      <w:r>
        <w:rPr>
          <w:rFonts w:hint="eastAsia" w:ascii="Times New Roman" w:hAnsi="Times New Roman" w:eastAsia="宋体" w:cs="Times New Roman"/>
          <w:sz w:val="24"/>
        </w:rPr>
        <w:t>土工</w:t>
      </w:r>
      <w:r>
        <w:rPr>
          <w:rFonts w:ascii="Times New Roman" w:hAnsi="Times New Roman" w:eastAsia="宋体" w:cs="Times New Roman"/>
          <w:sz w:val="24"/>
        </w:rPr>
        <w:t>膜+黏土</w:t>
      </w:r>
      <w:r>
        <w:rPr>
          <w:rFonts w:hint="eastAsia" w:ascii="Times New Roman" w:hAnsi="Times New Roman" w:eastAsia="宋体" w:cs="Times New Roman"/>
          <w:sz w:val="24"/>
        </w:rPr>
        <w:t>/GCL</w:t>
      </w:r>
      <w:r>
        <w:rPr>
          <w:rFonts w:ascii="Times New Roman" w:hAnsi="Times New Roman" w:eastAsia="宋体" w:cs="Times New Roman"/>
          <w:sz w:val="24"/>
        </w:rPr>
        <w:t>）结构</w:t>
      </w:r>
      <w:r>
        <w:rPr>
          <w:rFonts w:hint="eastAsia" w:ascii="Times New Roman" w:hAnsi="Times New Roman" w:eastAsia="宋体" w:cs="Times New Roman"/>
          <w:sz w:val="24"/>
        </w:rPr>
        <w:t xml:space="preserve">（见图4.2.2-1）： </w:t>
      </w:r>
    </w:p>
    <w:p w14:paraId="2E8C7AB5">
      <w:pPr>
        <w:widowControl/>
        <w:spacing w:line="360" w:lineRule="auto"/>
        <w:ind w:firstLine="480" w:firstLineChars="200"/>
        <w:jc w:val="center"/>
        <w:rPr>
          <w:rFonts w:ascii="Times New Roman" w:hAnsi="Times New Roman" w:eastAsia="宋体" w:cs="Times New Roman"/>
          <w:sz w:val="24"/>
        </w:rPr>
      </w:pPr>
      <w:r>
        <w:rPr>
          <w:rFonts w:hint="eastAsia" w:ascii="Times New Roman" w:hAnsi="Times New Roman" w:eastAsia="宋体" w:cs="Times New Roman"/>
          <w:sz w:val="24"/>
        </w:rPr>
        <w:drawing>
          <wp:inline distT="0" distB="0" distL="0" distR="0">
            <wp:extent cx="3263900" cy="2466975"/>
            <wp:effectExtent l="0" t="0" r="12700" b="1905"/>
            <wp:docPr id="1" name="图片 1" descr="gai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ai图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63900" cy="2466975"/>
                    </a:xfrm>
                    <a:prstGeom prst="rect">
                      <a:avLst/>
                    </a:prstGeom>
                    <a:noFill/>
                    <a:ln>
                      <a:noFill/>
                    </a:ln>
                  </pic:spPr>
                </pic:pic>
              </a:graphicData>
            </a:graphic>
          </wp:inline>
        </w:drawing>
      </w:r>
    </w:p>
    <w:p w14:paraId="5E4C34E3">
      <w:pPr>
        <w:widowControl/>
        <w:spacing w:line="360" w:lineRule="auto"/>
        <w:ind w:firstLine="422" w:firstLineChars="200"/>
        <w:jc w:val="center"/>
        <w:rPr>
          <w:rFonts w:ascii="Times New Roman" w:hAnsi="Times New Roman" w:eastAsia="宋体" w:cs="Times New Roman"/>
          <w:b/>
          <w:szCs w:val="21"/>
        </w:rPr>
      </w:pPr>
      <w:bookmarkStart w:id="82" w:name="OLE_LINK18"/>
      <w:bookmarkStart w:id="83" w:name="OLE_LINK19"/>
      <w:r>
        <w:rPr>
          <w:rFonts w:ascii="Times New Roman" w:hAnsi="Times New Roman" w:eastAsia="宋体" w:cs="Times New Roman"/>
          <w:b/>
          <w:szCs w:val="21"/>
        </w:rPr>
        <w:t>图</w:t>
      </w:r>
      <w:r>
        <w:rPr>
          <w:rFonts w:hint="eastAsia" w:ascii="Times New Roman" w:hAnsi="Times New Roman" w:eastAsia="宋体" w:cs="Times New Roman"/>
          <w:b/>
          <w:szCs w:val="21"/>
        </w:rPr>
        <w:t>4</w:t>
      </w:r>
      <w:r>
        <w:rPr>
          <w:rFonts w:ascii="Times New Roman" w:hAnsi="Times New Roman" w:eastAsia="宋体" w:cs="Times New Roman"/>
          <w:b/>
          <w:szCs w:val="21"/>
        </w:rPr>
        <w:t>.2</w:t>
      </w:r>
      <w:r>
        <w:rPr>
          <w:rFonts w:hint="eastAsia" w:ascii="Times New Roman" w:hAnsi="Times New Roman" w:eastAsia="宋体" w:cs="Times New Roman"/>
          <w:b/>
          <w:szCs w:val="21"/>
        </w:rPr>
        <w:t>.2</w:t>
      </w:r>
      <w:r>
        <w:rPr>
          <w:rFonts w:ascii="Times New Roman" w:hAnsi="Times New Roman" w:eastAsia="宋体" w:cs="Times New Roman"/>
          <w:b/>
          <w:szCs w:val="21"/>
        </w:rPr>
        <w:t>-1  库区底部复合衬里（HDPE膜+黏土）结构示意图</w:t>
      </w:r>
      <w:bookmarkEnd w:id="82"/>
    </w:p>
    <w:p w14:paraId="2C95DF14">
      <w:pPr>
        <w:widowControl/>
        <w:spacing w:line="360" w:lineRule="auto"/>
        <w:ind w:firstLine="420" w:firstLineChars="200"/>
        <w:jc w:val="left"/>
        <w:rPr>
          <w:rFonts w:ascii="Times New Roman" w:hAnsi="Times New Roman" w:eastAsia="宋体" w:cs="Times New Roman"/>
          <w:sz w:val="24"/>
        </w:rPr>
      </w:pPr>
      <w:r>
        <w:rPr>
          <w:rFonts w:hint="eastAsia" w:ascii="Times New Roman" w:hAnsi="Times New Roman" w:eastAsia="宋体" w:cs="Times New Roman"/>
          <w:szCs w:val="21"/>
        </w:rPr>
        <w:t>注：1-基础层；2-反滤层（可选择层）；3-地下水导流层（可选择层）；4-防渗及膜下保护层；5-膜防渗层；6-膜上保护层；7-渗沥液导流层；8-反滤层；9-垃圾层</w:t>
      </w:r>
      <w:bookmarkEnd w:id="83"/>
      <w:r>
        <w:rPr>
          <w:rFonts w:hint="eastAsia" w:ascii="Times New Roman" w:hAnsi="Times New Roman" w:eastAsia="宋体" w:cs="Times New Roman"/>
          <w:szCs w:val="21"/>
        </w:rPr>
        <w:t>。</w:t>
      </w:r>
    </w:p>
    <w:p w14:paraId="0C9BCA5A">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2 </w:t>
      </w:r>
      <w:r>
        <w:rPr>
          <w:rFonts w:hint="eastAsia" w:ascii="Times New Roman" w:hAnsi="Times New Roman" w:eastAsia="宋体" w:cs="Times New Roman"/>
          <w:sz w:val="24"/>
        </w:rPr>
        <w:t>双层防渗系统基本结构应包括渗沥液导排系统、主防渗层及</w:t>
      </w:r>
      <w:r>
        <w:rPr>
          <w:rFonts w:ascii="Times New Roman" w:hAnsi="Times New Roman" w:eastAsia="宋体" w:cs="Times New Roman"/>
          <w:sz w:val="24"/>
        </w:rPr>
        <w:t>保护层</w:t>
      </w:r>
      <w:r>
        <w:rPr>
          <w:rFonts w:hint="eastAsia" w:ascii="Times New Roman" w:hAnsi="Times New Roman" w:eastAsia="宋体" w:cs="Times New Roman"/>
          <w:sz w:val="24"/>
        </w:rPr>
        <w:t>、渗沥液检测层、次防渗层及</w:t>
      </w:r>
      <w:r>
        <w:rPr>
          <w:rFonts w:ascii="Times New Roman" w:hAnsi="Times New Roman" w:eastAsia="宋体" w:cs="Times New Roman"/>
          <w:sz w:val="24"/>
        </w:rPr>
        <w:t>保护层</w:t>
      </w:r>
      <w:r>
        <w:rPr>
          <w:rFonts w:hint="eastAsia" w:ascii="Times New Roman" w:hAnsi="Times New Roman" w:eastAsia="宋体" w:cs="Times New Roman"/>
          <w:sz w:val="24"/>
        </w:rPr>
        <w:t>和基础层。应根据需要设置地下水导排系统和反滤层。</w:t>
      </w:r>
      <w:r>
        <w:rPr>
          <w:rFonts w:ascii="Times New Roman" w:hAnsi="Times New Roman" w:eastAsia="宋体" w:cs="Times New Roman"/>
          <w:sz w:val="24"/>
        </w:rPr>
        <w:t>库区双层</w:t>
      </w:r>
      <w:r>
        <w:rPr>
          <w:rFonts w:hint="eastAsia" w:ascii="Times New Roman" w:hAnsi="Times New Roman" w:eastAsia="宋体" w:cs="Times New Roman"/>
          <w:sz w:val="24"/>
        </w:rPr>
        <w:t>防渗结构（见图4.2.2-2）：</w:t>
      </w:r>
    </w:p>
    <w:p w14:paraId="4FAE8821">
      <w:pPr>
        <w:widowControl/>
        <w:spacing w:line="360" w:lineRule="auto"/>
        <w:ind w:firstLine="480" w:firstLineChars="200"/>
        <w:jc w:val="center"/>
        <w:rPr>
          <w:rFonts w:ascii="Times New Roman" w:hAnsi="Times New Roman" w:eastAsia="宋体" w:cs="Times New Roman"/>
          <w:sz w:val="24"/>
        </w:rPr>
      </w:pPr>
      <w:r>
        <w:rPr>
          <w:rFonts w:hint="eastAsia" w:ascii="Times New Roman" w:hAnsi="Times New Roman" w:eastAsia="宋体" w:cs="Times New Roman"/>
          <w:sz w:val="24"/>
        </w:rPr>
        <w:drawing>
          <wp:inline distT="0" distB="0" distL="0" distR="0">
            <wp:extent cx="3370580" cy="2454910"/>
            <wp:effectExtent l="0" t="0" r="0" b="0"/>
            <wp:docPr id="2" name="图片 2" descr="无标题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副本"/>
                    <pic:cNvPicPr>
                      <a:picLocks noChangeAspect="1" noChangeArrowheads="1"/>
                    </pic:cNvPicPr>
                  </pic:nvPicPr>
                  <pic:blipFill>
                    <a:blip r:embed="rId9" cstate="print">
                      <a:extLst>
                        <a:ext uri="{28A0092B-C50C-407E-A947-70E740481C1C}">
                          <a14:useLocalDpi xmlns:a14="http://schemas.microsoft.com/office/drawing/2010/main" val="0"/>
                        </a:ext>
                      </a:extLst>
                    </a:blip>
                    <a:srcRect b="10197"/>
                    <a:stretch>
                      <a:fillRect/>
                    </a:stretch>
                  </pic:blipFill>
                  <pic:spPr>
                    <a:xfrm>
                      <a:off x="0" y="0"/>
                      <a:ext cx="3370580" cy="2454910"/>
                    </a:xfrm>
                    <a:prstGeom prst="rect">
                      <a:avLst/>
                    </a:prstGeom>
                    <a:noFill/>
                    <a:ln>
                      <a:noFill/>
                    </a:ln>
                  </pic:spPr>
                </pic:pic>
              </a:graphicData>
            </a:graphic>
          </wp:inline>
        </w:drawing>
      </w:r>
    </w:p>
    <w:p w14:paraId="75A944FC">
      <w:pPr>
        <w:widowControl/>
        <w:spacing w:line="360" w:lineRule="auto"/>
        <w:ind w:firstLine="422" w:firstLineChars="200"/>
        <w:jc w:val="center"/>
        <w:rPr>
          <w:rFonts w:ascii="Times New Roman" w:hAnsi="Times New Roman" w:eastAsia="宋体" w:cs="Times New Roman"/>
          <w:b/>
          <w:sz w:val="24"/>
        </w:rPr>
      </w:pPr>
      <w:r>
        <w:rPr>
          <w:rFonts w:ascii="Times New Roman" w:hAnsi="Times New Roman" w:eastAsia="宋体" w:cs="Times New Roman"/>
          <w:b/>
          <w:szCs w:val="21"/>
        </w:rPr>
        <w:t>图</w:t>
      </w:r>
      <w:r>
        <w:rPr>
          <w:rFonts w:hint="eastAsia" w:ascii="Times New Roman" w:hAnsi="Times New Roman" w:eastAsia="宋体" w:cs="Times New Roman"/>
          <w:b/>
          <w:szCs w:val="21"/>
        </w:rPr>
        <w:t>4</w:t>
      </w:r>
      <w:r>
        <w:rPr>
          <w:rFonts w:ascii="Times New Roman" w:hAnsi="Times New Roman" w:eastAsia="宋体" w:cs="Times New Roman"/>
          <w:b/>
          <w:szCs w:val="21"/>
        </w:rPr>
        <w:t>.2</w:t>
      </w:r>
      <w:r>
        <w:rPr>
          <w:rFonts w:hint="eastAsia" w:ascii="Times New Roman" w:hAnsi="Times New Roman" w:eastAsia="宋体" w:cs="Times New Roman"/>
          <w:b/>
          <w:szCs w:val="21"/>
        </w:rPr>
        <w:t>.2</w:t>
      </w:r>
      <w:r>
        <w:rPr>
          <w:rFonts w:ascii="Times New Roman" w:hAnsi="Times New Roman" w:eastAsia="宋体" w:cs="Times New Roman"/>
          <w:b/>
          <w:szCs w:val="21"/>
        </w:rPr>
        <w:t>-2  库区双层</w:t>
      </w:r>
      <w:r>
        <w:rPr>
          <w:rFonts w:hint="eastAsia" w:ascii="Times New Roman" w:hAnsi="Times New Roman" w:eastAsia="宋体" w:cs="Times New Roman"/>
          <w:b/>
          <w:szCs w:val="21"/>
        </w:rPr>
        <w:t>防渗</w:t>
      </w:r>
      <w:r>
        <w:rPr>
          <w:rFonts w:ascii="Times New Roman" w:hAnsi="Times New Roman" w:eastAsia="宋体" w:cs="Times New Roman"/>
          <w:b/>
          <w:szCs w:val="21"/>
        </w:rPr>
        <w:t>结构示意图</w:t>
      </w:r>
    </w:p>
    <w:p w14:paraId="79C86012">
      <w:pPr>
        <w:widowControl/>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注：1-基础层；2-反滤层（可选择层）；3-地下水导流层（可选择层）；4-膜下保护层；5-膜防渗层；6-膜上保护层；7-渗沥液检测层；8-膜下保护层；9-膜防渗层；10-膜上保护层；11-渗沥液导流层；12-反滤层；13-垃圾层。</w:t>
      </w:r>
    </w:p>
    <w:p w14:paraId="171A7B5E">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4</w:t>
      </w:r>
      <w:r>
        <w:rPr>
          <w:rFonts w:ascii="Times New Roman" w:hAnsi="Times New Roman" w:eastAsia="宋体" w:cs="Times New Roman"/>
          <w:sz w:val="24"/>
        </w:rPr>
        <w:t>.2.3</w:t>
      </w:r>
      <w:r>
        <w:rPr>
          <w:rFonts w:hint="eastAsia" w:ascii="Times New Roman" w:hAnsi="Times New Roman" w:eastAsia="宋体" w:cs="Times New Roman"/>
          <w:sz w:val="24"/>
        </w:rPr>
        <w:t xml:space="preserve"> 防渗系统衬里结构类型应根据填埋场工程地质与水文地质条件进行选择，可采用黏土衬里结构和人工合成材料衬里结构。</w:t>
      </w:r>
    </w:p>
    <w:p w14:paraId="6DFB7D1E">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4</w:t>
      </w:r>
      <w:r>
        <w:rPr>
          <w:rFonts w:ascii="Times New Roman" w:hAnsi="Times New Roman" w:eastAsia="宋体" w:cs="Times New Roman"/>
          <w:sz w:val="24"/>
        </w:rPr>
        <w:t>.2.4</w:t>
      </w:r>
      <w:r>
        <w:rPr>
          <w:rFonts w:hint="eastAsia" w:ascii="Times New Roman" w:hAnsi="Times New Roman" w:eastAsia="宋体" w:cs="Times New Roman"/>
          <w:sz w:val="24"/>
        </w:rPr>
        <w:t xml:space="preserve"> </w:t>
      </w:r>
      <w:r>
        <w:rPr>
          <w:rFonts w:ascii="Times New Roman" w:hAnsi="Times New Roman" w:eastAsia="宋体" w:cs="Times New Roman"/>
          <w:sz w:val="24"/>
        </w:rPr>
        <w:t>黏土衬里结构</w:t>
      </w:r>
      <w:r>
        <w:rPr>
          <w:rFonts w:hint="eastAsia" w:ascii="Times New Roman" w:hAnsi="Times New Roman" w:eastAsia="宋体" w:cs="Times New Roman"/>
          <w:sz w:val="24"/>
        </w:rPr>
        <w:t>可包括天然黏土衬里结构和人工改性压实黏土衬里结构，并应符合下列规定：</w:t>
      </w:r>
    </w:p>
    <w:p w14:paraId="63FBDC09">
      <w:pPr>
        <w:spacing w:line="360" w:lineRule="auto"/>
        <w:ind w:firstLine="540" w:firstLineChars="225"/>
        <w:rPr>
          <w:rFonts w:ascii="Times New Roman" w:hAnsi="Times New Roman" w:eastAsia="宋体" w:cs="Times New Roman"/>
          <w:bCs/>
          <w:sz w:val="24"/>
          <w:lang w:val="zh-CN"/>
        </w:rPr>
      </w:pPr>
      <w:r>
        <w:rPr>
          <w:rFonts w:hint="eastAsia" w:ascii="Times New Roman" w:hAnsi="Times New Roman" w:eastAsia="宋体" w:cs="Times New Roman"/>
          <w:bCs/>
          <w:sz w:val="24"/>
          <w:lang w:val="zh-CN"/>
        </w:rPr>
        <w:t xml:space="preserve">1 </w:t>
      </w:r>
      <w:r>
        <w:rPr>
          <w:rFonts w:ascii="Times New Roman" w:hAnsi="Times New Roman" w:eastAsia="宋体" w:cs="Times New Roman"/>
          <w:bCs/>
          <w:sz w:val="24"/>
          <w:lang w:val="zh-CN"/>
        </w:rPr>
        <w:t>当天然基础层饱和渗透系数小于1.0</w:t>
      </w:r>
      <w:r>
        <w:rPr>
          <w:rFonts w:ascii="Times New Roman" w:hAnsi="Times New Roman" w:eastAsia="宋体" w:cs="Times New Roman"/>
          <w:bCs/>
          <w:szCs w:val="21"/>
          <w:lang w:val="zh-CN"/>
        </w:rPr>
        <w:t>×</w:t>
      </w:r>
      <w:r>
        <w:rPr>
          <w:rFonts w:ascii="Times New Roman" w:hAnsi="Times New Roman" w:eastAsia="宋体" w:cs="Times New Roman"/>
          <w:bCs/>
          <w:sz w:val="24"/>
          <w:lang w:val="zh-CN"/>
        </w:rPr>
        <w:t>10</w:t>
      </w:r>
      <w:r>
        <w:rPr>
          <w:rFonts w:ascii="Times New Roman" w:hAnsi="Times New Roman" w:eastAsia="宋体" w:cs="Times New Roman"/>
          <w:bCs/>
          <w:sz w:val="24"/>
          <w:vertAlign w:val="superscript"/>
          <w:lang w:val="zh-CN"/>
        </w:rPr>
        <w:t>-7</w:t>
      </w:r>
      <w:r>
        <w:rPr>
          <w:rFonts w:ascii="Times New Roman" w:hAnsi="Times New Roman" w:eastAsia="宋体" w:cs="Times New Roman"/>
          <w:bCs/>
          <w:sz w:val="24"/>
          <w:lang w:val="zh-CN"/>
        </w:rPr>
        <w:t>cm/s，且场底及四周衬里厚度不小于2m时，可采用天然黏土作为防渗层的衬里结构</w:t>
      </w:r>
      <w:r>
        <w:rPr>
          <w:rFonts w:hint="eastAsia" w:ascii="Times New Roman" w:hAnsi="Times New Roman" w:eastAsia="宋体" w:cs="Times New Roman"/>
          <w:bCs/>
          <w:sz w:val="24"/>
          <w:lang w:val="zh-CN"/>
        </w:rPr>
        <w:t>；</w:t>
      </w:r>
    </w:p>
    <w:p w14:paraId="50353416">
      <w:pPr>
        <w:spacing w:line="360" w:lineRule="auto"/>
        <w:ind w:firstLine="540" w:firstLineChars="225"/>
        <w:rPr>
          <w:rFonts w:ascii="Times New Roman" w:hAnsi="Times New Roman" w:eastAsia="宋体" w:cs="Times New Roman"/>
          <w:bCs/>
          <w:sz w:val="24"/>
          <w:lang w:val="zh-CN"/>
        </w:rPr>
      </w:pPr>
      <w:r>
        <w:rPr>
          <w:rFonts w:ascii="Times New Roman" w:hAnsi="Times New Roman" w:eastAsia="宋体" w:cs="Times New Roman"/>
          <w:bCs/>
          <w:sz w:val="24"/>
          <w:lang w:val="zh-CN"/>
        </w:rPr>
        <w:t>2</w:t>
      </w:r>
      <w:r>
        <w:rPr>
          <w:rFonts w:hint="eastAsia" w:ascii="Times New Roman" w:hAnsi="Times New Roman" w:eastAsia="宋体" w:cs="Times New Roman"/>
          <w:bCs/>
          <w:sz w:val="24"/>
          <w:lang w:val="zh-CN"/>
        </w:rPr>
        <w:t xml:space="preserve"> 当天然黏土层不满足要求时，</w:t>
      </w:r>
      <w:r>
        <w:rPr>
          <w:rFonts w:ascii="Times New Roman" w:hAnsi="Times New Roman" w:eastAsia="宋体" w:cs="Times New Roman"/>
          <w:bCs/>
          <w:sz w:val="24"/>
          <w:lang w:val="zh-CN"/>
        </w:rPr>
        <w:t>可</w:t>
      </w:r>
      <w:r>
        <w:rPr>
          <w:rFonts w:hint="eastAsia" w:ascii="Times New Roman" w:hAnsi="Times New Roman" w:eastAsia="宋体" w:cs="Times New Roman"/>
          <w:bCs/>
          <w:sz w:val="24"/>
          <w:lang w:val="zh-CN"/>
        </w:rPr>
        <w:t>对天然黏土层进行</w:t>
      </w:r>
      <w:r>
        <w:rPr>
          <w:rFonts w:ascii="Times New Roman" w:hAnsi="Times New Roman" w:eastAsia="宋体" w:cs="Times New Roman"/>
          <w:bCs/>
          <w:sz w:val="24"/>
          <w:lang w:val="zh-CN"/>
        </w:rPr>
        <w:t>人工改性压实</w:t>
      </w:r>
      <w:r>
        <w:rPr>
          <w:rFonts w:hint="eastAsia" w:ascii="Times New Roman" w:hAnsi="Times New Roman" w:eastAsia="宋体" w:cs="Times New Roman"/>
          <w:bCs/>
          <w:sz w:val="24"/>
          <w:lang w:val="zh-CN"/>
        </w:rPr>
        <w:t>，</w:t>
      </w:r>
      <w:r>
        <w:rPr>
          <w:rFonts w:hint="eastAsia" w:ascii="Times New Roman" w:hAnsi="Times New Roman" w:eastAsia="宋体" w:cs="Times New Roman"/>
          <w:sz w:val="24"/>
          <w:lang w:val="zh-CN"/>
        </w:rPr>
        <w:t>并应</w:t>
      </w:r>
      <w:r>
        <w:rPr>
          <w:rFonts w:ascii="Times New Roman" w:hAnsi="Times New Roman" w:eastAsia="宋体" w:cs="Times New Roman"/>
          <w:sz w:val="24"/>
          <w:lang w:val="zh-CN"/>
        </w:rPr>
        <w:t>达到等效防渗性能要求。</w:t>
      </w:r>
    </w:p>
    <w:p w14:paraId="241C22A2">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4</w:t>
      </w:r>
      <w:r>
        <w:rPr>
          <w:rFonts w:ascii="Times New Roman" w:hAnsi="Times New Roman" w:eastAsia="宋体" w:cs="Times New Roman"/>
          <w:sz w:val="24"/>
        </w:rPr>
        <w:t>.2.5</w:t>
      </w:r>
      <w:r>
        <w:rPr>
          <w:rFonts w:hint="eastAsia" w:ascii="Times New Roman" w:hAnsi="Times New Roman" w:eastAsia="宋体" w:cs="Times New Roman"/>
          <w:sz w:val="24"/>
        </w:rPr>
        <w:t xml:space="preserve"> 人工合成材料衬里</w:t>
      </w:r>
      <w:r>
        <w:rPr>
          <w:rFonts w:hint="eastAsia" w:ascii="Times New Roman" w:hAnsi="Times New Roman" w:eastAsia="宋体" w:cs="Times New Roman"/>
          <w:bCs/>
          <w:sz w:val="24"/>
          <w:lang w:val="zh-CN"/>
        </w:rPr>
        <w:t>结构应采用</w:t>
      </w:r>
      <w:bookmarkStart w:id="84" w:name="OLE_LINK8"/>
      <w:r>
        <w:rPr>
          <w:rFonts w:hint="eastAsia" w:ascii="Times New Roman" w:hAnsi="Times New Roman" w:eastAsia="宋体" w:cs="Times New Roman"/>
          <w:bCs/>
          <w:sz w:val="24"/>
          <w:lang w:val="zh-CN"/>
        </w:rPr>
        <w:t>高密度聚乙烯（</w:t>
      </w:r>
      <w:r>
        <w:rPr>
          <w:rFonts w:ascii="Times New Roman" w:hAnsi="Times New Roman" w:eastAsia="宋体" w:cs="Times New Roman"/>
          <w:sz w:val="24"/>
        </w:rPr>
        <w:t>HDPE</w:t>
      </w:r>
      <w:r>
        <w:rPr>
          <w:rFonts w:hint="eastAsia" w:ascii="Times New Roman" w:hAnsi="Times New Roman" w:eastAsia="宋体" w:cs="Times New Roman"/>
          <w:bCs/>
          <w:sz w:val="24"/>
          <w:lang w:val="zh-CN"/>
        </w:rPr>
        <w:t>）</w:t>
      </w:r>
      <w:bookmarkEnd w:id="84"/>
      <w:r>
        <w:rPr>
          <w:rFonts w:ascii="Times New Roman" w:hAnsi="Times New Roman" w:eastAsia="宋体" w:cs="Times New Roman"/>
          <w:sz w:val="24"/>
        </w:rPr>
        <w:t>土工膜</w:t>
      </w:r>
      <w:r>
        <w:rPr>
          <w:rFonts w:hint="eastAsia" w:ascii="Times New Roman" w:hAnsi="Times New Roman" w:eastAsia="宋体" w:cs="Times New Roman"/>
          <w:sz w:val="24"/>
        </w:rPr>
        <w:t>和膜下黏土层紧密衔接实现复合防渗，</w:t>
      </w:r>
      <w:r>
        <w:rPr>
          <w:rFonts w:hint="eastAsia" w:ascii="Times New Roman" w:hAnsi="Times New Roman" w:eastAsia="宋体" w:cs="Times New Roman"/>
          <w:bCs/>
          <w:sz w:val="24"/>
          <w:lang w:val="zh-CN"/>
        </w:rPr>
        <w:t>高密度聚乙烯（</w:t>
      </w:r>
      <w:r>
        <w:rPr>
          <w:rFonts w:ascii="Times New Roman" w:hAnsi="Times New Roman" w:eastAsia="宋体" w:cs="Times New Roman"/>
          <w:sz w:val="24"/>
        </w:rPr>
        <w:t>HDPE</w:t>
      </w:r>
      <w:r>
        <w:rPr>
          <w:rFonts w:hint="eastAsia" w:ascii="Times New Roman" w:hAnsi="Times New Roman" w:eastAsia="宋体" w:cs="Times New Roman"/>
          <w:bCs/>
          <w:sz w:val="24"/>
          <w:lang w:val="zh-CN"/>
        </w:rPr>
        <w:t>）</w:t>
      </w:r>
      <w:r>
        <w:rPr>
          <w:rFonts w:ascii="Times New Roman" w:hAnsi="Times New Roman" w:eastAsia="宋体" w:cs="Times New Roman"/>
          <w:sz w:val="24"/>
        </w:rPr>
        <w:t>土工膜</w:t>
      </w:r>
      <w:r>
        <w:rPr>
          <w:rFonts w:hint="eastAsia" w:ascii="Times New Roman" w:hAnsi="Times New Roman" w:eastAsia="宋体" w:cs="Times New Roman"/>
          <w:sz w:val="24"/>
        </w:rPr>
        <w:t>下可设置</w:t>
      </w:r>
      <w:r>
        <w:rPr>
          <w:rFonts w:ascii="Times New Roman" w:hAnsi="Times New Roman" w:eastAsia="宋体" w:cs="Times New Roman"/>
          <w:sz w:val="24"/>
        </w:rPr>
        <w:t>膨润土防水毯</w:t>
      </w:r>
      <w:r>
        <w:rPr>
          <w:rFonts w:hint="eastAsia" w:ascii="Times New Roman" w:hAnsi="Times New Roman" w:eastAsia="宋体" w:cs="Times New Roman"/>
          <w:sz w:val="24"/>
        </w:rPr>
        <w:t>代替部分黏土层。</w:t>
      </w:r>
    </w:p>
    <w:p w14:paraId="6669773E">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4.2.6 位于地下水贫乏地区的防渗系统可采用单层</w:t>
      </w:r>
      <w:r>
        <w:rPr>
          <w:rFonts w:hint="eastAsia" w:ascii="Times New Roman" w:hAnsi="Times New Roman" w:eastAsia="宋体" w:cs="Times New Roman"/>
          <w:sz w:val="24"/>
          <w:lang w:val="zh-CN"/>
        </w:rPr>
        <w:t>高密度聚乙烯（</w:t>
      </w:r>
      <w:r>
        <w:rPr>
          <w:rFonts w:hint="eastAsia" w:ascii="Times New Roman" w:hAnsi="Times New Roman" w:eastAsia="宋体" w:cs="Times New Roman"/>
          <w:sz w:val="24"/>
        </w:rPr>
        <w:t>HDPE</w:t>
      </w:r>
      <w:r>
        <w:rPr>
          <w:rFonts w:hint="eastAsia" w:ascii="Times New Roman" w:hAnsi="Times New Roman" w:eastAsia="宋体" w:cs="Times New Roman"/>
          <w:sz w:val="24"/>
          <w:lang w:val="zh-CN"/>
        </w:rPr>
        <w:t>）</w:t>
      </w:r>
      <w:r>
        <w:rPr>
          <w:rFonts w:hint="eastAsia" w:ascii="Times New Roman" w:hAnsi="Times New Roman" w:eastAsia="宋体" w:cs="Times New Roman"/>
          <w:sz w:val="24"/>
        </w:rPr>
        <w:t>土工膜衬里结构，也可采用HDPE土工膜加膨润土防水毯形成的复合防渗衬里结构。</w:t>
      </w:r>
    </w:p>
    <w:p w14:paraId="77106FEB">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4.2.7 在特殊地质及环境要求较高的地区，应采用双层防渗结构。</w:t>
      </w:r>
    </w:p>
    <w:p w14:paraId="4CA287E0">
      <w:pPr>
        <w:spacing w:before="156" w:beforeLines="50" w:after="156" w:afterLines="50"/>
        <w:jc w:val="center"/>
        <w:outlineLvl w:val="1"/>
        <w:rPr>
          <w:rFonts w:asciiTheme="minorEastAsia" w:hAnsiTheme="minorEastAsia"/>
          <w:b/>
          <w:sz w:val="24"/>
        </w:rPr>
      </w:pPr>
      <w:bookmarkStart w:id="85" w:name="_Toc450576773"/>
      <w:bookmarkStart w:id="86" w:name="_Toc133575312"/>
      <w:bookmarkStart w:id="87" w:name="_Toc139116469"/>
      <w:bookmarkStart w:id="88" w:name="_Toc139118680"/>
      <w:bookmarkStart w:id="89" w:name="_Toc133575443"/>
      <w:bookmarkStart w:id="90" w:name="_Toc312247171"/>
      <w:bookmarkStart w:id="91" w:name="_Toc133575515"/>
      <w:bookmarkStart w:id="92" w:name="_Toc21425580"/>
      <w:bookmarkStart w:id="93" w:name="_Ref128818229"/>
      <w:bookmarkStart w:id="94" w:name="_Toc484202151"/>
      <w:bookmarkStart w:id="95" w:name="_Ref128818233"/>
      <w:bookmarkStart w:id="96" w:name="_Toc16704260"/>
      <w:r>
        <w:rPr>
          <w:rFonts w:hint="eastAsia" w:asciiTheme="minorEastAsia" w:hAnsiTheme="minorEastAsia"/>
          <w:b/>
          <w:sz w:val="24"/>
        </w:rPr>
        <w:t xml:space="preserve"> </w:t>
      </w:r>
      <w:bookmarkStart w:id="97" w:name="_Toc4365"/>
      <w:r>
        <w:rPr>
          <w:rFonts w:hint="eastAsia" w:asciiTheme="minorEastAsia" w:hAnsiTheme="minorEastAsia"/>
          <w:b/>
          <w:sz w:val="24"/>
        </w:rPr>
        <w:t>4.3 基础层</w:t>
      </w:r>
      <w:bookmarkEnd w:id="85"/>
      <w:bookmarkEnd w:id="86"/>
      <w:bookmarkEnd w:id="87"/>
      <w:bookmarkEnd w:id="88"/>
      <w:bookmarkEnd w:id="89"/>
      <w:bookmarkEnd w:id="90"/>
      <w:bookmarkEnd w:id="91"/>
      <w:bookmarkEnd w:id="92"/>
      <w:bookmarkEnd w:id="93"/>
      <w:bookmarkEnd w:id="94"/>
      <w:bookmarkEnd w:id="95"/>
      <w:bookmarkEnd w:id="96"/>
      <w:bookmarkEnd w:id="97"/>
    </w:p>
    <w:p w14:paraId="12437FCF">
      <w:pPr>
        <w:widowControl/>
        <w:numPr>
          <w:ilvl w:val="1"/>
          <w:numId w:val="2"/>
        </w:numPr>
        <w:jc w:val="left"/>
        <w:outlineLvl w:val="2"/>
        <w:rPr>
          <w:rFonts w:ascii="Times New Roman" w:hAnsi="Times New Roman" w:eastAsia="宋体" w:cs="Times New Roman"/>
          <w:bCs/>
          <w:vanish/>
          <w:sz w:val="24"/>
          <w:szCs w:val="21"/>
        </w:rPr>
      </w:pPr>
      <w:bookmarkStart w:id="98" w:name="_Toc312247172"/>
      <w:bookmarkStart w:id="99" w:name="_Ref129956139"/>
      <w:bookmarkStart w:id="100" w:name="_Toc133575516"/>
      <w:bookmarkStart w:id="101" w:name="_Toc133575313"/>
      <w:bookmarkStart w:id="102" w:name="_Ref128821487"/>
    </w:p>
    <w:p w14:paraId="428ADD19">
      <w:pPr>
        <w:widowControl/>
        <w:adjustRightInd w:val="0"/>
        <w:snapToGrid w:val="0"/>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 xml:space="preserve">.3.1 </w:t>
      </w:r>
      <w:r>
        <w:rPr>
          <w:rFonts w:hint="eastAsia" w:ascii="Times New Roman" w:hAnsi="Times New Roman" w:eastAsia="宋体" w:cs="Times New Roman"/>
          <w:sz w:val="24"/>
        </w:rPr>
        <w:t>填埋场基础层应满足以下基本要求，当所选场址天然地基无法满足基本要求时，应进行地基处理以达到以下要求：</w:t>
      </w:r>
    </w:p>
    <w:p w14:paraId="6450EB0F">
      <w:pPr>
        <w:widowControl/>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1 填埋场地基承载力和边坡稳定性应满足稳定安全要求；</w:t>
      </w:r>
    </w:p>
    <w:p w14:paraId="0F569CA2">
      <w:pPr>
        <w:widowControl/>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 地基总沉降量宜不大于30 cm；</w:t>
      </w:r>
    </w:p>
    <w:p w14:paraId="08C3A1D6">
      <w:pPr>
        <w:widowControl/>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3 地下水年最高水位与防污衬垫防渗层底部的距离应不小于</w:t>
      </w:r>
      <w:r>
        <w:rPr>
          <w:rFonts w:hint="eastAsia" w:ascii="Times New Roman" w:hAnsi="Times New Roman" w:eastAsia="宋体" w:cs="Times New Roman"/>
          <w:sz w:val="24"/>
        </w:rPr>
        <w:t>3</w:t>
      </w:r>
      <w:r>
        <w:rPr>
          <w:rFonts w:ascii="Times New Roman" w:hAnsi="Times New Roman" w:eastAsia="宋体" w:cs="Times New Roman"/>
          <w:sz w:val="24"/>
        </w:rPr>
        <w:t xml:space="preserve"> m；</w:t>
      </w:r>
    </w:p>
    <w:p w14:paraId="54243DF2">
      <w:pPr>
        <w:widowControl/>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4 防污衬垫下卧地层渗透系数宜不大于1×10</w:t>
      </w:r>
      <w:r>
        <w:rPr>
          <w:rFonts w:ascii="Times New Roman" w:hAnsi="Times New Roman" w:eastAsia="宋体" w:cs="Times New Roman"/>
          <w:sz w:val="24"/>
          <w:vertAlign w:val="superscript"/>
        </w:rPr>
        <w:t>-5</w:t>
      </w:r>
      <w:r>
        <w:rPr>
          <w:rFonts w:ascii="Times New Roman" w:hAnsi="Times New Roman" w:eastAsia="宋体" w:cs="Times New Roman"/>
          <w:sz w:val="24"/>
        </w:rPr>
        <w:t xml:space="preserve"> cm/s，且厚度不小于1 m。</w:t>
      </w:r>
    </w:p>
    <w:p w14:paraId="0D695764">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4.3.2 </w:t>
      </w:r>
      <w:r>
        <w:rPr>
          <w:rFonts w:ascii="Times New Roman" w:hAnsi="Times New Roman" w:eastAsia="宋体" w:cs="Times New Roman"/>
          <w:sz w:val="24"/>
        </w:rPr>
        <w:t>防渗系统的场底基础层应根据渗沥液收集导排要求设计纵、横坡度，且向边坡基础层过渡</w:t>
      </w:r>
      <w:r>
        <w:rPr>
          <w:rFonts w:hint="eastAsia" w:ascii="Times New Roman" w:hAnsi="Times New Roman" w:eastAsia="宋体" w:cs="Times New Roman"/>
          <w:sz w:val="24"/>
        </w:rPr>
        <w:t>应</w:t>
      </w:r>
      <w:r>
        <w:rPr>
          <w:rFonts w:ascii="Times New Roman" w:hAnsi="Times New Roman" w:eastAsia="宋体" w:cs="Times New Roman"/>
          <w:sz w:val="24"/>
        </w:rPr>
        <w:t>平缓，压实度不得小于93％</w:t>
      </w:r>
      <w:r>
        <w:rPr>
          <w:rFonts w:hint="eastAsia" w:ascii="Times New Roman" w:hAnsi="Times New Roman" w:eastAsia="宋体" w:cs="Times New Roman"/>
          <w:sz w:val="24"/>
        </w:rPr>
        <w:t>；</w:t>
      </w:r>
      <w:r>
        <w:rPr>
          <w:rFonts w:ascii="Times New Roman" w:hAnsi="Times New Roman" w:eastAsia="宋体" w:cs="Times New Roman"/>
          <w:sz w:val="24"/>
        </w:rPr>
        <w:t>四周边坡基础层压实度不得小于90％。</w:t>
      </w:r>
    </w:p>
    <w:bookmarkEnd w:id="98"/>
    <w:bookmarkEnd w:id="99"/>
    <w:bookmarkEnd w:id="100"/>
    <w:bookmarkEnd w:id="101"/>
    <w:bookmarkEnd w:id="102"/>
    <w:p w14:paraId="1D4A4F14">
      <w:pPr>
        <w:widowControl/>
        <w:adjustRightInd w:val="0"/>
        <w:snapToGrid w:val="0"/>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.3.3</w:t>
      </w:r>
      <w:r>
        <w:rPr>
          <w:rFonts w:hint="eastAsia" w:ascii="Times New Roman" w:hAnsi="Times New Roman" w:eastAsia="宋体" w:cs="Times New Roman"/>
          <w:sz w:val="24"/>
        </w:rPr>
        <w:t xml:space="preserve"> 基础层应结构稳定。</w:t>
      </w:r>
      <w:r>
        <w:rPr>
          <w:rFonts w:ascii="Times New Roman" w:hAnsi="Times New Roman" w:eastAsia="宋体" w:cs="Times New Roman"/>
          <w:sz w:val="24"/>
        </w:rPr>
        <w:t>对于软弱土地基，应对基础层进行处理，</w:t>
      </w:r>
      <w:r>
        <w:rPr>
          <w:rFonts w:hint="eastAsia" w:ascii="Times New Roman" w:hAnsi="Times New Roman" w:eastAsia="宋体" w:cs="Times New Roman"/>
          <w:sz w:val="24"/>
        </w:rPr>
        <w:t>达到对</w:t>
      </w:r>
      <w:r>
        <w:rPr>
          <w:rFonts w:ascii="Times New Roman" w:hAnsi="Times New Roman" w:eastAsia="宋体" w:cs="Times New Roman"/>
          <w:sz w:val="24"/>
        </w:rPr>
        <w:t>地基承载力</w:t>
      </w:r>
      <w:r>
        <w:rPr>
          <w:rFonts w:hint="eastAsia" w:ascii="Times New Roman" w:hAnsi="Times New Roman" w:eastAsia="宋体" w:cs="Times New Roman"/>
          <w:sz w:val="24"/>
        </w:rPr>
        <w:t>的要求</w:t>
      </w:r>
      <w:r>
        <w:rPr>
          <w:rFonts w:ascii="Times New Roman" w:hAnsi="Times New Roman" w:eastAsia="宋体" w:cs="Times New Roman"/>
          <w:sz w:val="24"/>
        </w:rPr>
        <w:t>。应</w:t>
      </w:r>
      <w:r>
        <w:rPr>
          <w:rFonts w:hint="eastAsia" w:ascii="Times New Roman" w:hAnsi="Times New Roman" w:eastAsia="宋体" w:cs="Times New Roman"/>
          <w:sz w:val="24"/>
        </w:rPr>
        <w:t>在</w:t>
      </w:r>
      <w:r>
        <w:rPr>
          <w:rFonts w:ascii="Times New Roman" w:hAnsi="Times New Roman" w:eastAsia="宋体" w:cs="Times New Roman"/>
          <w:sz w:val="24"/>
        </w:rPr>
        <w:t>考虑垃圾堆体荷载对防渗系统的</w:t>
      </w:r>
      <w:r>
        <w:rPr>
          <w:rFonts w:hint="eastAsia" w:ascii="Times New Roman" w:hAnsi="Times New Roman" w:eastAsia="宋体" w:cs="Times New Roman"/>
          <w:sz w:val="24"/>
        </w:rPr>
        <w:t>作用下</w:t>
      </w:r>
      <w:r>
        <w:rPr>
          <w:rFonts w:ascii="Times New Roman" w:hAnsi="Times New Roman" w:eastAsia="宋体" w:cs="Times New Roman"/>
          <w:sz w:val="24"/>
        </w:rPr>
        <w:t>，进行</w:t>
      </w:r>
      <w:r>
        <w:rPr>
          <w:rFonts w:hint="eastAsia" w:ascii="Times New Roman" w:hAnsi="Times New Roman" w:eastAsia="宋体" w:cs="Times New Roman"/>
          <w:sz w:val="24"/>
        </w:rPr>
        <w:t>地基</w:t>
      </w:r>
      <w:r>
        <w:rPr>
          <w:rFonts w:ascii="Times New Roman" w:hAnsi="Times New Roman" w:eastAsia="宋体" w:cs="Times New Roman"/>
          <w:sz w:val="24"/>
        </w:rPr>
        <w:t>承载力计算及最大堆高验算</w:t>
      </w:r>
      <w:r>
        <w:rPr>
          <w:rFonts w:hint="eastAsia" w:ascii="Times New Roman" w:hAnsi="Times New Roman" w:eastAsia="宋体" w:cs="Times New Roman"/>
          <w:sz w:val="24"/>
        </w:rPr>
        <w:t>，应</w:t>
      </w:r>
      <w:r>
        <w:rPr>
          <w:rFonts w:ascii="Times New Roman" w:hAnsi="Times New Roman" w:eastAsia="宋体" w:cs="Times New Roman"/>
          <w:sz w:val="24"/>
        </w:rPr>
        <w:t>防止地基</w:t>
      </w:r>
      <w:r>
        <w:rPr>
          <w:rFonts w:hint="eastAsia" w:ascii="Times New Roman" w:hAnsi="Times New Roman" w:eastAsia="宋体" w:cs="Times New Roman"/>
          <w:sz w:val="24"/>
        </w:rPr>
        <w:t>不均匀</w:t>
      </w:r>
      <w:r>
        <w:rPr>
          <w:rFonts w:ascii="Times New Roman" w:hAnsi="Times New Roman" w:eastAsia="宋体" w:cs="Times New Roman"/>
          <w:sz w:val="24"/>
        </w:rPr>
        <w:t>沉降造成防渗系统破坏。斜坡地基和不均匀沉降地基上的防渗层应进行变形验算，最大应变不</w:t>
      </w:r>
      <w:r>
        <w:rPr>
          <w:rFonts w:hint="eastAsia" w:ascii="Times New Roman" w:hAnsi="Times New Roman" w:eastAsia="宋体" w:cs="Times New Roman"/>
          <w:sz w:val="24"/>
        </w:rPr>
        <w:t>应</w:t>
      </w:r>
      <w:r>
        <w:rPr>
          <w:rFonts w:ascii="Times New Roman" w:hAnsi="Times New Roman" w:eastAsia="宋体" w:cs="Times New Roman"/>
          <w:sz w:val="24"/>
        </w:rPr>
        <w:t>超过主防渗材料的允许拉伸应变。</w:t>
      </w:r>
    </w:p>
    <w:p w14:paraId="46C86B23">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4</w:t>
      </w:r>
      <w:r>
        <w:rPr>
          <w:rFonts w:ascii="Times New Roman" w:hAnsi="Times New Roman" w:eastAsia="宋体" w:cs="Times New Roman"/>
          <w:sz w:val="24"/>
        </w:rPr>
        <w:t>.3.4</w:t>
      </w:r>
      <w:r>
        <w:rPr>
          <w:rFonts w:hint="eastAsia" w:ascii="Times New Roman" w:hAnsi="Times New Roman" w:eastAsia="宋体" w:cs="Times New Roman"/>
          <w:sz w:val="24"/>
        </w:rPr>
        <w:t xml:space="preserve"> </w:t>
      </w:r>
      <w:r>
        <w:rPr>
          <w:rFonts w:ascii="Times New Roman" w:hAnsi="Times New Roman" w:eastAsia="宋体" w:cs="Times New Roman"/>
          <w:sz w:val="24"/>
        </w:rPr>
        <w:t>填埋库区边坡设计应按国家现行标准《建筑边坡工程技术规范》GB50330、《水利水电工程边坡设计规范》SL386的有关规定执行。对可能失稳的边坡应进行稳定计算</w:t>
      </w:r>
      <w:r>
        <w:rPr>
          <w:rFonts w:hint="eastAsia" w:ascii="Times New Roman" w:hAnsi="Times New Roman" w:eastAsia="宋体" w:cs="Times New Roman"/>
          <w:sz w:val="24"/>
        </w:rPr>
        <w:t>。不满足稳定性要求的边坡，应</w:t>
      </w:r>
      <w:r>
        <w:rPr>
          <w:rFonts w:ascii="Times New Roman" w:hAnsi="Times New Roman" w:eastAsia="宋体" w:cs="Times New Roman"/>
          <w:sz w:val="24"/>
        </w:rPr>
        <w:t>进行边坡</w:t>
      </w:r>
      <w:r>
        <w:rPr>
          <w:rFonts w:hint="eastAsia" w:ascii="Times New Roman" w:hAnsi="Times New Roman" w:eastAsia="宋体" w:cs="Times New Roman"/>
          <w:sz w:val="24"/>
        </w:rPr>
        <w:t>加固</w:t>
      </w:r>
      <w:r>
        <w:rPr>
          <w:rFonts w:ascii="Times New Roman" w:hAnsi="Times New Roman" w:eastAsia="宋体" w:cs="Times New Roman"/>
          <w:sz w:val="24"/>
        </w:rPr>
        <w:t>处理。</w:t>
      </w:r>
      <w:r>
        <w:rPr>
          <w:rFonts w:hint="eastAsia" w:ascii="Times New Roman" w:hAnsi="Times New Roman" w:eastAsia="宋体" w:cs="Times New Roman"/>
          <w:sz w:val="24"/>
        </w:rPr>
        <w:t>并应符合下列规定：</w:t>
      </w:r>
    </w:p>
    <w:p w14:paraId="11C2F263">
      <w:pPr>
        <w:adjustRightInd w:val="0"/>
        <w:snapToGrid w:val="0"/>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 xml:space="preserve">1 </w:t>
      </w:r>
      <w:r>
        <w:rPr>
          <w:rFonts w:hint="eastAsia" w:ascii="Times New Roman" w:hAnsi="Times New Roman" w:eastAsia="宋体" w:cs="Times New Roman"/>
          <w:bCs/>
          <w:sz w:val="24"/>
          <w:lang w:val="zh-CN"/>
        </w:rPr>
        <w:t>当采用边坡支护加固方式时，</w:t>
      </w:r>
      <w:r>
        <w:rPr>
          <w:rFonts w:ascii="Times New Roman" w:hAnsi="Times New Roman" w:eastAsia="宋体" w:cs="Times New Roman"/>
          <w:bCs/>
          <w:sz w:val="24"/>
          <w:lang w:val="zh-CN"/>
        </w:rPr>
        <w:t>边坡支护形式</w:t>
      </w:r>
      <w:r>
        <w:rPr>
          <w:rFonts w:hint="eastAsia" w:ascii="Times New Roman" w:hAnsi="Times New Roman" w:eastAsia="宋体" w:cs="Times New Roman"/>
          <w:bCs/>
          <w:sz w:val="24"/>
          <w:lang w:val="zh-CN"/>
        </w:rPr>
        <w:t>应</w:t>
      </w:r>
      <w:r>
        <w:rPr>
          <w:rFonts w:ascii="Times New Roman" w:hAnsi="Times New Roman" w:eastAsia="宋体" w:cs="Times New Roman"/>
          <w:bCs/>
          <w:sz w:val="24"/>
          <w:lang w:val="zh-CN"/>
        </w:rPr>
        <w:t>根据场地地质和环境条件、边坡高度以及边坡工程安全等级等因素选定；</w:t>
      </w:r>
    </w:p>
    <w:p w14:paraId="7ED97D2E">
      <w:pPr>
        <w:adjustRightInd w:val="0"/>
        <w:snapToGrid w:val="0"/>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2 岩质边坡宜采用水泥砂浆抹面、挂网喷射混凝土等</w:t>
      </w:r>
      <w:r>
        <w:rPr>
          <w:rFonts w:hint="eastAsia" w:ascii="Times New Roman" w:hAnsi="Times New Roman" w:eastAsia="宋体" w:cs="Times New Roman"/>
          <w:bCs/>
          <w:sz w:val="24"/>
          <w:lang w:val="zh-CN"/>
        </w:rPr>
        <w:t>方式</w:t>
      </w:r>
      <w:r>
        <w:rPr>
          <w:rFonts w:ascii="Times New Roman" w:hAnsi="Times New Roman" w:eastAsia="宋体" w:cs="Times New Roman"/>
          <w:bCs/>
          <w:sz w:val="24"/>
          <w:lang w:val="zh-CN"/>
        </w:rPr>
        <w:t>处</w:t>
      </w:r>
      <w:r>
        <w:rPr>
          <w:rFonts w:hint="eastAsia" w:ascii="Times New Roman" w:hAnsi="Times New Roman" w:eastAsia="宋体" w:cs="Times New Roman"/>
          <w:sz w:val="24"/>
          <w:lang w:val="zh-CN"/>
        </w:rPr>
        <w:t>理，平整度不应超过50mm</w:t>
      </w:r>
      <w:r>
        <w:rPr>
          <w:rFonts w:ascii="Times New Roman" w:hAnsi="Times New Roman" w:eastAsia="宋体" w:cs="Times New Roman"/>
          <w:bCs/>
          <w:sz w:val="24"/>
          <w:lang w:val="zh-CN"/>
        </w:rPr>
        <w:t>。</w:t>
      </w:r>
    </w:p>
    <w:p w14:paraId="78A436E8">
      <w:pPr>
        <w:widowControl/>
        <w:adjustRightInd w:val="0"/>
        <w:snapToGrid w:val="0"/>
        <w:spacing w:line="360" w:lineRule="auto"/>
        <w:jc w:val="left"/>
        <w:outlineLvl w:val="2"/>
        <w:rPr>
          <w:rFonts w:ascii="Times New Roman" w:hAnsi="Times New Roman" w:eastAsia="宋体" w:cs="Times New Roman"/>
          <w:bCs/>
          <w:sz w:val="24"/>
          <w:szCs w:val="21"/>
        </w:rPr>
      </w:pPr>
      <w:bookmarkStart w:id="103" w:name="_Toc731"/>
      <w:bookmarkStart w:id="104" w:name="_Toc22428"/>
      <w:r>
        <w:rPr>
          <w:rFonts w:hint="eastAsia" w:ascii="Times New Roman" w:hAnsi="Times New Roman" w:eastAsia="宋体" w:cs="Times New Roman"/>
          <w:bCs/>
          <w:sz w:val="24"/>
          <w:szCs w:val="21"/>
        </w:rPr>
        <w:t>4</w:t>
      </w:r>
      <w:r>
        <w:rPr>
          <w:rFonts w:ascii="Times New Roman" w:hAnsi="Times New Roman" w:eastAsia="宋体" w:cs="Times New Roman"/>
          <w:bCs/>
          <w:sz w:val="24"/>
          <w:szCs w:val="21"/>
        </w:rPr>
        <w:t>.3.5</w:t>
      </w:r>
      <w:r>
        <w:rPr>
          <w:rFonts w:hint="eastAsia" w:ascii="Times New Roman" w:hAnsi="Times New Roman" w:eastAsia="宋体" w:cs="Times New Roman"/>
          <w:bCs/>
          <w:sz w:val="24"/>
          <w:szCs w:val="21"/>
        </w:rPr>
        <w:t xml:space="preserve"> 应对填埋场设计和施工、运行期间及封场后的下列边坡类型进行稳定验算：</w:t>
      </w:r>
      <w:bookmarkEnd w:id="103"/>
      <w:bookmarkEnd w:id="104"/>
    </w:p>
    <w:p w14:paraId="4EDB6362">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1 地基及库区边坡。</w:t>
      </w:r>
    </w:p>
    <w:p w14:paraId="51807F3E">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2 垃圾坝。</w:t>
      </w:r>
    </w:p>
    <w:p w14:paraId="499E42CB">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3 垃圾堆体。</w:t>
      </w:r>
    </w:p>
    <w:p w14:paraId="57753458">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4 封场覆盖系统。</w:t>
      </w:r>
    </w:p>
    <w:p w14:paraId="46660290">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5 施工及运行过程中可能遇到的堆体局部气压骤增等紧急情况。</w:t>
      </w:r>
    </w:p>
    <w:p w14:paraId="527D2C0C">
      <w:pPr>
        <w:widowControl/>
        <w:adjustRightInd w:val="0"/>
        <w:snapToGrid w:val="0"/>
        <w:spacing w:line="360" w:lineRule="auto"/>
        <w:ind w:left="567" w:leftChars="270"/>
        <w:jc w:val="left"/>
        <w:rPr>
          <w:rFonts w:ascii="Times New Roman" w:hAnsi="Times New Roman" w:eastAsia="宋体" w:cs="Times New Roman"/>
          <w:bCs/>
          <w:color w:val="FF0000"/>
          <w:sz w:val="24"/>
          <w:szCs w:val="21"/>
        </w:rPr>
      </w:pPr>
      <w:r>
        <w:rPr>
          <w:rFonts w:ascii="Times New Roman" w:hAnsi="Times New Roman" w:eastAsia="宋体" w:cs="Times New Roman"/>
          <w:bCs/>
          <w:sz w:val="24"/>
          <w:szCs w:val="21"/>
        </w:rPr>
        <w:t>6其他可能出现失稳隐患的边坡。</w:t>
      </w:r>
    </w:p>
    <w:p w14:paraId="270FAB1E">
      <w:pPr>
        <w:widowControl/>
        <w:adjustRightInd w:val="0"/>
        <w:snapToGrid w:val="0"/>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bCs/>
          <w:sz w:val="24"/>
          <w:szCs w:val="21"/>
        </w:rPr>
        <w:t>4.3.6 当需要在基础层开挖设置地下水导排盲沟时，应在设置好盲沟后回填压实，保证基础层的承载力要求和稳定性要求</w:t>
      </w:r>
      <w:r>
        <w:rPr>
          <w:rFonts w:hint="eastAsia" w:ascii="Times New Roman" w:hAnsi="Times New Roman" w:eastAsia="宋体" w:cs="Times New Roman"/>
          <w:sz w:val="24"/>
        </w:rPr>
        <w:t>。</w:t>
      </w:r>
    </w:p>
    <w:p w14:paraId="1F2460D0">
      <w:pPr>
        <w:spacing w:before="156" w:beforeLines="50" w:after="156" w:afterLines="50"/>
        <w:jc w:val="center"/>
        <w:outlineLvl w:val="1"/>
        <w:rPr>
          <w:rFonts w:asciiTheme="minorEastAsia" w:hAnsiTheme="minorEastAsia"/>
          <w:b/>
          <w:sz w:val="24"/>
        </w:rPr>
      </w:pPr>
      <w:bookmarkStart w:id="105" w:name="_Toc450576774"/>
      <w:bookmarkStart w:id="106" w:name="_Toc16704261"/>
      <w:bookmarkStart w:id="107" w:name="_Toc139118681"/>
      <w:bookmarkStart w:id="108" w:name="_Toc133575444"/>
      <w:bookmarkStart w:id="109" w:name="_Toc21425581"/>
      <w:bookmarkStart w:id="110" w:name="_Toc312247175"/>
      <w:bookmarkStart w:id="111" w:name="_Toc484683891"/>
      <w:bookmarkStart w:id="112" w:name="_Toc139116470"/>
      <w:bookmarkStart w:id="113" w:name="_Ref128821804"/>
      <w:bookmarkStart w:id="114" w:name="_Toc3916"/>
      <w:bookmarkStart w:id="115" w:name="_Toc484202152"/>
      <w:bookmarkStart w:id="116" w:name="_Toc133575316"/>
      <w:bookmarkStart w:id="117" w:name="_Toc133575519"/>
      <w:bookmarkStart w:id="118" w:name="_Ref128821764"/>
      <w:r>
        <w:rPr>
          <w:rFonts w:hint="eastAsia" w:asciiTheme="minorEastAsia" w:hAnsiTheme="minorEastAsia"/>
          <w:b/>
          <w:sz w:val="24"/>
        </w:rPr>
        <w:t>4.4 防渗层</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A2C6E8">
      <w:pPr>
        <w:widowControl/>
        <w:numPr>
          <w:ilvl w:val="1"/>
          <w:numId w:val="3"/>
        </w:numPr>
        <w:jc w:val="left"/>
        <w:outlineLvl w:val="2"/>
        <w:rPr>
          <w:rFonts w:ascii="Times New Roman" w:hAnsi="Times New Roman" w:eastAsia="宋体" w:cs="Times New Roman"/>
          <w:bCs/>
          <w:vanish/>
          <w:sz w:val="24"/>
          <w:szCs w:val="21"/>
        </w:rPr>
      </w:pPr>
      <w:bookmarkStart w:id="119" w:name="_Ref128821767"/>
      <w:bookmarkStart w:id="120" w:name="_Toc312247176"/>
      <w:bookmarkStart w:id="121" w:name="_Toc133575317"/>
      <w:bookmarkStart w:id="122" w:name="_Toc133575520"/>
    </w:p>
    <w:p w14:paraId="6CB586B9">
      <w:pPr>
        <w:widowControl/>
        <w:adjustRightInd w:val="0"/>
        <w:snapToGrid w:val="0"/>
        <w:spacing w:line="360" w:lineRule="auto"/>
        <w:jc w:val="left"/>
        <w:outlineLvl w:val="2"/>
        <w:rPr>
          <w:rFonts w:ascii="Times New Roman" w:hAnsi="Times New Roman" w:eastAsia="宋体" w:cs="Times New Roman"/>
          <w:bCs/>
          <w:sz w:val="24"/>
          <w:szCs w:val="21"/>
        </w:rPr>
      </w:pPr>
      <w:bookmarkStart w:id="123" w:name="_Toc21209"/>
      <w:bookmarkStart w:id="124" w:name="_Toc2530"/>
      <w:r>
        <w:rPr>
          <w:rFonts w:hint="eastAsia" w:ascii="Times New Roman" w:hAnsi="Times New Roman" w:eastAsia="宋体" w:cs="Times New Roman"/>
          <w:bCs/>
          <w:sz w:val="24"/>
          <w:szCs w:val="21"/>
        </w:rPr>
        <w:t>4</w:t>
      </w:r>
      <w:r>
        <w:rPr>
          <w:rFonts w:ascii="Times New Roman" w:hAnsi="Times New Roman" w:eastAsia="宋体" w:cs="Times New Roman"/>
          <w:bCs/>
          <w:sz w:val="24"/>
          <w:szCs w:val="21"/>
        </w:rPr>
        <w:t>.4.1</w:t>
      </w:r>
      <w:r>
        <w:rPr>
          <w:rFonts w:hint="eastAsia" w:ascii="Times New Roman" w:hAnsi="Times New Roman" w:eastAsia="宋体" w:cs="Times New Roman"/>
          <w:bCs/>
          <w:sz w:val="24"/>
          <w:szCs w:val="21"/>
        </w:rPr>
        <w:t xml:space="preserve"> </w:t>
      </w:r>
      <w:r>
        <w:rPr>
          <w:rFonts w:ascii="Times New Roman" w:hAnsi="Times New Roman" w:eastAsia="宋体" w:cs="Times New Roman"/>
          <w:bCs/>
          <w:sz w:val="24"/>
          <w:szCs w:val="21"/>
        </w:rPr>
        <w:t>防渗层设计应</w:t>
      </w:r>
      <w:bookmarkEnd w:id="119"/>
      <w:r>
        <w:rPr>
          <w:rFonts w:ascii="Times New Roman" w:hAnsi="Times New Roman" w:eastAsia="宋体" w:cs="Times New Roman"/>
          <w:bCs/>
          <w:sz w:val="24"/>
          <w:szCs w:val="21"/>
        </w:rPr>
        <w:t>符合下列</w:t>
      </w:r>
      <w:r>
        <w:rPr>
          <w:rFonts w:hint="eastAsia" w:ascii="Times New Roman" w:hAnsi="Times New Roman" w:eastAsia="宋体" w:cs="Times New Roman"/>
          <w:bCs/>
          <w:sz w:val="24"/>
          <w:szCs w:val="21"/>
        </w:rPr>
        <w:t>规定</w:t>
      </w:r>
      <w:r>
        <w:rPr>
          <w:rFonts w:ascii="Times New Roman" w:hAnsi="Times New Roman" w:eastAsia="宋体" w:cs="Times New Roman"/>
          <w:bCs/>
          <w:sz w:val="24"/>
          <w:szCs w:val="21"/>
        </w:rPr>
        <w:t>：</w:t>
      </w:r>
      <w:bookmarkEnd w:id="120"/>
      <w:bookmarkEnd w:id="121"/>
      <w:bookmarkEnd w:id="122"/>
      <w:bookmarkEnd w:id="123"/>
      <w:bookmarkEnd w:id="124"/>
    </w:p>
    <w:p w14:paraId="0AFE5C40">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1</w:t>
      </w:r>
      <w:r>
        <w:rPr>
          <w:rFonts w:hint="eastAsia" w:ascii="Times New Roman" w:hAnsi="Times New Roman" w:eastAsia="宋体" w:cs="Times New Roman"/>
          <w:bCs/>
          <w:sz w:val="24"/>
          <w:szCs w:val="21"/>
        </w:rPr>
        <w:t>应</w:t>
      </w:r>
      <w:r>
        <w:rPr>
          <w:rFonts w:ascii="Times New Roman" w:hAnsi="Times New Roman" w:eastAsia="宋体" w:cs="Times New Roman"/>
          <w:bCs/>
          <w:sz w:val="24"/>
          <w:szCs w:val="21"/>
        </w:rPr>
        <w:t>能有效地阻止渗沥液透过，保护地下水不受污染；</w:t>
      </w:r>
    </w:p>
    <w:p w14:paraId="5B25AC3C">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2</w:t>
      </w:r>
      <w:r>
        <w:rPr>
          <w:rFonts w:hint="eastAsia" w:ascii="Times New Roman" w:hAnsi="Times New Roman" w:eastAsia="宋体" w:cs="Times New Roman"/>
          <w:bCs/>
          <w:sz w:val="24"/>
          <w:szCs w:val="21"/>
        </w:rPr>
        <w:t>应</w:t>
      </w:r>
      <w:r>
        <w:rPr>
          <w:rFonts w:ascii="Times New Roman" w:hAnsi="Times New Roman" w:eastAsia="宋体" w:cs="Times New Roman"/>
          <w:bCs/>
          <w:sz w:val="24"/>
          <w:szCs w:val="21"/>
        </w:rPr>
        <w:t>具有相应的物理力学性能；</w:t>
      </w:r>
    </w:p>
    <w:p w14:paraId="4F4D6159">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3</w:t>
      </w:r>
      <w:r>
        <w:rPr>
          <w:rFonts w:hint="eastAsia" w:ascii="Times New Roman" w:hAnsi="Times New Roman" w:eastAsia="宋体" w:cs="Times New Roman"/>
          <w:bCs/>
          <w:sz w:val="24"/>
          <w:szCs w:val="21"/>
        </w:rPr>
        <w:t>应</w:t>
      </w:r>
      <w:r>
        <w:rPr>
          <w:rFonts w:ascii="Times New Roman" w:hAnsi="Times New Roman" w:eastAsia="宋体" w:cs="Times New Roman"/>
          <w:bCs/>
          <w:sz w:val="24"/>
          <w:szCs w:val="21"/>
        </w:rPr>
        <w:t>具有相应的抗化学腐蚀能力；</w:t>
      </w:r>
    </w:p>
    <w:p w14:paraId="669C6E38">
      <w:pPr>
        <w:widowControl/>
        <w:adjustRightInd w:val="0"/>
        <w:snapToGrid w:val="0"/>
        <w:spacing w:line="360" w:lineRule="auto"/>
        <w:ind w:left="567" w:leftChars="270"/>
        <w:jc w:val="left"/>
        <w:rPr>
          <w:rFonts w:ascii="Times New Roman" w:hAnsi="Times New Roman" w:eastAsia="宋体" w:cs="Times New Roman"/>
          <w:bCs/>
          <w:sz w:val="24"/>
          <w:szCs w:val="21"/>
        </w:rPr>
      </w:pPr>
      <w:r>
        <w:rPr>
          <w:rFonts w:ascii="Times New Roman" w:hAnsi="Times New Roman" w:eastAsia="宋体" w:cs="Times New Roman"/>
          <w:bCs/>
          <w:sz w:val="24"/>
          <w:szCs w:val="21"/>
        </w:rPr>
        <w:t>4</w:t>
      </w:r>
      <w:r>
        <w:rPr>
          <w:rFonts w:hint="eastAsia" w:ascii="Times New Roman" w:hAnsi="Times New Roman" w:eastAsia="宋体" w:cs="Times New Roman"/>
          <w:bCs/>
          <w:sz w:val="24"/>
          <w:szCs w:val="21"/>
        </w:rPr>
        <w:t>应</w:t>
      </w:r>
      <w:r>
        <w:rPr>
          <w:rFonts w:ascii="Times New Roman" w:hAnsi="Times New Roman" w:eastAsia="宋体" w:cs="Times New Roman"/>
          <w:bCs/>
          <w:sz w:val="24"/>
          <w:szCs w:val="21"/>
        </w:rPr>
        <w:t>具有相应的抗老化能力；</w:t>
      </w:r>
    </w:p>
    <w:p w14:paraId="1A3D40D9">
      <w:pPr>
        <w:widowControl/>
        <w:adjustRightInd w:val="0"/>
        <w:snapToGrid w:val="0"/>
        <w:spacing w:line="360" w:lineRule="auto"/>
        <w:ind w:left="567" w:leftChars="270"/>
        <w:jc w:val="left"/>
        <w:rPr>
          <w:rFonts w:ascii="Times New Roman" w:hAnsi="Times New Roman" w:eastAsia="宋体" w:cs="Times New Roman"/>
          <w:bCs/>
          <w:sz w:val="24"/>
          <w:szCs w:val="21"/>
        </w:rPr>
      </w:pPr>
      <w:bookmarkStart w:id="125" w:name="_Ref128821769"/>
      <w:r>
        <w:rPr>
          <w:rFonts w:ascii="Times New Roman" w:hAnsi="Times New Roman" w:eastAsia="宋体" w:cs="Times New Roman"/>
          <w:bCs/>
          <w:sz w:val="24"/>
          <w:szCs w:val="21"/>
        </w:rPr>
        <w:t>5应覆盖垃圾填埋场场底和四周边坡。</w:t>
      </w:r>
      <w:bookmarkEnd w:id="125"/>
    </w:p>
    <w:p w14:paraId="3AED8AE4">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4.4.2 天然黏土防渗层和人工改性压实黏土防渗层应符合本标准第4.2.4条的规定。</w:t>
      </w:r>
    </w:p>
    <w:p w14:paraId="45F6204C">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4.4.3 复合防渗层应具有一定的厚度。</w:t>
      </w:r>
      <w:bookmarkStart w:id="126" w:name="OLE_LINK9"/>
      <w:r>
        <w:rPr>
          <w:rFonts w:hint="eastAsia" w:ascii="Times New Roman" w:hAnsi="Times New Roman" w:eastAsia="宋体" w:cs="Times New Roman"/>
          <w:bCs/>
          <w:sz w:val="24"/>
          <w:szCs w:val="21"/>
          <w:lang w:val="zh-CN"/>
        </w:rPr>
        <w:t>高密度聚乙烯（</w:t>
      </w:r>
      <w:r>
        <w:rPr>
          <w:rFonts w:hint="eastAsia" w:ascii="Times New Roman" w:hAnsi="Times New Roman" w:eastAsia="宋体" w:cs="Times New Roman"/>
          <w:bCs/>
          <w:sz w:val="24"/>
          <w:szCs w:val="21"/>
        </w:rPr>
        <w:t>HDPE</w:t>
      </w:r>
      <w:r>
        <w:rPr>
          <w:rFonts w:hint="eastAsia" w:ascii="Times New Roman" w:hAnsi="Times New Roman" w:eastAsia="宋体" w:cs="Times New Roman"/>
          <w:bCs/>
          <w:sz w:val="24"/>
          <w:szCs w:val="21"/>
          <w:lang w:val="zh-CN"/>
        </w:rPr>
        <w:t>）</w:t>
      </w:r>
      <w:bookmarkEnd w:id="126"/>
      <w:r>
        <w:rPr>
          <w:rFonts w:hint="eastAsia" w:ascii="Times New Roman" w:hAnsi="Times New Roman" w:eastAsia="宋体" w:cs="Times New Roman"/>
          <w:bCs/>
          <w:sz w:val="24"/>
          <w:szCs w:val="21"/>
        </w:rPr>
        <w:t>土工膜和膜下黏土复合防渗层中，HDPE土工膜厚度不应小于1.5mm，压实黏土层厚度不应小于0.75m。当复合防渗层中采用膨润土防水毯（GCL）代替压实黏土层时，GCL渗透系数不应大于5×10-9cm/s，规格不应小于</w:t>
      </w:r>
      <w:r>
        <w:rPr>
          <w:rFonts w:hint="eastAsia" w:ascii="Times New Roman" w:hAnsi="Times New Roman" w:eastAsia="宋体" w:cs="Times New Roman"/>
          <w:bCs/>
          <w:sz w:val="24"/>
          <w:szCs w:val="21"/>
          <w:lang w:val="en-US" w:eastAsia="zh-CN"/>
        </w:rPr>
        <w:t>50</w:t>
      </w:r>
      <w:r>
        <w:rPr>
          <w:rFonts w:hint="eastAsia" w:ascii="Times New Roman" w:hAnsi="Times New Roman" w:eastAsia="宋体" w:cs="Times New Roman"/>
          <w:bCs/>
          <w:sz w:val="24"/>
          <w:szCs w:val="21"/>
        </w:rPr>
        <w:t>00g/m</w:t>
      </w:r>
      <w:r>
        <w:rPr>
          <w:rFonts w:hint="eastAsia" w:ascii="Times New Roman" w:hAnsi="Times New Roman" w:eastAsia="宋体" w:cs="Times New Roman"/>
          <w:bCs/>
          <w:sz w:val="24"/>
          <w:szCs w:val="21"/>
          <w:vertAlign w:val="superscript"/>
        </w:rPr>
        <w:t>2</w:t>
      </w:r>
      <w:r>
        <w:rPr>
          <w:rFonts w:hint="eastAsia" w:ascii="Times New Roman" w:hAnsi="Times New Roman" w:eastAsia="宋体" w:cs="Times New Roman"/>
          <w:bCs/>
          <w:sz w:val="24"/>
          <w:szCs w:val="21"/>
        </w:rPr>
        <w:t>，压实黏土层的厚度不应小于0.30m。</w:t>
      </w:r>
    </w:p>
    <w:p w14:paraId="0E41EACA">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 xml:space="preserve">4.4.4 </w:t>
      </w:r>
      <w:bookmarkStart w:id="127" w:name="OLE_LINK10"/>
      <w:r>
        <w:rPr>
          <w:rFonts w:hint="eastAsia" w:ascii="Times New Roman" w:hAnsi="Times New Roman" w:eastAsia="宋体" w:cs="Times New Roman"/>
          <w:bCs/>
          <w:sz w:val="24"/>
          <w:szCs w:val="21"/>
          <w:lang w:val="zh-CN"/>
        </w:rPr>
        <w:t>高密度聚乙烯</w:t>
      </w:r>
      <w:bookmarkEnd w:id="127"/>
      <w:r>
        <w:rPr>
          <w:rFonts w:hint="eastAsia" w:ascii="Times New Roman" w:hAnsi="Times New Roman" w:eastAsia="宋体" w:cs="Times New Roman"/>
          <w:bCs/>
          <w:sz w:val="24"/>
          <w:szCs w:val="21"/>
        </w:rPr>
        <w:t>土工膜上应采用非织造土工布作为保护层，规格不应小于600g/m</w:t>
      </w:r>
      <w:r>
        <w:rPr>
          <w:rFonts w:hint="eastAsia" w:ascii="Times New Roman" w:hAnsi="Times New Roman" w:eastAsia="宋体" w:cs="Times New Roman"/>
          <w:bCs/>
          <w:sz w:val="24"/>
          <w:szCs w:val="21"/>
          <w:vertAlign w:val="superscript"/>
        </w:rPr>
        <w:t>2</w:t>
      </w:r>
      <w:r>
        <w:rPr>
          <w:rFonts w:hint="eastAsia" w:ascii="Times New Roman" w:hAnsi="Times New Roman" w:eastAsia="宋体" w:cs="Times New Roman"/>
          <w:bCs/>
          <w:sz w:val="24"/>
          <w:szCs w:val="21"/>
        </w:rPr>
        <w:t>。</w:t>
      </w:r>
    </w:p>
    <w:p w14:paraId="11D8FF6F">
      <w:pPr>
        <w:widowControl/>
        <w:adjustRightInd w:val="0"/>
        <w:snapToGrid w:val="0"/>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4.4.5 高密度聚乙烯土工膜单层防渗层和高密度聚乙烯+膨润土防水毯复合防渗层下方应设置压实黏土保护层，渗透系数不应大于1.0×10-5cm/s，厚度不应小于0.30mm。</w:t>
      </w:r>
    </w:p>
    <w:p w14:paraId="4CCBF3B4">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4.4.6 填埋场防渗层应在垃圾填埋场使用期限和封场后的稳定期限内有效发挥其防渗和防污功能，控制渗沥液指示性污染物对地下水的污染满足地下水污染控制标准。</w:t>
      </w:r>
    </w:p>
    <w:p w14:paraId="47512AF0">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4.4.7 </w:t>
      </w:r>
      <w:r>
        <w:rPr>
          <w:rFonts w:hint="eastAsia" w:ascii="Times New Roman" w:hAnsi="Times New Roman" w:eastAsia="宋体" w:cs="Times New Roman"/>
          <w:bCs/>
          <w:sz w:val="24"/>
          <w:szCs w:val="21"/>
        </w:rPr>
        <w:t>双层防渗结构中，主防渗层应采用复合防渗层，次防渗层可采用天然黏土防渗层或复合防渗层。主防渗层下方应设置保护层，宜采用非织造土工布，规格不宜小于600g/m²，或采用不低于</w:t>
      </w:r>
      <w:r>
        <w:rPr>
          <w:rFonts w:hint="eastAsia" w:ascii="Times New Roman" w:hAnsi="Times New Roman" w:eastAsia="宋体" w:cs="Times New Roman"/>
          <w:bCs/>
          <w:sz w:val="24"/>
          <w:szCs w:val="21"/>
          <w:lang w:val="en-US" w:eastAsia="zh-CN"/>
        </w:rPr>
        <w:t>50</w:t>
      </w:r>
      <w:r>
        <w:rPr>
          <w:rFonts w:hint="eastAsia" w:ascii="Times New Roman" w:hAnsi="Times New Roman" w:eastAsia="宋体" w:cs="Times New Roman"/>
          <w:bCs/>
          <w:sz w:val="24"/>
          <w:szCs w:val="21"/>
        </w:rPr>
        <w:t>00g/m²的膨润土防水毯（GCL）</w:t>
      </w:r>
      <w:r>
        <w:rPr>
          <w:rFonts w:hint="eastAsia" w:ascii="Times New Roman" w:hAnsi="Times New Roman" w:eastAsia="宋体" w:cs="Times New Roman"/>
          <w:color w:val="FF0000"/>
          <w:sz w:val="24"/>
        </w:rPr>
        <w:t>。</w:t>
      </w:r>
      <w:r>
        <w:rPr>
          <w:rFonts w:hint="eastAsia" w:ascii="Times New Roman" w:hAnsi="Times New Roman" w:eastAsia="宋体" w:cs="Times New Roman"/>
          <w:bCs/>
          <w:sz w:val="24"/>
          <w:szCs w:val="21"/>
        </w:rPr>
        <w:t>次防渗层上方应设置保护层，宜采用非织造土工布，规格不宜小于 600g/m²。</w:t>
      </w:r>
    </w:p>
    <w:p w14:paraId="0FE91E45">
      <w:pPr>
        <w:spacing w:before="156" w:beforeLines="50" w:after="156" w:afterLines="50"/>
        <w:jc w:val="center"/>
        <w:outlineLvl w:val="1"/>
        <w:rPr>
          <w:rFonts w:asciiTheme="minorEastAsia" w:hAnsiTheme="minorEastAsia"/>
          <w:b/>
          <w:sz w:val="24"/>
        </w:rPr>
      </w:pPr>
      <w:bookmarkStart w:id="128" w:name="_Toc312247179"/>
      <w:bookmarkStart w:id="129" w:name="_Toc139116471"/>
      <w:bookmarkStart w:id="130" w:name="_Toc484202153"/>
      <w:bookmarkStart w:id="131" w:name="_Toc133575523"/>
      <w:bookmarkStart w:id="132" w:name="_Toc133575320"/>
      <w:bookmarkStart w:id="133" w:name="_Toc21425582"/>
      <w:bookmarkStart w:id="134" w:name="_Toc16704262"/>
      <w:bookmarkStart w:id="135" w:name="_Toc25160"/>
      <w:bookmarkStart w:id="136" w:name="_Ref129400724"/>
      <w:bookmarkStart w:id="137" w:name="_Toc450576775"/>
      <w:bookmarkStart w:id="138" w:name="_Ref129400721"/>
      <w:bookmarkStart w:id="139" w:name="_Toc484683892"/>
      <w:bookmarkStart w:id="140" w:name="_Toc139118682"/>
      <w:bookmarkStart w:id="141" w:name="_Toc133575445"/>
      <w:r>
        <w:rPr>
          <w:rFonts w:hint="eastAsia" w:asciiTheme="minorEastAsia" w:hAnsiTheme="minorEastAsia"/>
          <w:b/>
          <w:sz w:val="24"/>
        </w:rPr>
        <w:t>4.5 渗沥液收集导排系统</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3AF1D0">
      <w:pPr>
        <w:widowControl/>
        <w:numPr>
          <w:ilvl w:val="1"/>
          <w:numId w:val="4"/>
        </w:numPr>
        <w:jc w:val="left"/>
        <w:outlineLvl w:val="2"/>
        <w:rPr>
          <w:rFonts w:ascii="Times New Roman" w:hAnsi="Times New Roman" w:eastAsia="宋体" w:cs="Times New Roman"/>
          <w:bCs/>
          <w:vanish/>
          <w:sz w:val="24"/>
          <w:szCs w:val="21"/>
        </w:rPr>
      </w:pPr>
      <w:bookmarkStart w:id="142" w:name="_Ref129491602"/>
    </w:p>
    <w:p w14:paraId="595BB3F8">
      <w:pPr>
        <w:pStyle w:val="24"/>
        <w:widowControl/>
        <w:spacing w:line="360" w:lineRule="auto"/>
        <w:ind w:firstLine="0" w:firstLineChars="0"/>
        <w:jc w:val="left"/>
        <w:outlineLvl w:val="2"/>
        <w:rPr>
          <w:rFonts w:ascii="Times New Roman" w:hAnsi="Times New Roman" w:eastAsia="宋体" w:cs="Times New Roman"/>
          <w:bCs/>
          <w:sz w:val="24"/>
          <w:szCs w:val="21"/>
        </w:rPr>
      </w:pPr>
      <w:r>
        <w:rPr>
          <w:rFonts w:hint="eastAsia" w:ascii="Times New Roman" w:hAnsi="Times New Roman" w:eastAsia="宋体" w:cs="Times New Roman"/>
          <w:bCs/>
          <w:sz w:val="24"/>
          <w:szCs w:val="21"/>
        </w:rPr>
        <w:t xml:space="preserve">4.5.1 </w:t>
      </w:r>
      <w:r>
        <w:rPr>
          <w:rFonts w:ascii="Times New Roman" w:hAnsi="Times New Roman" w:eastAsia="宋体" w:cs="Times New Roman"/>
          <w:bCs/>
          <w:sz w:val="24"/>
          <w:szCs w:val="21"/>
        </w:rPr>
        <w:t>填埋场</w:t>
      </w:r>
      <w:r>
        <w:rPr>
          <w:rFonts w:hint="eastAsia" w:ascii="Times New Roman" w:hAnsi="Times New Roman" w:eastAsia="宋体" w:cs="Times New Roman"/>
          <w:bCs/>
          <w:sz w:val="24"/>
          <w:szCs w:val="21"/>
        </w:rPr>
        <w:t>场底</w:t>
      </w:r>
      <w:r>
        <w:rPr>
          <w:rFonts w:ascii="Times New Roman" w:hAnsi="Times New Roman" w:eastAsia="宋体" w:cs="Times New Roman"/>
          <w:bCs/>
          <w:sz w:val="24"/>
          <w:szCs w:val="21"/>
        </w:rPr>
        <w:t>应建设有效的渗沥液导排系统，其结构形式</w:t>
      </w:r>
      <w:r>
        <w:rPr>
          <w:rFonts w:hint="eastAsia" w:ascii="Times New Roman" w:hAnsi="Times New Roman" w:eastAsia="宋体" w:cs="Times New Roman"/>
          <w:bCs/>
          <w:sz w:val="24"/>
          <w:szCs w:val="21"/>
        </w:rPr>
        <w:t>和初始坡度</w:t>
      </w:r>
      <w:r>
        <w:rPr>
          <w:rFonts w:ascii="Times New Roman" w:hAnsi="Times New Roman" w:eastAsia="宋体" w:cs="Times New Roman"/>
          <w:bCs/>
          <w:sz w:val="24"/>
          <w:szCs w:val="21"/>
        </w:rPr>
        <w:t>应符合国家现行标准《生活垃圾卫生填埋处理技术规范》GB50869的规定</w:t>
      </w:r>
      <w:r>
        <w:rPr>
          <w:rFonts w:hint="eastAsia" w:ascii="Times New Roman" w:hAnsi="Times New Roman" w:eastAsia="宋体" w:cs="Times New Roman"/>
          <w:bCs/>
          <w:sz w:val="24"/>
          <w:szCs w:val="21"/>
        </w:rPr>
        <w:t>，应对库区基层和渗沥液导排管开展沉降验算，沉降完成之后最</w:t>
      </w:r>
      <w:r>
        <w:rPr>
          <w:rFonts w:ascii="Times New Roman" w:hAnsi="Times New Roman" w:eastAsia="宋体" w:cs="Times New Roman"/>
          <w:bCs/>
          <w:sz w:val="24"/>
          <w:szCs w:val="21"/>
        </w:rPr>
        <w:t>终坡度不宜小于1%。</w:t>
      </w:r>
    </w:p>
    <w:p w14:paraId="2E14113A">
      <w:pPr>
        <w:widowControl/>
        <w:spacing w:line="360" w:lineRule="auto"/>
        <w:jc w:val="left"/>
        <w:outlineLvl w:val="2"/>
        <w:rPr>
          <w:rFonts w:ascii="Times New Roman" w:hAnsi="Times New Roman" w:eastAsia="宋体" w:cs="Times New Roman"/>
          <w:bCs/>
          <w:sz w:val="24"/>
          <w:szCs w:val="21"/>
        </w:rPr>
      </w:pPr>
      <w:bookmarkStart w:id="143" w:name="_Toc3415"/>
      <w:bookmarkStart w:id="144" w:name="_Toc6118"/>
      <w:r>
        <w:rPr>
          <w:rFonts w:hint="eastAsia" w:ascii="Times New Roman" w:hAnsi="Times New Roman" w:eastAsia="宋体" w:cs="Times New Roman"/>
          <w:bCs/>
          <w:sz w:val="24"/>
          <w:szCs w:val="21"/>
        </w:rPr>
        <w:t>4</w:t>
      </w:r>
      <w:r>
        <w:rPr>
          <w:rFonts w:ascii="Times New Roman" w:hAnsi="Times New Roman" w:eastAsia="宋体" w:cs="Times New Roman"/>
          <w:bCs/>
          <w:sz w:val="24"/>
          <w:szCs w:val="21"/>
        </w:rPr>
        <w:t>.5.2 渗沥液收集导排系统设计应符合下列</w:t>
      </w:r>
      <w:r>
        <w:rPr>
          <w:rFonts w:hint="eastAsia" w:ascii="Times New Roman" w:hAnsi="Times New Roman" w:eastAsia="宋体" w:cs="Times New Roman"/>
          <w:bCs/>
          <w:sz w:val="24"/>
          <w:szCs w:val="21"/>
        </w:rPr>
        <w:t>规定</w:t>
      </w:r>
      <w:r>
        <w:rPr>
          <w:rFonts w:ascii="Times New Roman" w:hAnsi="Times New Roman" w:eastAsia="宋体" w:cs="Times New Roman"/>
          <w:bCs/>
          <w:sz w:val="24"/>
          <w:szCs w:val="21"/>
        </w:rPr>
        <w:t>：</w:t>
      </w:r>
      <w:bookmarkEnd w:id="143"/>
      <w:bookmarkEnd w:id="144"/>
    </w:p>
    <w:p w14:paraId="52E5B9A2">
      <w:pPr>
        <w:widowControl/>
        <w:spacing w:line="360" w:lineRule="auto"/>
        <w:ind w:firstLine="480" w:firstLineChars="200"/>
        <w:rPr>
          <w:rFonts w:ascii="Times New Roman" w:hAnsi="Times New Roman" w:eastAsia="宋体" w:cs="Times New Roman"/>
          <w:bCs/>
          <w:kern w:val="0"/>
          <w:sz w:val="24"/>
          <w:szCs w:val="20"/>
        </w:rPr>
      </w:pPr>
      <w:r>
        <w:rPr>
          <w:rFonts w:ascii="Times New Roman" w:hAnsi="Times New Roman" w:eastAsia="宋体" w:cs="Times New Roman"/>
          <w:bCs/>
          <w:kern w:val="0"/>
          <w:sz w:val="24"/>
          <w:szCs w:val="20"/>
        </w:rPr>
        <w:t xml:space="preserve">1 </w:t>
      </w:r>
      <w:r>
        <w:rPr>
          <w:rFonts w:hint="eastAsia" w:ascii="Times New Roman" w:hAnsi="Times New Roman" w:eastAsia="宋体" w:cs="Times New Roman"/>
          <w:bCs/>
          <w:kern w:val="0"/>
          <w:sz w:val="24"/>
          <w:szCs w:val="20"/>
        </w:rPr>
        <w:t>应</w:t>
      </w:r>
      <w:r>
        <w:rPr>
          <w:rFonts w:ascii="Times New Roman" w:hAnsi="Times New Roman" w:eastAsia="宋体" w:cs="Times New Roman"/>
          <w:bCs/>
          <w:kern w:val="0"/>
          <w:sz w:val="24"/>
          <w:szCs w:val="20"/>
        </w:rPr>
        <w:t>能及时有效地收集和导排汇集于垃圾填埋场场底和边坡防渗层以上的垃圾渗沥液；</w:t>
      </w:r>
    </w:p>
    <w:p w14:paraId="520F5457">
      <w:pPr>
        <w:widowControl/>
        <w:spacing w:line="360" w:lineRule="auto"/>
        <w:ind w:firstLine="480" w:firstLineChars="200"/>
        <w:rPr>
          <w:rFonts w:ascii="Times New Roman" w:hAnsi="Times New Roman" w:eastAsia="宋体" w:cs="Times New Roman"/>
          <w:bCs/>
          <w:kern w:val="0"/>
          <w:sz w:val="24"/>
          <w:szCs w:val="20"/>
        </w:rPr>
      </w:pPr>
      <w:r>
        <w:rPr>
          <w:rFonts w:ascii="Times New Roman" w:hAnsi="Times New Roman" w:eastAsia="宋体" w:cs="Times New Roman"/>
          <w:bCs/>
          <w:kern w:val="0"/>
          <w:sz w:val="24"/>
          <w:szCs w:val="20"/>
        </w:rPr>
        <w:t>2 不</w:t>
      </w:r>
      <w:r>
        <w:rPr>
          <w:rFonts w:hint="eastAsia" w:ascii="Times New Roman" w:hAnsi="Times New Roman" w:eastAsia="宋体" w:cs="Times New Roman"/>
          <w:bCs/>
          <w:kern w:val="0"/>
          <w:sz w:val="24"/>
          <w:szCs w:val="20"/>
        </w:rPr>
        <w:t>应</w:t>
      </w:r>
      <w:r>
        <w:rPr>
          <w:rFonts w:ascii="Times New Roman" w:hAnsi="Times New Roman" w:eastAsia="宋体" w:cs="Times New Roman"/>
          <w:bCs/>
          <w:kern w:val="0"/>
          <w:sz w:val="24"/>
          <w:szCs w:val="20"/>
        </w:rPr>
        <w:t>对防渗层造成破坏；</w:t>
      </w:r>
    </w:p>
    <w:p w14:paraId="31237B4D">
      <w:pPr>
        <w:widowControl/>
        <w:spacing w:line="360" w:lineRule="auto"/>
        <w:ind w:firstLine="480" w:firstLineChars="200"/>
        <w:rPr>
          <w:rFonts w:ascii="Times New Roman" w:hAnsi="Times New Roman" w:eastAsia="宋体" w:cs="Times New Roman"/>
          <w:bCs/>
          <w:kern w:val="0"/>
          <w:sz w:val="24"/>
          <w:szCs w:val="20"/>
        </w:rPr>
      </w:pPr>
      <w:r>
        <w:rPr>
          <w:rFonts w:ascii="Times New Roman" w:hAnsi="Times New Roman" w:eastAsia="宋体" w:cs="Times New Roman"/>
          <w:bCs/>
          <w:kern w:val="0"/>
          <w:sz w:val="24"/>
          <w:szCs w:val="20"/>
        </w:rPr>
        <w:t xml:space="preserve">3 </w:t>
      </w:r>
      <w:r>
        <w:rPr>
          <w:rFonts w:hint="eastAsia" w:ascii="Times New Roman" w:hAnsi="Times New Roman" w:eastAsia="宋体" w:cs="Times New Roman"/>
          <w:bCs/>
          <w:kern w:val="0"/>
          <w:sz w:val="24"/>
          <w:szCs w:val="20"/>
        </w:rPr>
        <w:t>应</w:t>
      </w:r>
      <w:r>
        <w:rPr>
          <w:rFonts w:ascii="Times New Roman" w:hAnsi="Times New Roman" w:eastAsia="宋体" w:cs="Times New Roman"/>
          <w:bCs/>
          <w:kern w:val="0"/>
          <w:sz w:val="24"/>
          <w:szCs w:val="20"/>
        </w:rPr>
        <w:t>具有防淤堵能力；</w:t>
      </w:r>
    </w:p>
    <w:p w14:paraId="393E0FD1">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 xml:space="preserve">4 </w:t>
      </w:r>
      <w:r>
        <w:rPr>
          <w:rFonts w:hint="eastAsia" w:ascii="Times New Roman" w:hAnsi="Times New Roman" w:eastAsia="宋体" w:cs="Times New Roman"/>
          <w:bCs/>
          <w:sz w:val="24"/>
          <w:lang w:val="zh-CN"/>
        </w:rPr>
        <w:t>应</w:t>
      </w:r>
      <w:r>
        <w:rPr>
          <w:rFonts w:ascii="Times New Roman" w:hAnsi="Times New Roman" w:eastAsia="宋体" w:cs="Times New Roman"/>
          <w:bCs/>
          <w:sz w:val="24"/>
          <w:lang w:val="zh-CN"/>
        </w:rPr>
        <w:t>保证渗沥液收集导排系统的长期可靠性。</w:t>
      </w:r>
    </w:p>
    <w:p w14:paraId="1CF18C69">
      <w:pPr>
        <w:widowControl/>
        <w:spacing w:line="360" w:lineRule="auto"/>
        <w:ind w:firstLine="480" w:firstLineChars="200"/>
        <w:jc w:val="left"/>
        <w:rPr>
          <w:rFonts w:ascii="Times New Roman" w:hAnsi="Times New Roman" w:eastAsia="宋体" w:cs="Times New Roman"/>
          <w:bCs/>
          <w:sz w:val="24"/>
          <w:szCs w:val="21"/>
        </w:rPr>
      </w:pPr>
      <w:r>
        <w:rPr>
          <w:rFonts w:hint="eastAsia" w:ascii="Times New Roman" w:hAnsi="Times New Roman" w:eastAsia="宋体" w:cs="Times New Roman"/>
          <w:sz w:val="24"/>
        </w:rPr>
        <w:t>5</w:t>
      </w:r>
      <w:r>
        <w:rPr>
          <w:rFonts w:ascii="Times New Roman" w:hAnsi="Times New Roman" w:eastAsia="宋体" w:cs="Times New Roman"/>
          <w:sz w:val="24"/>
        </w:rPr>
        <w:t xml:space="preserve"> 填埋库区库底渗沥液导排系统纵向坡度不宜小于2％。</w:t>
      </w:r>
    </w:p>
    <w:p w14:paraId="79A4568E">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4.5.3 </w:t>
      </w:r>
      <w:r>
        <w:rPr>
          <w:rFonts w:ascii="Times New Roman" w:hAnsi="Times New Roman" w:eastAsia="宋体" w:cs="Times New Roman"/>
          <w:sz w:val="24"/>
        </w:rPr>
        <w:t>渗沥液收集导排系统中的所有材料</w:t>
      </w:r>
      <w:r>
        <w:rPr>
          <w:rFonts w:hint="eastAsia" w:ascii="Times New Roman" w:hAnsi="Times New Roman" w:eastAsia="宋体" w:cs="Times New Roman"/>
          <w:sz w:val="24"/>
        </w:rPr>
        <w:t>和构造</w:t>
      </w:r>
      <w:r>
        <w:rPr>
          <w:rFonts w:ascii="Times New Roman" w:hAnsi="Times New Roman" w:eastAsia="宋体" w:cs="Times New Roman"/>
          <w:sz w:val="24"/>
        </w:rPr>
        <w:t>应具有足够的强度</w:t>
      </w:r>
      <w:r>
        <w:rPr>
          <w:rFonts w:hint="eastAsia" w:ascii="Times New Roman" w:hAnsi="Times New Roman" w:eastAsia="宋体" w:cs="Times New Roman"/>
          <w:sz w:val="24"/>
        </w:rPr>
        <w:t>和稳定性</w:t>
      </w:r>
      <w:r>
        <w:rPr>
          <w:rFonts w:ascii="Times New Roman" w:hAnsi="Times New Roman" w:eastAsia="宋体" w:cs="Times New Roman"/>
          <w:sz w:val="24"/>
        </w:rPr>
        <w:t>，以承受垃圾、覆盖材料等荷载及操作设备的</w:t>
      </w:r>
      <w:r>
        <w:rPr>
          <w:rFonts w:hint="eastAsia" w:ascii="Times New Roman" w:hAnsi="Times New Roman" w:eastAsia="宋体" w:cs="Times New Roman"/>
          <w:sz w:val="24"/>
        </w:rPr>
        <w:t>作用</w:t>
      </w:r>
      <w:r>
        <w:rPr>
          <w:rFonts w:ascii="Times New Roman" w:hAnsi="Times New Roman" w:eastAsia="宋体" w:cs="Times New Roman"/>
          <w:bCs/>
          <w:sz w:val="24"/>
          <w:szCs w:val="21"/>
        </w:rPr>
        <w:t>。</w:t>
      </w:r>
    </w:p>
    <w:p w14:paraId="3099918E">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4.5.4 </w:t>
      </w:r>
      <w:r>
        <w:rPr>
          <w:rFonts w:ascii="Times New Roman" w:hAnsi="Times New Roman" w:eastAsia="宋体" w:cs="Times New Roman"/>
          <w:sz w:val="24"/>
        </w:rPr>
        <w:t>导排层应优先采用卵石作为排水材料，可采用碎石，石材粒径宜为20mm~60mm。石材碳酸钙含量不应大于5%，铺设前应洗净，铺设厚度不应小于300mm，渗透系数不应小于1×10</w:t>
      </w:r>
      <w:r>
        <w:rPr>
          <w:rFonts w:ascii="Times New Roman" w:hAnsi="Times New Roman" w:eastAsia="宋体" w:cs="Times New Roman"/>
          <w:sz w:val="24"/>
          <w:vertAlign w:val="superscript"/>
        </w:rPr>
        <w:t>-3</w:t>
      </w:r>
      <w:r>
        <w:rPr>
          <w:rFonts w:ascii="Times New Roman" w:hAnsi="Times New Roman" w:eastAsia="宋体" w:cs="Times New Roman"/>
          <w:sz w:val="24"/>
        </w:rPr>
        <w:t>m/s。导排层下可铺设土工复合排水网以加强渗沥液导排；边坡</w:t>
      </w:r>
      <w:r>
        <w:rPr>
          <w:rFonts w:hint="eastAsia" w:ascii="Times New Roman" w:hAnsi="Times New Roman" w:eastAsia="宋体" w:cs="Times New Roman"/>
          <w:sz w:val="24"/>
        </w:rPr>
        <w:t>宜</w:t>
      </w:r>
      <w:r>
        <w:rPr>
          <w:rFonts w:ascii="Times New Roman" w:hAnsi="Times New Roman" w:eastAsia="宋体" w:cs="Times New Roman"/>
          <w:sz w:val="24"/>
        </w:rPr>
        <w:t>铺设土工复合排水网等土工合成材料作为排水材料，排水材料之上应铺设边坡保护层。</w:t>
      </w:r>
    </w:p>
    <w:p w14:paraId="0E71B3C1">
      <w:pPr>
        <w:widowControl/>
        <w:spacing w:line="360" w:lineRule="auto"/>
        <w:jc w:val="left"/>
        <w:outlineLvl w:val="2"/>
        <w:rPr>
          <w:rFonts w:ascii="Times New Roman" w:hAnsi="Times New Roman" w:eastAsia="宋体" w:cs="Times New Roman"/>
          <w:bCs/>
          <w:sz w:val="24"/>
          <w:szCs w:val="21"/>
        </w:rPr>
      </w:pPr>
      <w:bookmarkStart w:id="145" w:name="_Toc13499"/>
      <w:bookmarkStart w:id="146" w:name="_Toc19650"/>
      <w:r>
        <w:rPr>
          <w:rFonts w:hint="eastAsia" w:ascii="Times New Roman" w:hAnsi="Times New Roman" w:eastAsia="宋体" w:cs="Times New Roman"/>
          <w:bCs/>
          <w:sz w:val="24"/>
          <w:szCs w:val="21"/>
        </w:rPr>
        <w:t xml:space="preserve">4.5.5 </w:t>
      </w:r>
      <w:r>
        <w:rPr>
          <w:rFonts w:ascii="Times New Roman" w:hAnsi="Times New Roman" w:eastAsia="宋体" w:cs="Times New Roman"/>
          <w:bCs/>
          <w:sz w:val="24"/>
          <w:szCs w:val="21"/>
        </w:rPr>
        <w:t>盲沟设计应符合下列</w:t>
      </w:r>
      <w:r>
        <w:rPr>
          <w:rFonts w:hint="eastAsia" w:ascii="Times New Roman" w:hAnsi="Times New Roman" w:eastAsia="宋体" w:cs="Times New Roman"/>
          <w:bCs/>
          <w:sz w:val="24"/>
          <w:szCs w:val="21"/>
        </w:rPr>
        <w:t>规定</w:t>
      </w:r>
      <w:r>
        <w:rPr>
          <w:rFonts w:ascii="Times New Roman" w:hAnsi="Times New Roman" w:eastAsia="宋体" w:cs="Times New Roman"/>
          <w:bCs/>
          <w:sz w:val="24"/>
          <w:szCs w:val="21"/>
        </w:rPr>
        <w:t>：</w:t>
      </w:r>
      <w:bookmarkEnd w:id="145"/>
      <w:bookmarkEnd w:id="146"/>
    </w:p>
    <w:p w14:paraId="3B09AB4F">
      <w:pPr>
        <w:spacing w:line="360" w:lineRule="auto"/>
        <w:ind w:firstLine="480" w:firstLineChars="200"/>
        <w:rPr>
          <w:rFonts w:ascii="Times New Roman" w:hAnsi="Times New Roman" w:eastAsia="宋体" w:cs="Times New Roman"/>
          <w:bCs/>
          <w:sz w:val="24"/>
          <w:lang w:val="zh-CN"/>
        </w:rPr>
      </w:pPr>
      <w:bookmarkStart w:id="147" w:name="_Toc29870"/>
      <w:bookmarkStart w:id="148" w:name="_Toc10468"/>
      <w:r>
        <w:rPr>
          <w:rFonts w:ascii="Times New Roman" w:hAnsi="Times New Roman" w:eastAsia="宋体" w:cs="Times New Roman"/>
          <w:bCs/>
          <w:sz w:val="24"/>
          <w:lang w:val="zh-CN"/>
        </w:rPr>
        <w:t>1 盲沟内的排水材料宜选用卵石或碎石；</w:t>
      </w:r>
      <w:bookmarkEnd w:id="147"/>
      <w:bookmarkEnd w:id="148"/>
    </w:p>
    <w:p w14:paraId="7CFDD860">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 xml:space="preserve">2 </w:t>
      </w:r>
      <w:r>
        <w:rPr>
          <w:rFonts w:ascii="Times New Roman" w:hAnsi="Times New Roman" w:eastAsia="宋体" w:cs="Times New Roman"/>
          <w:sz w:val="24"/>
          <w:lang w:val="zh-CN"/>
        </w:rPr>
        <w:t>盲沟内宜铺设排水管材，宜采用</w:t>
      </w:r>
      <w:bookmarkStart w:id="149" w:name="OLE_LINK11"/>
      <w:r>
        <w:rPr>
          <w:rFonts w:hint="eastAsia" w:ascii="Times New Roman" w:hAnsi="Times New Roman" w:eastAsia="宋体" w:cs="Times New Roman"/>
          <w:sz w:val="24"/>
          <w:lang w:val="zh-CN"/>
        </w:rPr>
        <w:t>高密度聚乙烯</w:t>
      </w:r>
      <w:bookmarkEnd w:id="149"/>
      <w:r>
        <w:rPr>
          <w:rFonts w:ascii="Times New Roman" w:hAnsi="Times New Roman" w:eastAsia="宋体" w:cs="Times New Roman"/>
          <w:sz w:val="24"/>
          <w:lang w:val="zh-CN"/>
        </w:rPr>
        <w:t>穿孔管</w:t>
      </w:r>
      <w:r>
        <w:rPr>
          <w:rFonts w:hint="eastAsia" w:ascii="Times New Roman" w:hAnsi="Times New Roman" w:eastAsia="宋体" w:cs="Times New Roman"/>
          <w:bCs/>
          <w:sz w:val="24"/>
          <w:lang w:val="zh-CN"/>
        </w:rPr>
        <w:t>，管材应置于卵石或碎石盲沟内，并在其下设置砂垫层。应根据收集导排量和长期导排性能选择管径，并具备承载其上施工机械及垃圾堆体荷载的能力。</w:t>
      </w:r>
    </w:p>
    <w:p w14:paraId="3162E38C">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3</w:t>
      </w:r>
      <w:r>
        <w:rPr>
          <w:rFonts w:ascii="Times New Roman" w:hAnsi="Times New Roman" w:eastAsia="宋体" w:cs="Times New Roman"/>
          <w:sz w:val="24"/>
          <w:lang w:val="zh-CN"/>
        </w:rPr>
        <w:t>盲沟应设置反滤层，反滤材料宜采用土工滤网</w:t>
      </w:r>
      <w:r>
        <w:rPr>
          <w:rFonts w:hint="eastAsia" w:ascii="Times New Roman" w:hAnsi="Times New Roman" w:eastAsia="宋体" w:cs="Times New Roman"/>
          <w:sz w:val="24"/>
          <w:lang w:val="zh-CN"/>
        </w:rPr>
        <w:t>，规格不宜小于</w:t>
      </w:r>
      <w:r>
        <w:rPr>
          <w:rFonts w:ascii="Times New Roman" w:hAnsi="Times New Roman" w:eastAsia="宋体" w:cs="Times New Roman"/>
          <w:sz w:val="24"/>
          <w:lang w:val="zh-CN"/>
        </w:rPr>
        <w:t>200g/m</w:t>
      </w:r>
      <w:r>
        <w:rPr>
          <w:rFonts w:ascii="Times New Roman" w:hAnsi="Times New Roman" w:eastAsia="宋体" w:cs="Times New Roman"/>
          <w:sz w:val="24"/>
          <w:vertAlign w:val="superscript"/>
          <w:lang w:val="zh-CN"/>
        </w:rPr>
        <w:t>2</w:t>
      </w:r>
      <w:r>
        <w:rPr>
          <w:rFonts w:ascii="Times New Roman" w:hAnsi="Times New Roman" w:eastAsia="宋体" w:cs="Times New Roman"/>
          <w:sz w:val="24"/>
          <w:lang w:val="zh-CN"/>
        </w:rPr>
        <w:t>。</w:t>
      </w:r>
    </w:p>
    <w:p w14:paraId="39C03153">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4.5.6 </w:t>
      </w:r>
      <w:r>
        <w:rPr>
          <w:rFonts w:ascii="Times New Roman" w:hAnsi="Times New Roman" w:eastAsia="宋体" w:cs="Times New Roman"/>
          <w:sz w:val="24"/>
        </w:rPr>
        <w:t>渗沥液收集导排系统的上部宜铺设反滤材料，防止淤堵。反滤材料宜采用土工滤网</w:t>
      </w:r>
      <w:r>
        <w:rPr>
          <w:rFonts w:hint="eastAsia" w:ascii="Times New Roman" w:hAnsi="Times New Roman" w:eastAsia="宋体" w:cs="Times New Roman"/>
          <w:sz w:val="24"/>
        </w:rPr>
        <w:t>，规格不宜小于</w:t>
      </w:r>
      <w:r>
        <w:rPr>
          <w:rFonts w:ascii="Times New Roman" w:hAnsi="Times New Roman" w:eastAsia="宋体" w:cs="Times New Roman"/>
          <w:sz w:val="24"/>
        </w:rPr>
        <w:t>200g/m</w:t>
      </w:r>
      <w:r>
        <w:rPr>
          <w:rFonts w:ascii="Times New Roman" w:hAnsi="Times New Roman" w:eastAsia="宋体" w:cs="Times New Roman"/>
          <w:sz w:val="24"/>
          <w:vertAlign w:val="superscript"/>
        </w:rPr>
        <w:t>2</w:t>
      </w:r>
      <w:r>
        <w:rPr>
          <w:rFonts w:ascii="Times New Roman" w:hAnsi="Times New Roman" w:eastAsia="宋体" w:cs="Times New Roman"/>
          <w:sz w:val="24"/>
        </w:rPr>
        <w:t>。</w:t>
      </w:r>
    </w:p>
    <w:p w14:paraId="1D311139">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 xml:space="preserve">4.5.7 </w:t>
      </w:r>
      <w:r>
        <w:rPr>
          <w:rFonts w:ascii="Times New Roman" w:hAnsi="Times New Roman" w:eastAsia="宋体" w:cs="Times New Roman"/>
          <w:sz w:val="24"/>
        </w:rPr>
        <w:t>渗沥液排出系统宜采用重力流排出；</w:t>
      </w:r>
      <w:r>
        <w:rPr>
          <w:rFonts w:hint="eastAsia" w:ascii="Times New Roman" w:hAnsi="Times New Roman" w:eastAsia="宋体" w:cs="Times New Roman"/>
          <w:sz w:val="24"/>
        </w:rPr>
        <w:t>当</w:t>
      </w:r>
      <w:r>
        <w:rPr>
          <w:rFonts w:ascii="Times New Roman" w:hAnsi="Times New Roman" w:eastAsia="宋体" w:cs="Times New Roman"/>
          <w:sz w:val="24"/>
        </w:rPr>
        <w:t>不能利用重力流排出时，应设置泵井。</w:t>
      </w:r>
      <w:r>
        <w:rPr>
          <w:rFonts w:hint="eastAsia" w:ascii="Times New Roman" w:hAnsi="Times New Roman" w:eastAsia="宋体" w:cs="Times New Roman"/>
          <w:sz w:val="24"/>
        </w:rPr>
        <w:t>当</w:t>
      </w:r>
      <w:r>
        <w:rPr>
          <w:rFonts w:ascii="Times New Roman" w:hAnsi="Times New Roman" w:eastAsia="宋体" w:cs="Times New Roman"/>
          <w:sz w:val="24"/>
        </w:rPr>
        <w:t>渗沥液排出管需要穿过土工膜时，应保证衔接处密封。</w:t>
      </w:r>
    </w:p>
    <w:p w14:paraId="7E6E89E6">
      <w:pPr>
        <w:widowControl/>
        <w:spacing w:line="360" w:lineRule="auto"/>
        <w:jc w:val="left"/>
        <w:outlineLvl w:val="2"/>
        <w:rPr>
          <w:rFonts w:ascii="Times New Roman" w:hAnsi="Times New Roman" w:eastAsia="宋体" w:cs="Times New Roman"/>
          <w:sz w:val="24"/>
        </w:rPr>
      </w:pPr>
      <w:bookmarkStart w:id="150" w:name="_Toc8544"/>
      <w:bookmarkStart w:id="151" w:name="_Toc19344"/>
      <w:r>
        <w:rPr>
          <w:rFonts w:hint="eastAsia" w:ascii="Times New Roman" w:hAnsi="Times New Roman" w:eastAsia="宋体" w:cs="Times New Roman"/>
          <w:sz w:val="24"/>
        </w:rPr>
        <w:t>4.5.8 泵井的设计应符合下列规定：</w:t>
      </w:r>
      <w:bookmarkEnd w:id="150"/>
      <w:bookmarkEnd w:id="151"/>
    </w:p>
    <w:p w14:paraId="71AD46B8">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 泵井应具有防渗能力和防腐能力；</w:t>
      </w:r>
    </w:p>
    <w:p w14:paraId="1F7EFEF3">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 应保证合理的井容积；</w:t>
      </w:r>
    </w:p>
    <w:p w14:paraId="66077EBA">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 应合理配置排水泵；</w:t>
      </w:r>
    </w:p>
    <w:p w14:paraId="4895863A">
      <w:pPr>
        <w:widowControl/>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4 应采取必要的安全措施。</w:t>
      </w:r>
    </w:p>
    <w:p w14:paraId="2B4B450D">
      <w:pPr>
        <w:widowControl/>
        <w:spacing w:line="360" w:lineRule="auto"/>
        <w:jc w:val="left"/>
        <w:outlineLvl w:val="2"/>
        <w:rPr>
          <w:rFonts w:ascii="Times New Roman" w:hAnsi="Times New Roman" w:eastAsia="宋体" w:cs="Times New Roman"/>
          <w:bCs/>
          <w:kern w:val="0"/>
          <w:sz w:val="24"/>
          <w:szCs w:val="20"/>
        </w:rPr>
      </w:pPr>
      <w:r>
        <w:rPr>
          <w:rFonts w:hint="eastAsia" w:ascii="Times New Roman" w:hAnsi="Times New Roman" w:eastAsia="宋体" w:cs="Times New Roman"/>
          <w:bCs/>
          <w:sz w:val="24"/>
          <w:szCs w:val="21"/>
        </w:rPr>
        <w:t xml:space="preserve">4.5.9 </w:t>
      </w:r>
      <w:r>
        <w:rPr>
          <w:rFonts w:ascii="Times New Roman" w:hAnsi="Times New Roman" w:eastAsia="宋体" w:cs="Times New Roman"/>
          <w:bCs/>
          <w:sz w:val="24"/>
          <w:szCs w:val="21"/>
        </w:rPr>
        <w:t>填埋场场底应</w:t>
      </w:r>
      <w:r>
        <w:rPr>
          <w:rFonts w:hint="eastAsia" w:ascii="Times New Roman" w:hAnsi="Times New Roman" w:eastAsia="宋体" w:cs="Times New Roman"/>
          <w:bCs/>
          <w:sz w:val="24"/>
          <w:szCs w:val="21"/>
        </w:rPr>
        <w:t>根据填埋分区</w:t>
      </w:r>
      <w:r>
        <w:rPr>
          <w:rFonts w:ascii="Times New Roman" w:hAnsi="Times New Roman" w:eastAsia="宋体" w:cs="Times New Roman"/>
          <w:bCs/>
          <w:sz w:val="24"/>
          <w:szCs w:val="21"/>
        </w:rPr>
        <w:t>设置排水单元；排水单元中的渗沥液导排盲沟设置为</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直线型</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或</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树叉型</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，有条件</w:t>
      </w:r>
      <w:r>
        <w:rPr>
          <w:rFonts w:hint="eastAsia" w:ascii="Times New Roman" w:hAnsi="Times New Roman" w:eastAsia="宋体" w:cs="Times New Roman"/>
          <w:bCs/>
          <w:sz w:val="24"/>
          <w:szCs w:val="21"/>
        </w:rPr>
        <w:t>时应</w:t>
      </w:r>
      <w:r>
        <w:rPr>
          <w:rFonts w:ascii="Times New Roman" w:hAnsi="Times New Roman" w:eastAsia="宋体" w:cs="Times New Roman"/>
          <w:bCs/>
          <w:sz w:val="24"/>
          <w:szCs w:val="21"/>
        </w:rPr>
        <w:t>采用</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直线型</w:t>
      </w:r>
      <w:r>
        <w:rPr>
          <w:rFonts w:hint="eastAsia" w:ascii="Times New Roman" w:hAnsi="Times New Roman" w:eastAsia="宋体" w:cs="Times New Roman"/>
          <w:bCs/>
          <w:sz w:val="24"/>
          <w:szCs w:val="21"/>
        </w:rPr>
        <w:t>”</w:t>
      </w:r>
      <w:r>
        <w:rPr>
          <w:rFonts w:ascii="Times New Roman" w:hAnsi="Times New Roman" w:eastAsia="宋体" w:cs="Times New Roman"/>
          <w:bCs/>
          <w:kern w:val="0"/>
          <w:sz w:val="24"/>
          <w:szCs w:val="20"/>
        </w:rPr>
        <w:t>。</w:t>
      </w:r>
    </w:p>
    <w:p w14:paraId="75D0A8E0">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 xml:space="preserve">4.5.10 </w:t>
      </w:r>
      <w:r>
        <w:rPr>
          <w:rFonts w:ascii="Times New Roman" w:hAnsi="Times New Roman" w:eastAsia="宋体" w:cs="Times New Roman"/>
          <w:sz w:val="24"/>
        </w:rPr>
        <w:t>在双层防渗结构中，主防渗层与次防渗层之间应设置渗沥液检测层，及时检测主防渗层的渗漏情况</w:t>
      </w:r>
      <w:r>
        <w:rPr>
          <w:rFonts w:hint="eastAsia" w:ascii="Times New Roman" w:hAnsi="Times New Roman" w:eastAsia="宋体" w:cs="Times New Roman"/>
          <w:sz w:val="24"/>
        </w:rPr>
        <w:t>，并应能及时导排渗沥液</w:t>
      </w:r>
      <w:r>
        <w:rPr>
          <w:rFonts w:ascii="Times New Roman" w:hAnsi="Times New Roman" w:eastAsia="宋体" w:cs="Times New Roman"/>
          <w:sz w:val="24"/>
        </w:rPr>
        <w:t>。边坡</w:t>
      </w:r>
      <w:r>
        <w:rPr>
          <w:rFonts w:hint="eastAsia" w:ascii="Times New Roman" w:hAnsi="Times New Roman" w:eastAsia="宋体" w:cs="Times New Roman"/>
          <w:sz w:val="24"/>
        </w:rPr>
        <w:t>检测层</w:t>
      </w:r>
      <w:r>
        <w:rPr>
          <w:rFonts w:ascii="Times New Roman" w:hAnsi="Times New Roman" w:eastAsia="宋体" w:cs="Times New Roman"/>
          <w:sz w:val="24"/>
        </w:rPr>
        <w:t>可采用土工复合排水网，厚度不应小于5mm。</w:t>
      </w:r>
    </w:p>
    <w:p w14:paraId="01A4BF5F">
      <w:pPr>
        <w:rPr>
          <w:rFonts w:ascii="Times New Roman" w:hAnsi="Times New Roman" w:eastAsia="宋体" w:cs="Times New Roman"/>
          <w:sz w:val="24"/>
        </w:rPr>
      </w:pPr>
      <w:r>
        <w:rPr>
          <w:rFonts w:ascii="Times New Roman" w:hAnsi="Times New Roman" w:eastAsia="宋体" w:cs="Times New Roman"/>
          <w:sz w:val="24"/>
        </w:rPr>
        <w:br w:type="page"/>
      </w:r>
    </w:p>
    <w:bookmarkEnd w:id="142"/>
    <w:p w14:paraId="284E431B">
      <w:pPr>
        <w:spacing w:before="156" w:beforeLines="50" w:after="156" w:afterLines="50"/>
        <w:jc w:val="center"/>
        <w:outlineLvl w:val="1"/>
        <w:rPr>
          <w:rFonts w:asciiTheme="minorEastAsia" w:hAnsiTheme="minorEastAsia"/>
          <w:b/>
          <w:sz w:val="24"/>
        </w:rPr>
      </w:pPr>
      <w:bookmarkStart w:id="152" w:name="_Toc484683893"/>
      <w:bookmarkStart w:id="153" w:name="_Toc484202154"/>
      <w:bookmarkStart w:id="154" w:name="_Toc133575330"/>
      <w:bookmarkStart w:id="155" w:name="_Toc139118683"/>
      <w:bookmarkStart w:id="156" w:name="_Toc450576776"/>
      <w:bookmarkStart w:id="157" w:name="_Toc21425583"/>
      <w:bookmarkStart w:id="158" w:name="_Ref129503833"/>
      <w:bookmarkStart w:id="159" w:name="_Toc23096"/>
      <w:bookmarkStart w:id="160" w:name="_Toc133575533"/>
      <w:bookmarkStart w:id="161" w:name="_Toc312247193"/>
      <w:bookmarkStart w:id="162" w:name="_Ref129503828"/>
      <w:bookmarkStart w:id="163" w:name="_Toc16704263"/>
      <w:bookmarkStart w:id="164" w:name="_Toc139116472"/>
      <w:bookmarkStart w:id="165" w:name="_Toc133575446"/>
      <w:r>
        <w:rPr>
          <w:rFonts w:hint="eastAsia" w:asciiTheme="minorEastAsia" w:hAnsiTheme="minorEastAsia"/>
          <w:b/>
          <w:sz w:val="24"/>
        </w:rPr>
        <w:t>4.6 地下水收集导排系统</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D712100">
      <w:pPr>
        <w:widowControl/>
        <w:numPr>
          <w:ilvl w:val="1"/>
          <w:numId w:val="3"/>
        </w:numPr>
        <w:jc w:val="left"/>
        <w:outlineLvl w:val="2"/>
        <w:rPr>
          <w:rFonts w:ascii="Times New Roman" w:hAnsi="Times New Roman" w:eastAsia="宋体" w:cs="Times New Roman"/>
          <w:bCs/>
          <w:vanish/>
          <w:sz w:val="24"/>
          <w:szCs w:val="21"/>
        </w:rPr>
      </w:pPr>
    </w:p>
    <w:p w14:paraId="580BD933">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4.6.1 当地下水水位较高并对场底基础层的稳定性产生影响， 或垃圾填埋场周边地表水下渗对四周边坡基础层产生影响时</w:t>
      </w:r>
      <w:r>
        <w:rPr>
          <w:rFonts w:ascii="Times New Roman" w:hAnsi="Times New Roman" w:eastAsia="宋体" w:cs="Times New Roman"/>
          <w:sz w:val="24"/>
        </w:rPr>
        <w:t>，应</w:t>
      </w:r>
      <w:r>
        <w:rPr>
          <w:rFonts w:hint="eastAsia" w:ascii="Times New Roman" w:hAnsi="Times New Roman" w:eastAsia="宋体" w:cs="Times New Roman"/>
          <w:sz w:val="24"/>
        </w:rPr>
        <w:t>设置地下水收集导排系统。</w:t>
      </w:r>
    </w:p>
    <w:p w14:paraId="599853BD">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4.6.2 </w:t>
      </w:r>
      <w:r>
        <w:rPr>
          <w:rFonts w:ascii="Times New Roman" w:hAnsi="Times New Roman" w:eastAsia="宋体" w:cs="Times New Roman"/>
          <w:sz w:val="24"/>
        </w:rPr>
        <w:t>地下水水量的计算</w:t>
      </w:r>
      <w:r>
        <w:rPr>
          <w:rFonts w:hint="eastAsia" w:ascii="Times New Roman" w:hAnsi="Times New Roman" w:eastAsia="宋体" w:cs="Times New Roman"/>
          <w:sz w:val="24"/>
        </w:rPr>
        <w:t>宜</w:t>
      </w:r>
      <w:r>
        <w:rPr>
          <w:rFonts w:ascii="Times New Roman" w:hAnsi="Times New Roman" w:eastAsia="宋体" w:cs="Times New Roman"/>
          <w:sz w:val="24"/>
        </w:rPr>
        <w:t>根据</w:t>
      </w:r>
      <w:r>
        <w:rPr>
          <w:rFonts w:hint="eastAsia" w:ascii="Times New Roman" w:hAnsi="Times New Roman" w:eastAsia="宋体" w:cs="Times New Roman"/>
          <w:sz w:val="24"/>
        </w:rPr>
        <w:t>填埋场址的</w:t>
      </w:r>
      <w:r>
        <w:rPr>
          <w:rFonts w:ascii="Times New Roman" w:hAnsi="Times New Roman" w:eastAsia="宋体" w:cs="Times New Roman"/>
          <w:sz w:val="24"/>
        </w:rPr>
        <w:t>地</w:t>
      </w:r>
      <w:r>
        <w:rPr>
          <w:rFonts w:hint="eastAsia" w:ascii="Times New Roman" w:hAnsi="Times New Roman" w:eastAsia="宋体" w:cs="Times New Roman"/>
          <w:sz w:val="24"/>
        </w:rPr>
        <w:t>下水水力特征和不同埋藏</w:t>
      </w:r>
      <w:r>
        <w:rPr>
          <w:rFonts w:ascii="Times New Roman" w:hAnsi="Times New Roman" w:eastAsia="宋体" w:cs="Times New Roman"/>
          <w:sz w:val="24"/>
        </w:rPr>
        <w:t>条件</w:t>
      </w:r>
      <w:r>
        <w:rPr>
          <w:rFonts w:hint="eastAsia" w:ascii="Times New Roman" w:hAnsi="Times New Roman" w:eastAsia="宋体" w:cs="Times New Roman"/>
          <w:sz w:val="24"/>
        </w:rPr>
        <w:t>分不同情况计算</w:t>
      </w:r>
      <w:r>
        <w:rPr>
          <w:rFonts w:ascii="Times New Roman" w:hAnsi="Times New Roman" w:eastAsia="宋体" w:cs="Times New Roman"/>
          <w:sz w:val="24"/>
        </w:rPr>
        <w:t>。地下水收集导排系统应符合下列</w:t>
      </w:r>
      <w:r>
        <w:rPr>
          <w:rFonts w:hint="eastAsia" w:ascii="Times New Roman" w:hAnsi="Times New Roman" w:eastAsia="宋体" w:cs="Times New Roman"/>
          <w:sz w:val="24"/>
        </w:rPr>
        <w:t>规定</w:t>
      </w:r>
      <w:r>
        <w:rPr>
          <w:rFonts w:ascii="Times New Roman" w:hAnsi="Times New Roman" w:eastAsia="宋体" w:cs="Times New Roman"/>
          <w:sz w:val="24"/>
        </w:rPr>
        <w:t>：</w:t>
      </w:r>
    </w:p>
    <w:p w14:paraId="43D16E2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 </w:t>
      </w:r>
      <w:r>
        <w:rPr>
          <w:rFonts w:hint="eastAsia" w:ascii="Times New Roman" w:hAnsi="Times New Roman" w:eastAsia="宋体" w:cs="Times New Roman"/>
          <w:sz w:val="24"/>
        </w:rPr>
        <w:t>应</w:t>
      </w:r>
      <w:r>
        <w:rPr>
          <w:rFonts w:ascii="Times New Roman" w:hAnsi="Times New Roman" w:eastAsia="宋体" w:cs="Times New Roman"/>
          <w:sz w:val="24"/>
        </w:rPr>
        <w:t>能及时有效的收集导排地下水和下渗地表水；</w:t>
      </w:r>
    </w:p>
    <w:p w14:paraId="547C7922">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应</w:t>
      </w:r>
      <w:r>
        <w:rPr>
          <w:rFonts w:ascii="Times New Roman" w:hAnsi="Times New Roman" w:eastAsia="宋体" w:cs="Times New Roman"/>
          <w:sz w:val="24"/>
        </w:rPr>
        <w:t>具有防淤堵能力；</w:t>
      </w:r>
    </w:p>
    <w:p w14:paraId="463FDD7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 地下水收集导排系统顶部距防渗系统防渗层底部不应小于1m；</w:t>
      </w:r>
    </w:p>
    <w:p w14:paraId="1B1F654A">
      <w:pPr>
        <w:widowControl/>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宋体"/>
          <w:kern w:val="0"/>
          <w:sz w:val="24"/>
        </w:rPr>
        <w:t xml:space="preserve">4 </w:t>
      </w:r>
      <w:r>
        <w:rPr>
          <w:rFonts w:hint="eastAsia" w:ascii="Times New Roman" w:hAnsi="Times New Roman" w:eastAsia="宋体" w:cs="宋体"/>
          <w:kern w:val="0"/>
          <w:sz w:val="24"/>
        </w:rPr>
        <w:t>应</w:t>
      </w:r>
      <w:r>
        <w:rPr>
          <w:rFonts w:ascii="Times New Roman" w:hAnsi="Times New Roman" w:eastAsia="宋体" w:cs="宋体"/>
          <w:kern w:val="0"/>
          <w:sz w:val="24"/>
        </w:rPr>
        <w:t>保证地下水收集导排系统的长期可靠性。</w:t>
      </w:r>
    </w:p>
    <w:p w14:paraId="1E7D7990">
      <w:pPr>
        <w:widowControl/>
        <w:spacing w:line="360" w:lineRule="auto"/>
        <w:jc w:val="left"/>
        <w:outlineLvl w:val="2"/>
        <w:rPr>
          <w:rFonts w:ascii="Times New Roman" w:hAnsi="Times New Roman" w:eastAsia="宋体" w:cs="Times New Roman"/>
          <w:sz w:val="24"/>
        </w:rPr>
      </w:pPr>
      <w:bookmarkStart w:id="166" w:name="_Toc312247196"/>
      <w:bookmarkStart w:id="167" w:name="_Ref129505348"/>
      <w:bookmarkStart w:id="168" w:name="_Toc133575536"/>
      <w:bookmarkStart w:id="169" w:name="_Toc133575333"/>
      <w:r>
        <w:rPr>
          <w:rFonts w:hint="eastAsia" w:ascii="Times New Roman" w:hAnsi="Times New Roman" w:eastAsia="宋体" w:cs="Times New Roman"/>
          <w:sz w:val="24"/>
        </w:rPr>
        <w:t>4.6.3 根据地下水水量、水位及其它水文地质情况的不同，可选择采用碎石导流层、导排盲沟、土工复合排水网导流层等方法进行地下水导排或阻断。地下水收集导排系统应具有长期的导排性能。</w:t>
      </w:r>
    </w:p>
    <w:bookmarkEnd w:id="166"/>
    <w:bookmarkEnd w:id="167"/>
    <w:bookmarkEnd w:id="168"/>
    <w:bookmarkEnd w:id="169"/>
    <w:p w14:paraId="4EAD4D32">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rPr>
        <w:t>4.6.4 当地下水收集导排系统采用导排盲沟时，可在基础层上开挖。盲沟尺寸、间距和埋深应合理，回填应压实，达到基础层要求。地下水收集管管径可根据地下水水量进行计算确定，干管外径（dn）不应小于250mm，支管外径（dn）不宜小于200mm。</w:t>
      </w:r>
    </w:p>
    <w:p w14:paraId="697766BB">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rPr>
        <w:t xml:space="preserve">4.6.5 </w:t>
      </w:r>
      <w:r>
        <w:rPr>
          <w:rFonts w:ascii="Times New Roman" w:hAnsi="Times New Roman" w:eastAsia="宋体" w:cs="Times New Roman"/>
          <w:sz w:val="24"/>
        </w:rPr>
        <w:t>当地下水收集导排系统</w:t>
      </w:r>
      <w:r>
        <w:rPr>
          <w:rFonts w:hint="eastAsia" w:ascii="Times New Roman" w:hAnsi="Times New Roman" w:eastAsia="宋体" w:cs="Times New Roman"/>
          <w:sz w:val="24"/>
        </w:rPr>
        <w:t>采用导排层时，应设置在基础层之上，可使用石材或土工复合排水网，并应符合下列规定：</w:t>
      </w:r>
    </w:p>
    <w:p w14:paraId="24ACFF88">
      <w:pPr>
        <w:spacing w:line="360" w:lineRule="auto"/>
        <w:ind w:firstLine="480" w:firstLineChars="200"/>
        <w:rPr>
          <w:rFonts w:ascii="Times New Roman" w:hAnsi="Times New Roman" w:eastAsia="宋体" w:cs="Times New Roman"/>
          <w:bCs/>
          <w:sz w:val="24"/>
          <w:lang w:val="zh-CN"/>
        </w:rPr>
      </w:pPr>
      <w:r>
        <w:rPr>
          <w:rFonts w:hint="eastAsia" w:ascii="Times New Roman" w:hAnsi="Times New Roman" w:eastAsia="宋体" w:cs="Times New Roman"/>
          <w:bCs/>
          <w:sz w:val="24"/>
          <w:lang w:val="zh-CN"/>
        </w:rPr>
        <w:t>1 当导排层选用卵石或碎石等材料时，铺设厚度不应小于0.30mm，导排层上、下宜铺设反滤层，反滤材料宜采用土工滤网，规格不宜小于</w:t>
      </w:r>
      <w:r>
        <w:rPr>
          <w:rFonts w:ascii="Times New Roman" w:hAnsi="Times New Roman" w:eastAsia="宋体" w:cs="Times New Roman"/>
          <w:bCs/>
          <w:sz w:val="24"/>
          <w:lang w:val="zh-CN"/>
        </w:rPr>
        <w:t>200g/m</w:t>
      </w:r>
      <w:r>
        <w:rPr>
          <w:rFonts w:ascii="Times New Roman" w:hAnsi="Times New Roman" w:eastAsia="宋体" w:cs="Times New Roman"/>
          <w:bCs/>
          <w:sz w:val="24"/>
          <w:vertAlign w:val="superscript"/>
          <w:lang w:val="zh-CN"/>
        </w:rPr>
        <w:t>2</w:t>
      </w:r>
      <w:r>
        <w:rPr>
          <w:rFonts w:hint="eastAsia" w:ascii="Times New Roman" w:hAnsi="Times New Roman" w:eastAsia="宋体" w:cs="Times New Roman"/>
          <w:bCs/>
          <w:sz w:val="24"/>
          <w:lang w:val="zh-CN"/>
        </w:rPr>
        <w:t>。</w:t>
      </w:r>
    </w:p>
    <w:p w14:paraId="1BD3D7F4">
      <w:pPr>
        <w:spacing w:line="360" w:lineRule="auto"/>
        <w:ind w:firstLine="480" w:firstLineChars="200"/>
        <w:rPr>
          <w:rFonts w:ascii="Times New Roman" w:hAnsi="Times New Roman" w:eastAsia="宋体" w:cs="Times New Roman"/>
          <w:bCs/>
          <w:sz w:val="24"/>
          <w:lang w:val="zh-CN"/>
        </w:rPr>
      </w:pPr>
      <w:r>
        <w:rPr>
          <w:rFonts w:hint="eastAsia" w:ascii="Times New Roman" w:hAnsi="Times New Roman" w:eastAsia="宋体" w:cs="Times New Roman"/>
          <w:bCs/>
          <w:sz w:val="24"/>
          <w:lang w:val="zh-CN"/>
        </w:rPr>
        <w:t>2</w:t>
      </w:r>
      <w:r>
        <w:rPr>
          <w:rFonts w:hint="eastAsia" w:ascii="Times New Roman" w:hAnsi="Times New Roman" w:eastAsia="宋体" w:cs="Times New Roman"/>
          <w:bCs/>
          <w:sz w:val="24"/>
        </w:rPr>
        <w:t xml:space="preserve"> </w:t>
      </w:r>
      <w:r>
        <w:rPr>
          <w:rFonts w:hint="eastAsia" w:ascii="Times New Roman" w:hAnsi="Times New Roman" w:eastAsia="宋体" w:cs="Times New Roman"/>
          <w:bCs/>
          <w:sz w:val="24"/>
          <w:lang w:val="zh-CN"/>
        </w:rPr>
        <w:t>当导排层选用土工复合排水网时，应根据地下水的渗流量，选择相应厚度的土工复合排水网。用于地下水导排的土工复合排水网应具有足够的抗拉强度和抗压强度。</w:t>
      </w:r>
    </w:p>
    <w:p w14:paraId="2910736C">
      <w:pPr>
        <w:spacing w:before="156" w:beforeLines="50" w:after="156" w:afterLines="50"/>
        <w:jc w:val="center"/>
        <w:outlineLvl w:val="1"/>
        <w:rPr>
          <w:rFonts w:asciiTheme="minorEastAsia" w:hAnsiTheme="minorEastAsia"/>
          <w:b/>
          <w:sz w:val="24"/>
        </w:rPr>
      </w:pPr>
      <w:bookmarkStart w:id="170" w:name="_Toc16704264"/>
      <w:bookmarkStart w:id="171" w:name="_Toc9530"/>
      <w:bookmarkStart w:id="172" w:name="_Toc21425584"/>
      <w:bookmarkStart w:id="173" w:name="_Toc484202155"/>
      <w:bookmarkStart w:id="174" w:name="_Toc450576777"/>
      <w:bookmarkStart w:id="175" w:name="_Toc484683894"/>
      <w:r>
        <w:rPr>
          <w:rFonts w:hint="eastAsia" w:asciiTheme="minorEastAsia" w:hAnsiTheme="minorEastAsia"/>
          <w:b/>
          <w:sz w:val="24"/>
        </w:rPr>
        <w:t>4.7 渗沥液调节池防渗</w:t>
      </w:r>
      <w:bookmarkEnd w:id="170"/>
      <w:bookmarkEnd w:id="171"/>
      <w:bookmarkEnd w:id="172"/>
      <w:bookmarkEnd w:id="173"/>
      <w:bookmarkEnd w:id="174"/>
      <w:bookmarkEnd w:id="175"/>
    </w:p>
    <w:p w14:paraId="7728D085">
      <w:pPr>
        <w:widowControl/>
        <w:numPr>
          <w:ilvl w:val="1"/>
          <w:numId w:val="3"/>
        </w:numPr>
        <w:jc w:val="left"/>
        <w:outlineLvl w:val="2"/>
        <w:rPr>
          <w:rFonts w:ascii="Times New Roman" w:hAnsi="Times New Roman" w:eastAsia="宋体" w:cs="Times New Roman"/>
          <w:bCs/>
          <w:vanish/>
          <w:sz w:val="24"/>
          <w:szCs w:val="21"/>
        </w:rPr>
      </w:pPr>
    </w:p>
    <w:p w14:paraId="73D479CC">
      <w:pPr>
        <w:widowControl/>
        <w:spacing w:line="360" w:lineRule="auto"/>
        <w:jc w:val="left"/>
        <w:outlineLvl w:val="2"/>
        <w:rPr>
          <w:rFonts w:ascii="Times New Roman" w:hAnsi="Times New Roman" w:eastAsia="宋体" w:cs="Times New Roman"/>
          <w:bCs/>
          <w:sz w:val="24"/>
          <w:szCs w:val="21"/>
        </w:rPr>
      </w:pPr>
      <w:r>
        <w:rPr>
          <w:rFonts w:hint="eastAsia" w:ascii="Times New Roman" w:hAnsi="Times New Roman" w:eastAsia="宋体" w:cs="Times New Roman"/>
          <w:sz w:val="24"/>
          <w:szCs w:val="21"/>
        </w:rPr>
        <w:t xml:space="preserve">4.7.1 </w:t>
      </w:r>
      <w:r>
        <w:rPr>
          <w:rFonts w:ascii="Times New Roman" w:hAnsi="Times New Roman" w:eastAsia="宋体" w:cs="Times New Roman"/>
          <w:sz w:val="24"/>
          <w:szCs w:val="21"/>
        </w:rPr>
        <w:t>渗沥液调节池可分为柔性调节池和刚性调节池，</w:t>
      </w:r>
      <w:r>
        <w:rPr>
          <w:rFonts w:hint="eastAsia" w:ascii="Times New Roman" w:hAnsi="Times New Roman" w:eastAsia="宋体" w:cs="Times New Roman"/>
          <w:sz w:val="24"/>
          <w:szCs w:val="21"/>
        </w:rPr>
        <w:t>调节池防渗要求应不低于填埋库区的防渗要求</w:t>
      </w:r>
      <w:r>
        <w:rPr>
          <w:rFonts w:ascii="Times New Roman" w:hAnsi="Times New Roman" w:eastAsia="宋体" w:cs="Times New Roman"/>
          <w:sz w:val="24"/>
          <w:szCs w:val="21"/>
        </w:rPr>
        <w:t>。调节池宜设置</w:t>
      </w:r>
      <w:r>
        <w:rPr>
          <w:rFonts w:hint="eastAsia" w:ascii="Times New Roman" w:hAnsi="Times New Roman" w:eastAsia="宋体" w:cs="Times New Roman"/>
          <w:sz w:val="24"/>
          <w:szCs w:val="21"/>
        </w:rPr>
        <w:t>在</w:t>
      </w:r>
      <w:r>
        <w:rPr>
          <w:rFonts w:ascii="Times New Roman" w:hAnsi="Times New Roman" w:eastAsia="宋体" w:cs="Times New Roman"/>
          <w:sz w:val="24"/>
          <w:szCs w:val="21"/>
        </w:rPr>
        <w:t>场区地势较低处，地下水位较低或岩层较浅的地区</w:t>
      </w:r>
      <w:r>
        <w:rPr>
          <w:rFonts w:hint="eastAsia" w:ascii="Times New Roman" w:hAnsi="Times New Roman" w:eastAsia="宋体" w:cs="Times New Roman"/>
          <w:sz w:val="24"/>
          <w:szCs w:val="21"/>
        </w:rPr>
        <w:t>，宜</w:t>
      </w:r>
      <w:r>
        <w:rPr>
          <w:rFonts w:ascii="Times New Roman" w:hAnsi="Times New Roman" w:eastAsia="宋体" w:cs="Times New Roman"/>
          <w:sz w:val="24"/>
          <w:szCs w:val="21"/>
        </w:rPr>
        <w:t>减少下挖深度。</w:t>
      </w:r>
    </w:p>
    <w:p w14:paraId="39516E23">
      <w:pPr>
        <w:widowControl/>
        <w:spacing w:line="360" w:lineRule="auto"/>
        <w:jc w:val="left"/>
        <w:outlineLvl w:val="2"/>
        <w:rPr>
          <w:rFonts w:ascii="Times New Roman" w:hAnsi="Times New Roman" w:eastAsia="宋体" w:cs="Times New Roman"/>
          <w:bCs/>
          <w:sz w:val="24"/>
          <w:szCs w:val="21"/>
        </w:rPr>
      </w:pPr>
      <w:bookmarkStart w:id="176" w:name="_Toc187"/>
      <w:bookmarkStart w:id="177" w:name="_Toc3650"/>
      <w:r>
        <w:rPr>
          <w:rFonts w:hint="eastAsia" w:ascii="Times New Roman" w:hAnsi="Times New Roman" w:eastAsia="宋体" w:cs="Times New Roman"/>
          <w:sz w:val="24"/>
          <w:szCs w:val="21"/>
        </w:rPr>
        <w:t xml:space="preserve">4.7.2 </w:t>
      </w:r>
      <w:r>
        <w:rPr>
          <w:rFonts w:ascii="Times New Roman" w:hAnsi="Times New Roman" w:eastAsia="宋体" w:cs="Times New Roman"/>
          <w:sz w:val="24"/>
          <w:szCs w:val="21"/>
        </w:rPr>
        <w:t>调节池</w:t>
      </w:r>
      <w:r>
        <w:rPr>
          <w:rFonts w:hint="eastAsia" w:ascii="Times New Roman" w:hAnsi="Times New Roman" w:eastAsia="宋体" w:cs="Times New Roman"/>
          <w:sz w:val="24"/>
          <w:szCs w:val="21"/>
        </w:rPr>
        <w:t>防渗设计应符合以下规定：</w:t>
      </w:r>
      <w:bookmarkEnd w:id="176"/>
      <w:bookmarkEnd w:id="177"/>
    </w:p>
    <w:p w14:paraId="03FB0544">
      <w:pPr>
        <w:spacing w:line="360" w:lineRule="auto"/>
        <w:ind w:firstLine="480" w:firstLineChars="200"/>
        <w:rPr>
          <w:rFonts w:ascii="Times New Roman" w:hAnsi="Times New Roman" w:eastAsia="宋体" w:cs="Times New Roman"/>
          <w:bCs/>
          <w:sz w:val="24"/>
          <w:lang w:val="zh-CN"/>
        </w:rPr>
      </w:pPr>
      <w:bookmarkStart w:id="178" w:name="_Toc18510"/>
      <w:bookmarkStart w:id="179" w:name="_Toc13548"/>
      <w:r>
        <w:rPr>
          <w:rFonts w:ascii="Times New Roman" w:hAnsi="Times New Roman" w:eastAsia="宋体" w:cs="Times New Roman"/>
          <w:bCs/>
          <w:sz w:val="24"/>
          <w:lang w:val="zh-CN"/>
        </w:rPr>
        <w:t>1 调节池容积应</w:t>
      </w:r>
      <w:r>
        <w:rPr>
          <w:rFonts w:hint="eastAsia" w:ascii="Times New Roman" w:hAnsi="Times New Roman" w:eastAsia="宋体" w:cs="Times New Roman"/>
          <w:bCs/>
          <w:sz w:val="24"/>
          <w:lang w:val="zh-CN"/>
        </w:rPr>
        <w:t>符合</w:t>
      </w:r>
      <w:r>
        <w:rPr>
          <w:rFonts w:ascii="Times New Roman" w:hAnsi="Times New Roman" w:eastAsia="宋体" w:cs="Times New Roman"/>
          <w:bCs/>
          <w:sz w:val="24"/>
          <w:lang w:val="zh-CN"/>
        </w:rPr>
        <w:t>渗沥液处理</w:t>
      </w:r>
      <w:r>
        <w:rPr>
          <w:rFonts w:hint="eastAsia" w:ascii="Times New Roman" w:hAnsi="Times New Roman" w:eastAsia="宋体" w:cs="Times New Roman"/>
          <w:bCs/>
          <w:sz w:val="24"/>
          <w:lang w:val="zh-CN"/>
        </w:rPr>
        <w:t>需求</w:t>
      </w:r>
      <w:r>
        <w:rPr>
          <w:rFonts w:ascii="Times New Roman" w:hAnsi="Times New Roman" w:eastAsia="宋体" w:cs="Times New Roman"/>
          <w:bCs/>
          <w:sz w:val="24"/>
          <w:lang w:val="zh-CN"/>
        </w:rPr>
        <w:t>；</w:t>
      </w:r>
      <w:bookmarkEnd w:id="178"/>
      <w:bookmarkEnd w:id="179"/>
    </w:p>
    <w:p w14:paraId="5005BF4B">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2 调节池可采用</w:t>
      </w:r>
      <w:r>
        <w:rPr>
          <w:rFonts w:hint="eastAsia" w:ascii="Times New Roman" w:hAnsi="Times New Roman" w:eastAsia="宋体" w:cs="Times New Roman"/>
          <w:sz w:val="24"/>
          <w:lang w:val="zh-CN"/>
        </w:rPr>
        <w:t>高密度聚乙烯</w:t>
      </w:r>
      <w:r>
        <w:rPr>
          <w:rFonts w:ascii="Times New Roman" w:hAnsi="Times New Roman" w:eastAsia="宋体" w:cs="Times New Roman"/>
          <w:bCs/>
          <w:sz w:val="24"/>
          <w:lang w:val="zh-CN"/>
        </w:rPr>
        <w:t>土工膜防渗结构，也可采用钢筋混凝土结构；</w:t>
      </w:r>
    </w:p>
    <w:p w14:paraId="078885ED">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 xml:space="preserve">3 </w:t>
      </w:r>
      <w:r>
        <w:rPr>
          <w:rFonts w:hint="eastAsia" w:ascii="Times New Roman" w:hAnsi="Times New Roman" w:eastAsia="宋体" w:cs="Times New Roman"/>
          <w:sz w:val="24"/>
          <w:lang w:val="zh-CN"/>
        </w:rPr>
        <w:t>高密度聚乙烯</w:t>
      </w:r>
      <w:r>
        <w:rPr>
          <w:rFonts w:ascii="Times New Roman" w:hAnsi="Times New Roman" w:eastAsia="宋体" w:cs="Times New Roman"/>
          <w:bCs/>
          <w:sz w:val="24"/>
          <w:lang w:val="zh-CN"/>
        </w:rPr>
        <w:t>土工膜防渗结构调节池的池坡比宜小于1：2；</w:t>
      </w:r>
    </w:p>
    <w:p w14:paraId="1B869B3C">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4 钢筋混凝土结构调节池池壁应作防腐蚀处理；</w:t>
      </w:r>
    </w:p>
    <w:p w14:paraId="15FE00E0">
      <w:pPr>
        <w:spacing w:line="360" w:lineRule="auto"/>
        <w:ind w:firstLine="480" w:firstLineChars="200"/>
        <w:rPr>
          <w:rFonts w:ascii="Times New Roman" w:hAnsi="Times New Roman" w:eastAsia="宋体" w:cs="Times New Roman"/>
          <w:bCs/>
          <w:sz w:val="24"/>
          <w:lang w:val="zh-CN"/>
        </w:rPr>
      </w:pPr>
      <w:r>
        <w:rPr>
          <w:rFonts w:ascii="Times New Roman" w:hAnsi="Times New Roman" w:eastAsia="宋体" w:cs="Times New Roman"/>
          <w:bCs/>
          <w:sz w:val="24"/>
          <w:lang w:val="zh-CN"/>
        </w:rPr>
        <w:t>5 调节池宜设置</w:t>
      </w:r>
      <w:r>
        <w:rPr>
          <w:rFonts w:hint="eastAsia" w:ascii="Times New Roman" w:hAnsi="Times New Roman" w:eastAsia="宋体" w:cs="Times New Roman"/>
          <w:sz w:val="24"/>
          <w:lang w:val="zh-CN"/>
        </w:rPr>
        <w:t>高密度聚乙烯</w:t>
      </w:r>
      <w:r>
        <w:rPr>
          <w:rFonts w:ascii="Times New Roman" w:hAnsi="Times New Roman" w:eastAsia="宋体" w:cs="Times New Roman"/>
          <w:bCs/>
          <w:sz w:val="24"/>
          <w:lang w:val="zh-CN"/>
        </w:rPr>
        <w:t>膜覆盖系统，覆盖系统设计应考虑覆盖膜顶面的雨水导排、膜下的沼气导排及池底污泥的清理。</w:t>
      </w:r>
    </w:p>
    <w:p w14:paraId="4C744E11">
      <w:pPr>
        <w:widowControl/>
        <w:spacing w:line="360" w:lineRule="auto"/>
        <w:jc w:val="left"/>
        <w:outlineLvl w:val="2"/>
        <w:rPr>
          <w:rFonts w:ascii="Times New Roman" w:hAnsi="Times New Roman" w:eastAsia="宋体" w:cs="Times New Roman"/>
          <w:sz w:val="24"/>
          <w:szCs w:val="21"/>
        </w:rPr>
      </w:pPr>
      <w:bookmarkStart w:id="180" w:name="OLE_LINK13"/>
      <w:r>
        <w:rPr>
          <w:rFonts w:hint="eastAsia" w:ascii="Times New Roman" w:hAnsi="Times New Roman" w:eastAsia="宋体" w:cs="Times New Roman"/>
          <w:sz w:val="24"/>
          <w:szCs w:val="21"/>
        </w:rPr>
        <w:t>4.7.3 柔性渗沥液调节池应采用双层防渗结构。刚性渗沥液调节池应满足抗渗要求。应选用具有防渗功能的钢筋混凝土结构，调节池内表面应采取防腐措施，抗渗等级应达到P8。</w:t>
      </w:r>
      <w:bookmarkEnd w:id="180"/>
    </w:p>
    <w:p w14:paraId="24E3C0F6">
      <w:pPr>
        <w:widowControl/>
        <w:spacing w:line="360" w:lineRule="auto"/>
        <w:jc w:val="left"/>
        <w:outlineLvl w:val="2"/>
        <w:rPr>
          <w:rFonts w:ascii="Times New Roman" w:hAnsi="Times New Roman" w:eastAsia="宋体" w:cs="Times New Roman"/>
          <w:sz w:val="24"/>
          <w:szCs w:val="21"/>
        </w:rPr>
      </w:pPr>
      <w:bookmarkStart w:id="181" w:name="_Toc7127"/>
      <w:bookmarkStart w:id="182" w:name="_Toc26818"/>
      <w:r>
        <w:rPr>
          <w:rFonts w:hint="eastAsia" w:ascii="Times New Roman" w:hAnsi="Times New Roman" w:eastAsia="宋体" w:cs="Times New Roman"/>
          <w:sz w:val="24"/>
          <w:szCs w:val="21"/>
        </w:rPr>
        <w:t>4.7.4 渗沥液调节池宜分区，以利于调节池清淤。</w:t>
      </w:r>
      <w:bookmarkEnd w:id="181"/>
      <w:bookmarkEnd w:id="182"/>
    </w:p>
    <w:p w14:paraId="506E6E97">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37956CCD">
      <w:pPr>
        <w:jc w:val="center"/>
        <w:outlineLvl w:val="0"/>
        <w:rPr>
          <w:rFonts w:ascii="黑体" w:hAnsi="黑体" w:eastAsia="黑体" w:cs="Times New Roman"/>
          <w:bCs/>
          <w:sz w:val="32"/>
          <w:szCs w:val="32"/>
        </w:rPr>
      </w:pPr>
      <w:bookmarkStart w:id="183" w:name="_Toc5579"/>
      <w:r>
        <w:rPr>
          <w:rFonts w:hint="eastAsia" w:ascii="黑体" w:hAnsi="黑体" w:eastAsia="黑体" w:cs="Times New Roman"/>
          <w:bCs/>
          <w:sz w:val="32"/>
          <w:szCs w:val="32"/>
        </w:rPr>
        <w:t>5  防渗系统工程施工</w:t>
      </w:r>
      <w:bookmarkEnd w:id="183"/>
    </w:p>
    <w:p w14:paraId="7A7BB50F">
      <w:pPr>
        <w:spacing w:before="156" w:beforeLines="50" w:after="156" w:afterLines="50"/>
        <w:jc w:val="center"/>
        <w:outlineLvl w:val="1"/>
        <w:rPr>
          <w:rFonts w:asciiTheme="minorEastAsia" w:hAnsiTheme="minorEastAsia"/>
          <w:b/>
          <w:sz w:val="24"/>
        </w:rPr>
      </w:pPr>
      <w:bookmarkStart w:id="184" w:name="_Toc7554"/>
      <w:r>
        <w:rPr>
          <w:rFonts w:hint="eastAsia" w:asciiTheme="minorEastAsia" w:hAnsiTheme="minorEastAsia"/>
          <w:b/>
          <w:sz w:val="24"/>
        </w:rPr>
        <w:t>5.1 一般规定</w:t>
      </w:r>
      <w:bookmarkEnd w:id="184"/>
    </w:p>
    <w:p w14:paraId="76DDF05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5.1.1 垃圾填埋场的防渗系统工程施工应包括基础层（土壤层）施工和各种防渗系统工程材料的施工。</w:t>
      </w:r>
    </w:p>
    <w:p w14:paraId="3B59349C">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5.1.2 防渗系统工程材料入场时应检验，应包装完好、标识清楚，厂家、场地、批次等信息清晰，性能检测报告、产品质量合格证等资料应齐全。</w:t>
      </w:r>
    </w:p>
    <w:p w14:paraId="68440EC6">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5.1.3 防渗系统工程材料应在现场进行抽样检查，并应专业机构进行检测。</w:t>
      </w:r>
    </w:p>
    <w:p w14:paraId="15F7B46C">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5.1.4 防渗系统工程材料和施工作业设备应在施工现场摆放整齐，并做好防护。</w:t>
      </w:r>
    </w:p>
    <w:p w14:paraId="5AD15BB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5.1.5 施工人员不应穿钉鞋等在土工合成材料上踩踏，车辆不应直接在土工合成材料上碾压。</w:t>
      </w:r>
    </w:p>
    <w:p w14:paraId="43DE97DF">
      <w:pPr>
        <w:widowControl/>
        <w:spacing w:line="360" w:lineRule="auto"/>
        <w:jc w:val="left"/>
        <w:outlineLvl w:val="2"/>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5.1.6 防渗系统工程各单项施工完成后应及时进行验收，并在下一阶段施工时对以前的工程予以保护。</w:t>
      </w:r>
    </w:p>
    <w:p w14:paraId="2CB76194">
      <w:pPr>
        <w:widowControl/>
        <w:spacing w:line="360" w:lineRule="auto"/>
        <w:jc w:val="left"/>
        <w:outlineLvl w:val="2"/>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5.1.7 防渗系统工程施工完成后，在填埋垃圾之前，应按现行行业标准《生活垃圾填埋场防渗土工膜渗漏破损探测技术规程》 CJJ/T 214的规定进行渗漏破损检测。</w:t>
      </w:r>
    </w:p>
    <w:p w14:paraId="12274129">
      <w:pPr>
        <w:spacing w:before="156" w:beforeLines="50" w:after="156" w:afterLines="50"/>
        <w:jc w:val="center"/>
        <w:outlineLvl w:val="1"/>
        <w:rPr>
          <w:rFonts w:asciiTheme="minorEastAsia" w:hAnsiTheme="minorEastAsia"/>
          <w:b/>
          <w:sz w:val="24"/>
        </w:rPr>
      </w:pPr>
      <w:bookmarkStart w:id="185" w:name="_Toc24729"/>
      <w:r>
        <w:rPr>
          <w:rFonts w:hint="eastAsia" w:asciiTheme="minorEastAsia" w:hAnsiTheme="minorEastAsia"/>
          <w:b/>
          <w:sz w:val="24"/>
        </w:rPr>
        <w:t>5.2 基础层施工</w:t>
      </w:r>
      <w:bookmarkEnd w:id="185"/>
    </w:p>
    <w:p w14:paraId="06FB85EF">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5.2.1 场底、边坡基础层、锚固平台及回填材料应平整、密实、无裂缝、无松土、无积水、无裸露泉眼，并应无明显凹凸不平， 以及无石头砖块、树根、杂草、淤泥、腐殖土等杂物，场底、边坡及锚固平台之间应过渡平缓。</w:t>
      </w:r>
    </w:p>
    <w:p w14:paraId="7A4DD299">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5.2.2 基础层平整度应达到±20mm, 边坡基础层不应出现凹面。</w:t>
      </w:r>
    </w:p>
    <w:p w14:paraId="1695414E">
      <w:pPr>
        <w:widowControl/>
        <w:spacing w:line="360" w:lineRule="auto"/>
        <w:jc w:val="left"/>
        <w:outlineLvl w:val="2"/>
        <w:rPr>
          <w:rFonts w:ascii="Times New Roman" w:hAnsi="Times New Roman" w:eastAsia="宋体" w:cs="Times New Roman"/>
          <w:sz w:val="24"/>
          <w:szCs w:val="21"/>
          <w:highlight w:val="yellow"/>
        </w:rPr>
      </w:pPr>
      <w:r>
        <w:rPr>
          <w:rFonts w:hint="eastAsia" w:ascii="Times New Roman" w:hAnsi="Times New Roman" w:eastAsia="宋体" w:cs="Times New Roman"/>
          <w:sz w:val="24"/>
          <w:szCs w:val="21"/>
        </w:rPr>
        <w:t>5.2.3 场底和边坡基础层按每500m²取一个点检测密实度，合格率应为100%；锚固沟回填土应按每50m取一个点检测密实度，合格率应为100%。</w:t>
      </w:r>
    </w:p>
    <w:p w14:paraId="76F6FB6A">
      <w:pPr>
        <w:spacing w:before="156" w:beforeLines="50" w:after="156" w:afterLines="50"/>
        <w:jc w:val="center"/>
        <w:outlineLvl w:val="1"/>
        <w:rPr>
          <w:rFonts w:asciiTheme="minorEastAsia" w:hAnsiTheme="minorEastAsia"/>
          <w:b/>
          <w:sz w:val="24"/>
        </w:rPr>
      </w:pPr>
      <w:bookmarkStart w:id="186" w:name="_Toc6101"/>
      <w:r>
        <w:rPr>
          <w:rFonts w:hint="eastAsia" w:asciiTheme="minorEastAsia" w:hAnsiTheme="minorEastAsia"/>
          <w:b/>
          <w:sz w:val="24"/>
        </w:rPr>
        <w:t>5.3 压实黏土防渗层施工</w:t>
      </w:r>
      <w:bookmarkEnd w:id="186"/>
    </w:p>
    <w:p w14:paraId="7C18068B">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5.3.1 压实黏土防渗层应选择细粒土含量高、砂砾土含量低的土料，并应符合本标准第3.1.1条的规定。</w:t>
      </w:r>
    </w:p>
    <w:p w14:paraId="40BFF835">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5.3.2 压实黏土防渗层施工时应严格控制含水率和干密度，以达到防渗和抗剪强度要求。应按照现行国家标准《土工试验方法标准》GB/T 50123的规定进行击实试验，并应绘制含水率和干密度图，确定所有满足饱和渗透系数要求的范围。</w:t>
      </w:r>
    </w:p>
    <w:p w14:paraId="1FA1F0E2">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5.3.3 压实黏土层应分层压实。施工时宜采用无振动的羊足碾分层压实，每层压实土层的厚度宜按150mm控制，各层之间应紧密结合。</w:t>
      </w:r>
    </w:p>
    <w:p w14:paraId="22A2C999">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5.3.4 压实黏土防渗层施工及质量控制应符合现行行业标准 《生活垃圾卫生填埋场岩土工程技术规范》CJJ 176的有关规定。</w:t>
      </w:r>
    </w:p>
    <w:p w14:paraId="5A1CAE99">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5.3.5 当压实黏土层施工时，各层压实土层应每500m²取 3个～5个样品进行压实度测试。</w:t>
      </w:r>
    </w:p>
    <w:p w14:paraId="19631061">
      <w:pPr>
        <w:spacing w:before="156" w:beforeLines="50" w:after="156" w:afterLines="50"/>
        <w:jc w:val="center"/>
        <w:outlineLvl w:val="1"/>
        <w:rPr>
          <w:rFonts w:asciiTheme="minorEastAsia" w:hAnsiTheme="minorEastAsia"/>
          <w:b/>
          <w:sz w:val="24"/>
        </w:rPr>
      </w:pPr>
      <w:bookmarkStart w:id="187" w:name="_Toc778"/>
      <w:r>
        <w:rPr>
          <w:rFonts w:hint="eastAsia" w:asciiTheme="minorEastAsia" w:hAnsiTheme="minorEastAsia"/>
          <w:b/>
          <w:sz w:val="24"/>
        </w:rPr>
        <w:t>5.4 高密度聚乙烯土工膜铺设</w:t>
      </w:r>
      <w:bookmarkEnd w:id="187"/>
    </w:p>
    <w:p w14:paraId="08782931">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5.4.1 高密度聚乙烯土工膜材料在填埋场应妥善贮存，应在施工前进行尺寸、外观和物理性能检查，检查应符合下列规定：</w:t>
      </w:r>
    </w:p>
    <w:p w14:paraId="04D0E903">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尺寸偏差和外观检查应每10000m²为一批，不足10000m²按一批计。在每批产品中随机抽取3卷进行尺寸偏差和外观检查；膜的外观应符合本标准第4.2.3条的规定。高密度聚乙烯土工膜的检测频率宜保证每一批次高密度聚乙烯土工膜至少取一个样，同一批次高密度聚乙烯土工膜宜按每50000m²增加一个取样。</w:t>
      </w:r>
    </w:p>
    <w:p w14:paraId="5D87D202">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主要物理性能指标检验应在尺寸偏差和外观检查合格的样品中任取一卷，在距外层端部500mm处裁取5m²进行主要物理性能指标检验。当有一项指标不符合要求，应加倍取样检测，仍有一项指标不合格，应认定整批材料不合格。</w:t>
      </w:r>
    </w:p>
    <w:p w14:paraId="3E90803A">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5.4.2 高密度聚乙烯土工膜铺设应合理规划，应标明膜片在总平面图中的铺设位置。</w:t>
      </w:r>
    </w:p>
    <w:p w14:paraId="48940151">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5.4.3 高密度聚乙烯土工膜铺设应符合下列规定：</w:t>
      </w:r>
    </w:p>
    <w:p w14:paraId="71036EDE">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应选择合适的天气施工，高密度聚乙烯土工膜的每日铺设量不应超过一个工作日能完成的焊接量；</w:t>
      </w:r>
    </w:p>
    <w:p w14:paraId="2BC130D0">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在安装高密度聚乙烯土工膜之前，应检查膜下保护层的平整度达到铺设的要求；</w:t>
      </w:r>
    </w:p>
    <w:p w14:paraId="2D7A6046">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铺设应一次展开到位，不宜展开后再拖动；</w:t>
      </w:r>
    </w:p>
    <w:p w14:paraId="4ACC268F">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4 应为材料热胀冷缩导致的尺寸变化留出伸缩量；</w:t>
      </w:r>
    </w:p>
    <w:p w14:paraId="14F02095">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5 应对膜下保护层采取适当的防水、排水措施；</w:t>
      </w:r>
    </w:p>
    <w:p w14:paraId="5B1EA56E">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6 应采取措施防止高密度聚乙烯土工膜受风力影响而破坏。</w:t>
      </w:r>
    </w:p>
    <w:p w14:paraId="41BD5ABB">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5.4.4 高密度聚乙烯土工膜展开完成后，应及时焊接，搭接应良好，高密度聚乙烯土工膜的搭接宽度应符合本标准表5.8.2的规定。高密度聚乙烯土工膜应无明显损伤、无褶皱、无隆起、无悬空现象。边坡上的接缝应与坡面的坡向平行，场底横向接缝坡脚应大于1.5m。边坡与库底封边、边坡转角处焊接应在早上或傍晚气温相对最低时焊接，焊接时搭接宽度应大于焊接设备允许的最大搭接宽度50-80mm，避免该部位因膜张拉过紧造成后期破坏隐患。</w:t>
      </w:r>
    </w:p>
    <w:p w14:paraId="184E95BF">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5.4.5 高密度聚乙烯土工膜铺设展开过程应按照本标准附录A的要求填写有关记录，焊接施工应按本标准附录B表B.0.1～表 B.0.3的要求填写有关记录。</w:t>
      </w:r>
    </w:p>
    <w:p w14:paraId="19D383C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5.4.6 高密度聚乙烯土工膜在长焊缝焊接时应采用双轨焊接，单轨焊接仅用于修补和加强。</w:t>
      </w:r>
    </w:p>
    <w:p w14:paraId="62721B8A">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5.4.7 高密度聚乙烯土工膜焊接、检测和修补记录标识应明显、清楚，焊缝表面应整齐、美观，不得有裂纹、气孔、漏焊和虚焊现象。高密度聚乙烯土工膜焊接质量检测应符合下列规定：</w:t>
      </w:r>
    </w:p>
    <w:p w14:paraId="4E975F37">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对热熔焊接每条焊缝应进行气压检测，合格率应为100%；</w:t>
      </w:r>
    </w:p>
    <w:p w14:paraId="202C91E8">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对挤压焊接每条焊缝应进行真空检测，合格率应为100%；</w:t>
      </w:r>
    </w:p>
    <w:p w14:paraId="68E62B59">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焊缝破坏性检测，按每1000m焊缝取一个1000mm× 350mm样品做强度测试，合格率应为100%；</w:t>
      </w:r>
    </w:p>
    <w:p w14:paraId="6119ECC4">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4 气压、真空和破坏性检测及电火花测试方法应符合本标准附录C的规定。</w:t>
      </w:r>
    </w:p>
    <w:p w14:paraId="3A9D0993">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5.4.8 </w:t>
      </w:r>
      <w:bookmarkStart w:id="188" w:name="OLE_LINK14"/>
      <w:r>
        <w:rPr>
          <w:rFonts w:hint="eastAsia" w:ascii="Times New Roman" w:hAnsi="Times New Roman" w:eastAsia="宋体" w:cs="Times New Roman"/>
          <w:sz w:val="24"/>
          <w:szCs w:val="21"/>
        </w:rPr>
        <w:t>高密度聚乙烯土工膜</w:t>
      </w:r>
      <w:bookmarkEnd w:id="188"/>
      <w:r>
        <w:rPr>
          <w:rFonts w:hint="eastAsia" w:ascii="Times New Roman" w:hAnsi="Times New Roman" w:eastAsia="宋体" w:cs="Times New Roman"/>
          <w:sz w:val="24"/>
          <w:szCs w:val="21"/>
        </w:rPr>
        <w:t>铺设过程中应进行搭接宽度和焊缝质量控制。</w:t>
      </w:r>
    </w:p>
    <w:p w14:paraId="3585153C">
      <w:pPr>
        <w:widowControl/>
        <w:spacing w:line="360" w:lineRule="auto"/>
        <w:jc w:val="left"/>
        <w:outlineLvl w:val="2"/>
        <w:rPr>
          <w:rFonts w:ascii="Times New Roman" w:hAnsi="Times New Roman" w:eastAsia="宋体" w:cs="Times New Roman"/>
          <w:color w:val="FF0000"/>
          <w:sz w:val="24"/>
          <w:szCs w:val="21"/>
        </w:rPr>
      </w:pPr>
      <w:r>
        <w:rPr>
          <w:rFonts w:hint="eastAsia" w:ascii="Times New Roman" w:hAnsi="Times New Roman" w:eastAsia="宋体" w:cs="Times New Roman"/>
          <w:sz w:val="24"/>
          <w:szCs w:val="21"/>
        </w:rPr>
        <w:t>5.4.9 高密度聚乙烯土工膜施工工序质量检测评定，应按本标准附录D的要求填写有关记录。</w:t>
      </w:r>
    </w:p>
    <w:p w14:paraId="4D8C678D">
      <w:pPr>
        <w:spacing w:before="156" w:beforeLines="50" w:after="156" w:afterLines="50"/>
        <w:jc w:val="center"/>
        <w:outlineLvl w:val="1"/>
        <w:rPr>
          <w:rFonts w:asciiTheme="minorEastAsia" w:hAnsiTheme="minorEastAsia"/>
          <w:b/>
          <w:sz w:val="24"/>
        </w:rPr>
      </w:pPr>
      <w:bookmarkStart w:id="189" w:name="_Toc5980"/>
      <w:r>
        <w:rPr>
          <w:rFonts w:hint="eastAsia" w:asciiTheme="minorEastAsia" w:hAnsiTheme="minorEastAsia"/>
          <w:b/>
          <w:sz w:val="24"/>
        </w:rPr>
        <w:t>5.5 土工布铺设</w:t>
      </w:r>
      <w:bookmarkEnd w:id="189"/>
    </w:p>
    <w:p w14:paraId="1E6D746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5.5.1 土工布应铺设平顺，无破损、无褶皱、无跳针、无漏接现象，不得有石块、土块、水和过多的灰尘进入土工布。</w:t>
      </w:r>
    </w:p>
    <w:p w14:paraId="68164CC8">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5.5.2 土工布搭接宽度应符合本标准第5.8.2条的规定。</w:t>
      </w:r>
    </w:p>
    <w:p w14:paraId="3A8C808E">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5.5.3 土工布缝合应采用双线缝合。用于土工布缝合的线应为小张力大于60N的树脂线，并应具有不低于土工布的抗化学腐蚀和抗紫外线能力。当非织造土工布采用热粘连接时，应使搭接宽度范围内的重叠部分全部粘结。</w:t>
      </w:r>
    </w:p>
    <w:p w14:paraId="3B2C90A4">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5.5.4 边坡上的土工布施工，应预先将土工布锚固在锚固沟内，再沿斜坡向下铺放，土工布不得折叠，不得打皱。土工布在边坡上的铺设方向应与坡面一致，在坡面上宜整卷铺设，不宜有水平接缝。</w:t>
      </w:r>
    </w:p>
    <w:p w14:paraId="37B5C13D">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5.5.5 土工布每200m接缝取一个样检测搭接效果，合格率应为95%。</w:t>
      </w:r>
    </w:p>
    <w:p w14:paraId="52C31CF2">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5.5.6 土工布上如果有裂缝和孔洞，应使用相同规格材料进行修补，修补范围应大于破损处周边300mm。</w:t>
      </w:r>
    </w:p>
    <w:p w14:paraId="223A5D50">
      <w:pPr>
        <w:spacing w:before="156" w:beforeLines="50" w:after="156" w:afterLines="50"/>
        <w:jc w:val="center"/>
        <w:outlineLvl w:val="1"/>
        <w:rPr>
          <w:rFonts w:asciiTheme="minorEastAsia" w:hAnsiTheme="minorEastAsia"/>
          <w:b/>
          <w:sz w:val="24"/>
        </w:rPr>
      </w:pPr>
      <w:bookmarkStart w:id="190" w:name="_Toc32388"/>
      <w:r>
        <w:rPr>
          <w:rFonts w:hint="eastAsia" w:asciiTheme="minorEastAsia" w:hAnsiTheme="minorEastAsia"/>
          <w:b/>
          <w:sz w:val="24"/>
        </w:rPr>
        <w:t>5.6 膨润土防水毯铺设</w:t>
      </w:r>
      <w:bookmarkEnd w:id="190"/>
    </w:p>
    <w:p w14:paraId="341A8108">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5.6.1 膨润土防水毯贮存应防水和防潮，并应避免曝晒、直立与弯曲。</w:t>
      </w:r>
    </w:p>
    <w:p w14:paraId="77D4E7DE">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5.6.2 膨润土防水毯不应在雨雪天气下施工。</w:t>
      </w:r>
    </w:p>
    <w:p w14:paraId="3DD0394B">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5.6.3 膨润土防水毯施工应符合下列规定：</w:t>
      </w:r>
    </w:p>
    <w:p w14:paraId="7832BFA5">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应自然与基础层贴实，不应折皱、悬空；</w:t>
      </w:r>
    </w:p>
    <w:p w14:paraId="4DEF0F22">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应以品字形分布，不得出现十字搭接；</w:t>
      </w:r>
    </w:p>
    <w:p w14:paraId="67245E4C">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边坡施工应沿坡面铺展，边坡不应存在水平搭接。</w:t>
      </w:r>
    </w:p>
    <w:p w14:paraId="7942665E">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5.6.4 施工时，卷材宜绕在刚性轴上，借挖土机、装载机结合专用框架起吊铺设，应铺放平整无折皱，不得在地上拖拉，不得直接在其上行车；当边坡铺设膨润土防水毯时，严禁沿边坡向下自由滚落铺设。坡顶处材料应埋入锚固沟锚固。</w:t>
      </w:r>
    </w:p>
    <w:p w14:paraId="035E1F69">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5.6.5 膨润土防水毯的连接应符合下列规定：</w:t>
      </w:r>
    </w:p>
    <w:p w14:paraId="4CE7AAFA">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现场铺设的连接应采用搭接。搭接膨润土防水毯应在下层膨润土防水毯的边缘150mm 处撒上膨润土粉状密封剂，其宽度宜为50mm,  重量宜为0.5kg/m。当膨润土防水毯材料的一面为土工膜时，应焊接。</w:t>
      </w:r>
    </w:p>
    <w:p w14:paraId="6E971C9F">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膨润土防水毯及其搭接部位应与基础层贴实且无折皱和悬空。</w:t>
      </w:r>
    </w:p>
    <w:p w14:paraId="3631FDDE">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搭接宽度应符合本标准表5.8.2的规定。</w:t>
      </w:r>
    </w:p>
    <w:p w14:paraId="36E4FC19">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4 局部可用钠基膨润土粉密封。</w:t>
      </w:r>
    </w:p>
    <w:p w14:paraId="09A82BBE">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5 坡面铺设完成后，应在底面留下不少于2m 的膨润土防水毯余量。</w:t>
      </w:r>
    </w:p>
    <w:p w14:paraId="13A2D7A4">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5.6.6 膨润土防水毯铺设应随时检查外观有无缺陷，当发现缺陷时，应及时采取修补措施，修补范围宜大于破损范围300mm。 膨润土防水毯如有撕裂等损伤应全部更换。</w:t>
      </w:r>
    </w:p>
    <w:p w14:paraId="69376A38">
      <w:pPr>
        <w:widowControl/>
        <w:spacing w:line="360" w:lineRule="auto"/>
        <w:jc w:val="left"/>
        <w:outlineLvl w:val="2"/>
        <w:rPr>
          <w:rFonts w:ascii="Times New Roman" w:hAnsi="Times New Roman" w:eastAsia="宋体" w:cs="Times New Roman"/>
          <w:sz w:val="24"/>
          <w:szCs w:val="21"/>
        </w:rPr>
      </w:pPr>
      <w:bookmarkStart w:id="191" w:name="OLE_LINK22"/>
      <w:bookmarkStart w:id="192" w:name="OLE_LINK15"/>
      <w:r>
        <w:rPr>
          <w:rFonts w:hint="eastAsia" w:ascii="Times New Roman" w:hAnsi="Times New Roman" w:eastAsia="宋体" w:cs="Times New Roman"/>
          <w:sz w:val="24"/>
          <w:szCs w:val="21"/>
        </w:rPr>
        <w:t xml:space="preserve">5.6.7 </w:t>
      </w:r>
      <w:bookmarkEnd w:id="191"/>
      <w:r>
        <w:rPr>
          <w:rFonts w:hint="eastAsia" w:ascii="Times New Roman" w:hAnsi="Times New Roman" w:eastAsia="宋体" w:cs="Times New Roman"/>
          <w:sz w:val="24"/>
          <w:szCs w:val="21"/>
        </w:rPr>
        <w:t>膨润土防水毯</w:t>
      </w:r>
      <w:bookmarkEnd w:id="192"/>
      <w:r>
        <w:rPr>
          <w:rFonts w:hint="eastAsia" w:ascii="Times New Roman" w:hAnsi="Times New Roman" w:eastAsia="宋体" w:cs="Times New Roman"/>
          <w:sz w:val="24"/>
          <w:szCs w:val="21"/>
        </w:rPr>
        <w:t>在管道或构筑立柱等特殊部位施工，应加强处理；遇有贯穿物或与结构物连接处，膨润土防水毯与周边接触处应密闭。</w:t>
      </w:r>
    </w:p>
    <w:p w14:paraId="0DF2D6AA">
      <w:pPr>
        <w:widowControl/>
        <w:spacing w:line="360" w:lineRule="auto"/>
        <w:jc w:val="left"/>
        <w:outlineLvl w:val="2"/>
        <w:rPr>
          <w:rFonts w:ascii="Times New Roman" w:hAnsi="Times New Roman" w:eastAsia="宋体" w:cs="Times New Roman"/>
          <w:color w:val="auto"/>
          <w:sz w:val="24"/>
          <w:szCs w:val="21"/>
        </w:rPr>
      </w:pPr>
      <w:bookmarkStart w:id="193" w:name="OLE_LINK17"/>
      <w:r>
        <w:rPr>
          <w:rFonts w:hint="eastAsia" w:ascii="Times New Roman" w:hAnsi="Times New Roman" w:eastAsia="宋体" w:cs="Times New Roman"/>
          <w:color w:val="auto"/>
          <w:sz w:val="24"/>
          <w:szCs w:val="21"/>
        </w:rPr>
        <w:t>5.6.8</w:t>
      </w:r>
      <w:bookmarkEnd w:id="193"/>
      <w:r>
        <w:rPr>
          <w:rFonts w:hint="eastAsia" w:ascii="Times New Roman" w:hAnsi="Times New Roman" w:eastAsia="宋体" w:cs="Times New Roman"/>
          <w:color w:val="auto"/>
          <w:sz w:val="24"/>
          <w:szCs w:val="21"/>
        </w:rPr>
        <w:t xml:space="preserve"> 贯通物处的膨润土防水毯铺设应符合节点设计及下列要求：</w:t>
      </w:r>
    </w:p>
    <w:p w14:paraId="3821F5F3">
      <w:pPr>
        <w:widowControl/>
        <w:spacing w:line="360" w:lineRule="auto"/>
        <w:ind w:firstLine="480" w:firstLineChars="200"/>
        <w:jc w:val="left"/>
        <w:rPr>
          <w:rFonts w:ascii="Times New Roman" w:hAnsi="Times New Roman" w:eastAsia="宋体" w:cs="Times New Roman"/>
          <w:color w:val="auto"/>
          <w:sz w:val="24"/>
          <w:szCs w:val="21"/>
        </w:rPr>
      </w:pPr>
      <w:bookmarkStart w:id="194" w:name="_Toc6375"/>
      <w:r>
        <w:rPr>
          <w:rFonts w:hint="eastAsia" w:ascii="Times New Roman" w:hAnsi="Times New Roman" w:eastAsia="宋体" w:cs="Times New Roman"/>
          <w:color w:val="auto"/>
          <w:sz w:val="24"/>
          <w:szCs w:val="21"/>
        </w:rPr>
        <w:t>1 应在贯通物周边500mm内铺设双层膨润土防水毯；</w:t>
      </w:r>
      <w:bookmarkEnd w:id="194"/>
    </w:p>
    <w:p w14:paraId="09E53BFB">
      <w:pPr>
        <w:widowControl/>
        <w:spacing w:line="360" w:lineRule="auto"/>
        <w:ind w:firstLine="480" w:firstLineChars="200"/>
        <w:jc w:val="left"/>
        <w:rPr>
          <w:rFonts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2 膨润土防水毯与贯通物的接触部位应紧密包裹，包裹长度不应小于200mm；</w:t>
      </w:r>
    </w:p>
    <w:p w14:paraId="3A3AB159">
      <w:pPr>
        <w:widowControl/>
        <w:spacing w:line="360" w:lineRule="auto"/>
        <w:ind w:firstLine="480" w:firstLineChars="200"/>
        <w:jc w:val="left"/>
        <w:rPr>
          <w:rFonts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3 垂直贯通物上下两层膨润土防水毯中间用膨润土填充，宽度和高度均不应小于200mm，上层膨润土防水毯与下层膨润土防水毯边缘之间应按搭接处理，见图</w:t>
      </w:r>
      <w:bookmarkStart w:id="195" w:name="OLE_LINK21"/>
      <w:r>
        <w:rPr>
          <w:rFonts w:hint="eastAsia" w:ascii="Times New Roman" w:hAnsi="Times New Roman" w:eastAsia="宋体" w:cs="Times New Roman"/>
          <w:color w:val="auto"/>
          <w:sz w:val="24"/>
          <w:szCs w:val="21"/>
        </w:rPr>
        <w:t>5.6.8-1</w:t>
      </w:r>
      <w:bookmarkEnd w:id="195"/>
      <w:r>
        <w:rPr>
          <w:rFonts w:hint="eastAsia" w:ascii="Times New Roman" w:hAnsi="Times New Roman" w:eastAsia="宋体" w:cs="Times New Roman"/>
          <w:color w:val="auto"/>
          <w:sz w:val="24"/>
          <w:szCs w:val="21"/>
        </w:rPr>
        <w:t>；</w:t>
      </w:r>
    </w:p>
    <w:p w14:paraId="78B280C4">
      <w:pPr>
        <w:widowControl/>
        <w:spacing w:line="360" w:lineRule="auto"/>
        <w:ind w:firstLine="480" w:firstLineChars="200"/>
        <w:jc w:val="left"/>
        <w:rPr>
          <w:rFonts w:ascii="Times New Roman" w:hAnsi="Times New Roman" w:eastAsia="宋体" w:cs="Times New Roman"/>
          <w:sz w:val="24"/>
          <w:szCs w:val="21"/>
        </w:rPr>
      </w:pPr>
    </w:p>
    <w:p w14:paraId="7302CC72">
      <w:pPr>
        <w:widowControl/>
        <w:spacing w:line="360" w:lineRule="auto"/>
        <w:jc w:val="center"/>
        <w:rPr>
          <w:rFonts w:ascii="Times New Roman" w:hAnsi="Times New Roman" w:eastAsia="宋体" w:cs="Times New Roman"/>
          <w:sz w:val="24"/>
          <w:szCs w:val="21"/>
        </w:rPr>
      </w:pPr>
      <w:r>
        <w:drawing>
          <wp:inline distT="0" distB="0" distL="114300" distR="114300">
            <wp:extent cx="4922520" cy="255460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922520" cy="2554605"/>
                    </a:xfrm>
                    <a:prstGeom prst="rect">
                      <a:avLst/>
                    </a:prstGeom>
                    <a:noFill/>
                    <a:ln>
                      <a:noFill/>
                    </a:ln>
                  </pic:spPr>
                </pic:pic>
              </a:graphicData>
            </a:graphic>
          </wp:inline>
        </w:drawing>
      </w:r>
    </w:p>
    <w:p w14:paraId="4D6A2B52">
      <w:pPr>
        <w:widowControl/>
        <w:spacing w:line="360" w:lineRule="auto"/>
        <w:ind w:firstLine="422" w:firstLineChars="200"/>
        <w:jc w:val="center"/>
        <w:rPr>
          <w:rFonts w:ascii="Times New Roman" w:hAnsi="Times New Roman" w:eastAsia="宋体" w:cs="Times New Roman"/>
          <w:b/>
          <w:szCs w:val="21"/>
        </w:rPr>
      </w:pPr>
      <w:r>
        <w:rPr>
          <w:rFonts w:hint="eastAsia" w:ascii="Times New Roman" w:hAnsi="Times New Roman" w:eastAsia="宋体" w:cs="Times New Roman"/>
          <w:b/>
          <w:szCs w:val="21"/>
        </w:rPr>
        <w:t>图</w:t>
      </w:r>
      <w:bookmarkStart w:id="196" w:name="OLE_LINK20"/>
      <w:r>
        <w:rPr>
          <w:rFonts w:hint="eastAsia" w:ascii="Times New Roman" w:hAnsi="Times New Roman" w:eastAsia="宋体" w:cs="Times New Roman"/>
          <w:b/>
          <w:szCs w:val="21"/>
        </w:rPr>
        <w:t>5.6.8-1</w:t>
      </w:r>
      <w:bookmarkEnd w:id="196"/>
      <w:r>
        <w:rPr>
          <w:rFonts w:hint="eastAsia" w:ascii="Times New Roman" w:hAnsi="Times New Roman" w:eastAsia="宋体" w:cs="Times New Roman"/>
          <w:b/>
          <w:szCs w:val="21"/>
        </w:rPr>
        <w:t xml:space="preserve">  垂直方向贯通物防渗示意图</w:t>
      </w:r>
    </w:p>
    <w:p w14:paraId="7D0CD701">
      <w:pPr>
        <w:widowControl/>
        <w:spacing w:line="360" w:lineRule="auto"/>
        <w:ind w:firstLine="420" w:firstLineChars="200"/>
        <w:jc w:val="center"/>
        <w:rPr>
          <w:rFonts w:ascii="Times New Roman" w:hAnsi="Times New Roman" w:eastAsia="宋体" w:cs="Times New Roman"/>
          <w:szCs w:val="21"/>
        </w:rPr>
      </w:pPr>
      <w:r>
        <w:rPr>
          <w:rFonts w:hint="eastAsia" w:ascii="Times New Roman" w:hAnsi="Times New Roman" w:eastAsia="宋体" w:cs="Times New Roman"/>
          <w:szCs w:val="21"/>
        </w:rPr>
        <w:t>注：</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膨润土防水毯</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绳材缠绕或钢紧固</w:t>
      </w:r>
      <w:r>
        <w:rPr>
          <w:rFonts w:hint="eastAsia" w:ascii="Times New Roman" w:hAnsi="Times New Roman" w:eastAsia="宋体" w:cs="Times New Roman"/>
          <w:szCs w:val="21"/>
        </w:rPr>
        <w:t>；</w:t>
      </w:r>
      <w:r>
        <w:rPr>
          <w:rFonts w:ascii="Times New Roman" w:hAnsi="Times New Roman" w:eastAsia="宋体" w:cs="Times New Roman"/>
          <w:szCs w:val="21"/>
        </w:rPr>
        <w:t>3-保护层</w:t>
      </w:r>
      <w:r>
        <w:rPr>
          <w:rFonts w:hint="eastAsia" w:ascii="Times New Roman" w:hAnsi="Times New Roman" w:eastAsia="宋体" w:cs="Times New Roman"/>
          <w:szCs w:val="21"/>
        </w:rPr>
        <w:t>；</w:t>
      </w:r>
      <w:r>
        <w:rPr>
          <w:rFonts w:ascii="Times New Roman" w:hAnsi="Times New Roman" w:eastAsia="宋体" w:cs="Times New Roman"/>
          <w:szCs w:val="21"/>
        </w:rPr>
        <w:t>4-膨润土</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贯通物</w:t>
      </w:r>
    </w:p>
    <w:p w14:paraId="70A148FB">
      <w:pPr>
        <w:widowControl/>
        <w:spacing w:line="360" w:lineRule="auto"/>
        <w:jc w:val="center"/>
        <w:rPr>
          <w:rFonts w:ascii="Times New Roman" w:hAnsi="Times New Roman" w:eastAsia="宋体" w:cs="Times New Roman"/>
          <w:sz w:val="24"/>
          <w:szCs w:val="21"/>
        </w:rPr>
      </w:pPr>
      <w:r>
        <w:drawing>
          <wp:inline distT="0" distB="0" distL="114300" distR="114300">
            <wp:extent cx="4368800" cy="3093720"/>
            <wp:effectExtent l="0" t="0" r="508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4368800" cy="3093720"/>
                    </a:xfrm>
                    <a:prstGeom prst="rect">
                      <a:avLst/>
                    </a:prstGeom>
                    <a:noFill/>
                    <a:ln>
                      <a:noFill/>
                    </a:ln>
                  </pic:spPr>
                </pic:pic>
              </a:graphicData>
            </a:graphic>
          </wp:inline>
        </w:drawing>
      </w:r>
    </w:p>
    <w:p w14:paraId="7679BCB1">
      <w:pPr>
        <w:widowControl/>
        <w:spacing w:line="360" w:lineRule="auto"/>
        <w:ind w:firstLine="422" w:firstLineChars="200"/>
        <w:jc w:val="center"/>
        <w:rPr>
          <w:rFonts w:ascii="Times New Roman" w:hAnsi="Times New Roman" w:eastAsia="宋体" w:cs="Times New Roman"/>
          <w:b/>
          <w:sz w:val="24"/>
        </w:rPr>
      </w:pPr>
      <w:r>
        <w:rPr>
          <w:rFonts w:hint="eastAsia" w:ascii="Times New Roman" w:hAnsi="Times New Roman" w:eastAsia="宋体" w:cs="Times New Roman"/>
          <w:b/>
          <w:szCs w:val="21"/>
        </w:rPr>
        <w:t>图5.6.8-2  水平方向贯通物防渗示意图</w:t>
      </w:r>
    </w:p>
    <w:p w14:paraId="3748C7B7">
      <w:pPr>
        <w:widowControl/>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Cs w:val="21"/>
        </w:rPr>
        <w:t>注：</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膨润土</w:t>
      </w:r>
      <w:r>
        <w:rPr>
          <w:rFonts w:hint="eastAsia" w:ascii="Times New Roman" w:hAnsi="Times New Roman" w:eastAsia="宋体" w:cs="Times New Roman"/>
          <w:szCs w:val="21"/>
        </w:rPr>
        <w:t>粉或膨润土胶泥；2-</w:t>
      </w:r>
      <w:r>
        <w:rPr>
          <w:rFonts w:ascii="Times New Roman" w:hAnsi="Times New Roman" w:eastAsia="宋体" w:cs="Times New Roman"/>
          <w:szCs w:val="21"/>
        </w:rPr>
        <w:t>膨润土防水毯</w:t>
      </w:r>
      <w:r>
        <w:rPr>
          <w:rFonts w:hint="eastAsia" w:ascii="Times New Roman" w:hAnsi="Times New Roman" w:eastAsia="宋体" w:cs="Times New Roman"/>
          <w:szCs w:val="21"/>
        </w:rPr>
        <w:t>；</w:t>
      </w:r>
      <w:r>
        <w:rPr>
          <w:rFonts w:ascii="Times New Roman" w:hAnsi="Times New Roman" w:eastAsia="宋体" w:cs="Times New Roman"/>
          <w:szCs w:val="21"/>
        </w:rPr>
        <w:t>3-保护层</w:t>
      </w:r>
      <w:r>
        <w:rPr>
          <w:rFonts w:hint="eastAsia" w:ascii="Times New Roman" w:hAnsi="Times New Roman" w:eastAsia="宋体" w:cs="Times New Roman"/>
          <w:szCs w:val="21"/>
        </w:rPr>
        <w:t>；4-</w:t>
      </w:r>
      <w:r>
        <w:rPr>
          <w:rFonts w:ascii="Times New Roman" w:hAnsi="Times New Roman" w:eastAsia="宋体" w:cs="Times New Roman"/>
          <w:szCs w:val="21"/>
        </w:rPr>
        <w:t>贯通物</w:t>
      </w:r>
    </w:p>
    <w:p w14:paraId="7E22833B">
      <w:pPr>
        <w:widowControl/>
        <w:spacing w:line="360" w:lineRule="auto"/>
        <w:ind w:firstLine="480" w:firstLineChars="200"/>
        <w:jc w:val="left"/>
        <w:rPr>
          <w:rFonts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4</w:t>
      </w:r>
      <w:r>
        <w:rPr>
          <w:rFonts w:ascii="Times New Roman" w:hAnsi="Times New Roman" w:eastAsia="宋体" w:cs="Times New Roman"/>
          <w:color w:val="auto"/>
          <w:sz w:val="24"/>
          <w:szCs w:val="21"/>
        </w:rPr>
        <w:t xml:space="preserve"> </w:t>
      </w:r>
      <w:r>
        <w:rPr>
          <w:rFonts w:hint="eastAsia" w:ascii="Times New Roman" w:hAnsi="Times New Roman" w:eastAsia="宋体" w:cs="Times New Roman"/>
          <w:color w:val="auto"/>
          <w:sz w:val="24"/>
          <w:szCs w:val="21"/>
        </w:rPr>
        <w:t>水平贯通物</w:t>
      </w:r>
      <w:r>
        <w:rPr>
          <w:rFonts w:ascii="Times New Roman" w:hAnsi="Times New Roman" w:eastAsia="宋体" w:cs="Times New Roman"/>
          <w:color w:val="auto"/>
          <w:sz w:val="24"/>
          <w:szCs w:val="21"/>
        </w:rPr>
        <w:t>下层膨润土防水毯与基础面之间</w:t>
      </w:r>
      <w:r>
        <w:rPr>
          <w:rFonts w:hint="eastAsia" w:ascii="Times New Roman" w:hAnsi="Times New Roman" w:eastAsia="宋体" w:cs="Times New Roman"/>
          <w:color w:val="auto"/>
          <w:sz w:val="24"/>
          <w:szCs w:val="21"/>
        </w:rPr>
        <w:t>，</w:t>
      </w:r>
      <w:r>
        <w:rPr>
          <w:rFonts w:ascii="Times New Roman" w:hAnsi="Times New Roman" w:eastAsia="宋体" w:cs="Times New Roman"/>
          <w:color w:val="auto"/>
          <w:sz w:val="24"/>
          <w:szCs w:val="21"/>
        </w:rPr>
        <w:t>以及两层膨润土防水毯之间应填充不小于100mm厚的膨润土粉或膨润土胶泥</w:t>
      </w:r>
      <w:r>
        <w:rPr>
          <w:rFonts w:hint="eastAsia" w:ascii="Times New Roman" w:hAnsi="Times New Roman" w:eastAsia="宋体" w:cs="Times New Roman"/>
          <w:color w:val="auto"/>
          <w:sz w:val="24"/>
          <w:szCs w:val="21"/>
        </w:rPr>
        <w:t>，</w:t>
      </w:r>
      <w:r>
        <w:rPr>
          <w:rFonts w:ascii="Times New Roman" w:hAnsi="Times New Roman" w:eastAsia="宋体" w:cs="Times New Roman"/>
          <w:color w:val="auto"/>
          <w:sz w:val="24"/>
          <w:szCs w:val="21"/>
        </w:rPr>
        <w:t>上层膨润土防水毯边缘与下层钠基膨润土防水毯之间应按搭接处理</w:t>
      </w:r>
      <w:r>
        <w:rPr>
          <w:rFonts w:hint="eastAsia" w:ascii="Times New Roman" w:hAnsi="Times New Roman" w:eastAsia="宋体" w:cs="Times New Roman"/>
          <w:color w:val="auto"/>
          <w:sz w:val="24"/>
          <w:szCs w:val="21"/>
        </w:rPr>
        <w:t>，见图5.6.8-2。</w:t>
      </w:r>
    </w:p>
    <w:p w14:paraId="0D1160C7">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color w:val="auto"/>
          <w:sz w:val="24"/>
          <w:szCs w:val="21"/>
        </w:rPr>
        <w:t xml:space="preserve">5.6.9 </w:t>
      </w:r>
      <w:r>
        <w:rPr>
          <w:rFonts w:hint="eastAsia" w:ascii="Times New Roman" w:hAnsi="Times New Roman" w:eastAsia="宋体" w:cs="Times New Roman"/>
          <w:color w:val="auto"/>
          <w:sz w:val="24"/>
        </w:rPr>
        <w:t>膨润土防水毯铺设进度应与保护层进度相配套。铺设防水毯后，宜及时完成保护层的施工；当未能及时覆盖保护层时，应对膨润土防水毯采取防水、防潮等保护措施。保护层不应含有垃圾、尖锐物等。保护层厚度及压实度应符合设计要求，表面应平整、清洁</w:t>
      </w:r>
      <w:r>
        <w:rPr>
          <w:rFonts w:hint="eastAsia" w:ascii="Times New Roman" w:hAnsi="Times New Roman" w:eastAsia="宋体" w:cs="Times New Roman"/>
          <w:color w:val="auto"/>
          <w:sz w:val="24"/>
          <w:szCs w:val="21"/>
        </w:rPr>
        <w:t>。</w:t>
      </w:r>
    </w:p>
    <w:p w14:paraId="6EBA6CF6">
      <w:pPr>
        <w:spacing w:before="156" w:beforeLines="50" w:after="156" w:afterLines="50"/>
        <w:jc w:val="center"/>
        <w:outlineLvl w:val="1"/>
        <w:rPr>
          <w:rFonts w:asciiTheme="minorEastAsia" w:hAnsiTheme="minorEastAsia"/>
          <w:b/>
          <w:sz w:val="24"/>
        </w:rPr>
      </w:pPr>
      <w:bookmarkStart w:id="197" w:name="_Toc10979"/>
      <w:r>
        <w:rPr>
          <w:rFonts w:hint="eastAsia" w:asciiTheme="minorEastAsia" w:hAnsiTheme="minorEastAsia"/>
          <w:b/>
          <w:sz w:val="24"/>
        </w:rPr>
        <w:t>5.7 土工复合排水网铺设</w:t>
      </w:r>
      <w:bookmarkEnd w:id="197"/>
    </w:p>
    <w:p w14:paraId="00F2FBD4">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5.7.1 土工复合排水网的排水方向应与水流方向一致。</w:t>
      </w:r>
    </w:p>
    <w:p w14:paraId="04B39B35">
      <w:pPr>
        <w:widowControl/>
        <w:spacing w:line="360" w:lineRule="auto"/>
        <w:jc w:val="left"/>
        <w:outlineLvl w:val="2"/>
        <w:rPr>
          <w:rFonts w:ascii="Times New Roman" w:hAnsi="Times New Roman" w:eastAsia="宋体" w:cs="Times New Roman"/>
          <w:sz w:val="24"/>
        </w:rPr>
      </w:pPr>
      <w:r>
        <w:rPr>
          <w:rFonts w:hint="eastAsia" w:ascii="Times New Roman" w:hAnsi="Times New Roman" w:eastAsia="宋体" w:cs="Times New Roman"/>
          <w:sz w:val="24"/>
          <w:szCs w:val="21"/>
        </w:rPr>
        <w:t>5.7.2 土工复合排水网在铺设时，土工复合排水网应顺直、平整，不得扭曲、折叠。</w:t>
      </w:r>
    </w:p>
    <w:p w14:paraId="7955F3A7">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5.7.3 边坡上的土工复合排水网不宜存在水平接缝。</w:t>
      </w:r>
    </w:p>
    <w:p w14:paraId="71714A3B">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5.7.4 土工布和排水网都应和同类材料连接。相邻的部位应使用塑料扣件或聚合物编织带连接，底层土工布应搭接，上层土工布应缝合或热粘连接，连接部分应重叠。沿材料卷的长度方向，最小连接间距不宜大于1.5m。</w:t>
      </w:r>
    </w:p>
    <w:p w14:paraId="22399E1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5.7.5 排水网芯复合的土工布应全面覆盖网芯。</w:t>
      </w:r>
    </w:p>
    <w:p w14:paraId="1771A38E">
      <w:pPr>
        <w:widowControl/>
        <w:spacing w:line="360" w:lineRule="auto"/>
        <w:jc w:val="left"/>
        <w:outlineLvl w:val="2"/>
        <w:rPr>
          <w:rFonts w:ascii="Times New Roman" w:hAnsi="Times New Roman" w:eastAsia="宋体" w:cs="Times New Roman"/>
          <w:sz w:val="24"/>
          <w:szCs w:val="21"/>
        </w:rPr>
      </w:pPr>
      <w:bookmarkStart w:id="198" w:name="OLE_LINK16"/>
      <w:r>
        <w:rPr>
          <w:rFonts w:hint="eastAsia" w:ascii="Times New Roman" w:hAnsi="Times New Roman" w:eastAsia="宋体" w:cs="Times New Roman"/>
          <w:sz w:val="24"/>
          <w:szCs w:val="21"/>
        </w:rPr>
        <w:t>5.7.</w:t>
      </w:r>
      <w:bookmarkEnd w:id="198"/>
      <w:r>
        <w:rPr>
          <w:rFonts w:hint="eastAsia" w:ascii="Times New Roman" w:hAnsi="Times New Roman" w:eastAsia="宋体" w:cs="Times New Roman"/>
          <w:sz w:val="24"/>
          <w:szCs w:val="21"/>
        </w:rPr>
        <w:t>6 管道或构筑立柱等特殊部位施工应进行特殊处理，并保证排水畅通。</w:t>
      </w:r>
    </w:p>
    <w:p w14:paraId="7D9C4CF5">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5.7.7 土工复合排水网中的破损均应使用相同材料修补，修补范围应大于破损范围周边300mm。</w:t>
      </w:r>
    </w:p>
    <w:p w14:paraId="7041530E">
      <w:pPr>
        <w:spacing w:before="156" w:beforeLines="50" w:after="156" w:afterLines="50"/>
        <w:jc w:val="center"/>
        <w:outlineLvl w:val="1"/>
        <w:rPr>
          <w:rFonts w:asciiTheme="minorEastAsia" w:hAnsiTheme="minorEastAsia"/>
          <w:b/>
          <w:sz w:val="24"/>
        </w:rPr>
      </w:pPr>
      <w:bookmarkStart w:id="199" w:name="_Toc21938"/>
      <w:r>
        <w:rPr>
          <w:rFonts w:hint="eastAsia" w:asciiTheme="minorEastAsia" w:hAnsiTheme="minorEastAsia"/>
          <w:b/>
          <w:sz w:val="24"/>
        </w:rPr>
        <w:t>5.8 防渗系统工程材料连接</w:t>
      </w:r>
      <w:bookmarkEnd w:id="199"/>
    </w:p>
    <w:p w14:paraId="151C2A43">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5.8.1 防渗系统工程材料连接设计应符合下列要求：</w:t>
      </w:r>
    </w:p>
    <w:p w14:paraId="748E0EA6">
      <w:pPr>
        <w:widowControl/>
        <w:spacing w:line="360" w:lineRule="auto"/>
        <w:ind w:firstLine="480" w:firstLineChars="200"/>
        <w:jc w:val="left"/>
        <w:rPr>
          <w:rFonts w:ascii="Times New Roman" w:hAnsi="Times New Roman" w:eastAsia="宋体" w:cs="Times New Roman"/>
          <w:sz w:val="24"/>
          <w:szCs w:val="21"/>
        </w:rPr>
      </w:pPr>
      <w:bookmarkStart w:id="200" w:name="_Toc6181"/>
      <w:r>
        <w:rPr>
          <w:rFonts w:hint="eastAsia" w:ascii="Times New Roman" w:hAnsi="Times New Roman" w:eastAsia="宋体" w:cs="Times New Roman"/>
          <w:sz w:val="24"/>
          <w:szCs w:val="21"/>
        </w:rPr>
        <w:t>1合理布局每片材料的位置，力求接缝最少；</w:t>
      </w:r>
      <w:bookmarkEnd w:id="200"/>
    </w:p>
    <w:p w14:paraId="08D4ECFF">
      <w:pPr>
        <w:widowControl/>
        <w:spacing w:line="360" w:lineRule="auto"/>
        <w:ind w:firstLine="480" w:firstLineChars="200"/>
        <w:jc w:val="left"/>
        <w:rPr>
          <w:rFonts w:ascii="Times New Roman" w:hAnsi="Times New Roman" w:eastAsia="宋体" w:cs="Times New Roman"/>
          <w:sz w:val="24"/>
          <w:szCs w:val="21"/>
        </w:rPr>
      </w:pPr>
      <w:bookmarkStart w:id="201" w:name="_Toc28383"/>
      <w:r>
        <w:rPr>
          <w:rFonts w:hint="eastAsia" w:ascii="Times New Roman" w:hAnsi="Times New Roman" w:eastAsia="宋体" w:cs="Times New Roman"/>
          <w:sz w:val="24"/>
          <w:szCs w:val="21"/>
        </w:rPr>
        <w:t>2合理选择铺设方向，减少接缝受力；</w:t>
      </w:r>
      <w:bookmarkEnd w:id="201"/>
    </w:p>
    <w:p w14:paraId="6B949B52">
      <w:pPr>
        <w:widowControl/>
        <w:spacing w:line="360" w:lineRule="auto"/>
        <w:ind w:firstLine="480" w:firstLineChars="200"/>
        <w:jc w:val="left"/>
        <w:rPr>
          <w:rFonts w:ascii="Times New Roman" w:hAnsi="Times New Roman" w:eastAsia="宋体" w:cs="Times New Roman"/>
          <w:sz w:val="24"/>
          <w:szCs w:val="21"/>
        </w:rPr>
      </w:pPr>
      <w:bookmarkStart w:id="202" w:name="_Toc27660"/>
      <w:r>
        <w:rPr>
          <w:rFonts w:hint="eastAsia" w:ascii="Times New Roman" w:hAnsi="Times New Roman" w:eastAsia="宋体" w:cs="Times New Roman"/>
          <w:sz w:val="24"/>
          <w:szCs w:val="21"/>
        </w:rPr>
        <w:t>3 接缝应避开弯角，或在弯角处超搭接宽度进行焊接减少弯角受力；</w:t>
      </w:r>
      <w:bookmarkEnd w:id="202"/>
    </w:p>
    <w:p w14:paraId="3F178AD5">
      <w:pPr>
        <w:widowControl/>
        <w:spacing w:line="360" w:lineRule="auto"/>
        <w:ind w:firstLine="480" w:firstLineChars="200"/>
        <w:jc w:val="left"/>
        <w:rPr>
          <w:rFonts w:ascii="Times New Roman" w:hAnsi="Times New Roman" w:eastAsia="宋体" w:cs="Times New Roman"/>
          <w:sz w:val="24"/>
          <w:szCs w:val="21"/>
        </w:rPr>
      </w:pPr>
      <w:bookmarkStart w:id="203" w:name="_Toc7270"/>
      <w:r>
        <w:rPr>
          <w:rFonts w:hint="eastAsia" w:ascii="Times New Roman" w:hAnsi="Times New Roman" w:eastAsia="宋体" w:cs="Times New Roman"/>
          <w:sz w:val="24"/>
          <w:szCs w:val="21"/>
        </w:rPr>
        <w:t>4 在坡度大于10%的坡面上和坡脚向场底方向1.5m范围内不得有水平接缝；</w:t>
      </w:r>
      <w:bookmarkEnd w:id="203"/>
    </w:p>
    <w:p w14:paraId="0535D28B">
      <w:pPr>
        <w:widowControl/>
        <w:spacing w:line="360" w:lineRule="auto"/>
        <w:ind w:firstLine="480" w:firstLineChars="200"/>
        <w:jc w:val="left"/>
        <w:rPr>
          <w:rFonts w:ascii="Times New Roman" w:hAnsi="Times New Roman" w:eastAsia="宋体" w:cs="Times New Roman"/>
          <w:sz w:val="24"/>
          <w:szCs w:val="21"/>
        </w:rPr>
      </w:pPr>
      <w:bookmarkStart w:id="204" w:name="_Toc20452"/>
      <w:r>
        <w:rPr>
          <w:rFonts w:hint="eastAsia" w:ascii="Times New Roman" w:hAnsi="Times New Roman" w:eastAsia="宋体" w:cs="Times New Roman"/>
          <w:sz w:val="24"/>
          <w:szCs w:val="21"/>
        </w:rPr>
        <w:t>5材料与周边自然环境连接应设置锚固沟。</w:t>
      </w:r>
      <w:bookmarkEnd w:id="204"/>
    </w:p>
    <w:p w14:paraId="7CDAC4B5">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5.8.2 各种防渗系统工程材料的搭接方式和最小搭接宽度应符合表5.8.2的规定。</w:t>
      </w:r>
    </w:p>
    <w:p w14:paraId="6FB94604">
      <w:pPr>
        <w:widowControl/>
        <w:spacing w:before="60" w:line="360" w:lineRule="auto"/>
        <w:jc w:val="center"/>
        <w:rPr>
          <w:rFonts w:ascii="Times New Roman" w:hAnsi="Times New Roman" w:eastAsia="宋体" w:cs="Times New Roman"/>
          <w:b/>
          <w:bCs/>
          <w:szCs w:val="21"/>
        </w:rPr>
      </w:pPr>
      <w:bookmarkStart w:id="205" w:name="_Toc29494"/>
      <w:r>
        <w:rPr>
          <w:rFonts w:hint="eastAsia" w:ascii="Times New Roman" w:hAnsi="Times New Roman" w:eastAsia="宋体" w:cs="Times New Roman"/>
          <w:b/>
          <w:bCs/>
          <w:szCs w:val="21"/>
        </w:rPr>
        <w:t>表5.8.2 各种防渗系统工程材料搭接方式和最小搭接宽度</w:t>
      </w:r>
      <w:bookmarkEnd w:id="205"/>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11"/>
        <w:gridCol w:w="2816"/>
        <w:gridCol w:w="2796"/>
      </w:tblGrid>
      <w:tr w14:paraId="793FA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628" w:type="pct"/>
            <w:tcBorders>
              <w:top w:val="single" w:color="000000" w:sz="8" w:space="0"/>
              <w:left w:val="single" w:color="000000" w:sz="8" w:space="0"/>
              <w:bottom w:val="single" w:color="000000" w:sz="8" w:space="0"/>
              <w:right w:val="single" w:color="000000" w:sz="8" w:space="0"/>
            </w:tcBorders>
          </w:tcPr>
          <w:p w14:paraId="31C007CE">
            <w:pPr>
              <w:pStyle w:val="25"/>
              <w:spacing w:before="100" w:after="100" w:line="219" w:lineRule="auto"/>
              <w:jc w:val="center"/>
              <w:rPr>
                <w:sz w:val="21"/>
                <w:szCs w:val="21"/>
              </w:rPr>
            </w:pPr>
            <w:r>
              <w:rPr>
                <w:spacing w:val="-2"/>
                <w:sz w:val="21"/>
                <w:szCs w:val="21"/>
              </w:rPr>
              <w:t>材料</w:t>
            </w:r>
          </w:p>
        </w:tc>
        <w:tc>
          <w:tcPr>
            <w:tcW w:w="1691" w:type="pct"/>
            <w:tcBorders>
              <w:top w:val="single" w:color="000000" w:sz="8" w:space="0"/>
              <w:left w:val="single" w:color="000000" w:sz="8" w:space="0"/>
              <w:bottom w:val="single" w:color="000000" w:sz="8" w:space="0"/>
              <w:right w:val="single" w:color="000000" w:sz="8" w:space="0"/>
            </w:tcBorders>
          </w:tcPr>
          <w:p w14:paraId="2EF84985">
            <w:pPr>
              <w:pStyle w:val="25"/>
              <w:spacing w:before="100" w:after="100" w:line="220" w:lineRule="auto"/>
              <w:jc w:val="center"/>
              <w:rPr>
                <w:sz w:val="21"/>
                <w:szCs w:val="21"/>
              </w:rPr>
            </w:pPr>
            <w:r>
              <w:rPr>
                <w:spacing w:val="-2"/>
                <w:sz w:val="21"/>
                <w:szCs w:val="21"/>
              </w:rPr>
              <w:t>搭接方式</w:t>
            </w:r>
          </w:p>
        </w:tc>
        <w:tc>
          <w:tcPr>
            <w:tcW w:w="1679" w:type="pct"/>
            <w:tcBorders>
              <w:top w:val="single" w:color="000000" w:sz="8" w:space="0"/>
              <w:left w:val="single" w:color="000000" w:sz="8" w:space="0"/>
              <w:bottom w:val="single" w:color="000000" w:sz="8" w:space="0"/>
              <w:right w:val="single" w:color="000000" w:sz="8" w:space="0"/>
            </w:tcBorders>
          </w:tcPr>
          <w:p w14:paraId="06294B70">
            <w:pPr>
              <w:pStyle w:val="25"/>
              <w:spacing w:before="100" w:after="100" w:line="219" w:lineRule="auto"/>
              <w:jc w:val="center"/>
              <w:rPr>
                <w:sz w:val="21"/>
                <w:szCs w:val="21"/>
              </w:rPr>
            </w:pPr>
            <w:r>
              <w:rPr>
                <w:spacing w:val="-2"/>
                <w:sz w:val="21"/>
                <w:szCs w:val="21"/>
              </w:rPr>
              <w:t>最小搭接宽度</w:t>
            </w:r>
          </w:p>
        </w:tc>
      </w:tr>
      <w:tr w14:paraId="420F6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28" w:type="pct"/>
            <w:vMerge w:val="restart"/>
            <w:tcBorders>
              <w:top w:val="single" w:color="000000" w:sz="8" w:space="0"/>
              <w:left w:val="single" w:color="000000" w:sz="8" w:space="0"/>
              <w:bottom w:val="single" w:color="000000" w:sz="8" w:space="0"/>
              <w:right w:val="single" w:color="000000" w:sz="8" w:space="0"/>
            </w:tcBorders>
          </w:tcPr>
          <w:p w14:paraId="1ABD25CC">
            <w:pPr>
              <w:spacing w:before="100" w:after="100" w:line="251" w:lineRule="auto"/>
              <w:jc w:val="center"/>
              <w:rPr>
                <w:rFonts w:ascii="Arial"/>
                <w:szCs w:val="21"/>
              </w:rPr>
            </w:pPr>
          </w:p>
          <w:p w14:paraId="655FC8DE">
            <w:pPr>
              <w:pStyle w:val="25"/>
              <w:spacing w:before="100" w:after="100" w:line="219" w:lineRule="auto"/>
              <w:jc w:val="center"/>
              <w:rPr>
                <w:sz w:val="21"/>
                <w:szCs w:val="21"/>
              </w:rPr>
            </w:pPr>
            <w:r>
              <w:rPr>
                <w:spacing w:val="-2"/>
                <w:sz w:val="21"/>
                <w:szCs w:val="21"/>
              </w:rPr>
              <w:t>高密度聚乙烯土工膜</w:t>
            </w:r>
          </w:p>
        </w:tc>
        <w:tc>
          <w:tcPr>
            <w:tcW w:w="1691" w:type="pct"/>
            <w:tcBorders>
              <w:top w:val="single" w:color="000000" w:sz="8" w:space="0"/>
              <w:left w:val="single" w:color="000000" w:sz="8" w:space="0"/>
              <w:bottom w:val="single" w:color="000000" w:sz="8" w:space="0"/>
              <w:right w:val="single" w:color="000000" w:sz="8" w:space="0"/>
            </w:tcBorders>
          </w:tcPr>
          <w:p w14:paraId="26A9CA9C">
            <w:pPr>
              <w:pStyle w:val="25"/>
              <w:spacing w:before="100" w:after="100" w:line="219" w:lineRule="auto"/>
              <w:jc w:val="center"/>
              <w:rPr>
                <w:sz w:val="21"/>
                <w:szCs w:val="21"/>
              </w:rPr>
            </w:pPr>
            <w:r>
              <w:rPr>
                <w:spacing w:val="-2"/>
                <w:sz w:val="21"/>
                <w:szCs w:val="21"/>
              </w:rPr>
              <w:t>热熔焊接</w:t>
            </w:r>
          </w:p>
        </w:tc>
        <w:tc>
          <w:tcPr>
            <w:tcW w:w="1679" w:type="pct"/>
            <w:tcBorders>
              <w:top w:val="single" w:color="000000" w:sz="8" w:space="0"/>
              <w:left w:val="single" w:color="000000" w:sz="8" w:space="0"/>
              <w:bottom w:val="single" w:color="000000" w:sz="8" w:space="0"/>
              <w:right w:val="single" w:color="000000" w:sz="8" w:space="0"/>
            </w:tcBorders>
          </w:tcPr>
          <w:p w14:paraId="5ACE93F8">
            <w:pPr>
              <w:pStyle w:val="25"/>
              <w:spacing w:before="100" w:after="100" w:line="235" w:lineRule="auto"/>
              <w:jc w:val="center"/>
              <w:rPr>
                <w:sz w:val="21"/>
                <w:szCs w:val="21"/>
              </w:rPr>
            </w:pPr>
            <w:r>
              <w:rPr>
                <w:spacing w:val="-2"/>
                <w:sz w:val="21"/>
                <w:szCs w:val="21"/>
              </w:rPr>
              <w:t>100mm±20mm</w:t>
            </w:r>
          </w:p>
        </w:tc>
      </w:tr>
      <w:tr w14:paraId="10134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8" w:type="pct"/>
            <w:vMerge w:val="continue"/>
            <w:tcBorders>
              <w:top w:val="single" w:color="000000" w:sz="8" w:space="0"/>
              <w:left w:val="single" w:color="000000" w:sz="8" w:space="0"/>
              <w:bottom w:val="single" w:color="000000" w:sz="8" w:space="0"/>
              <w:right w:val="single" w:color="000000" w:sz="8" w:space="0"/>
            </w:tcBorders>
          </w:tcPr>
          <w:p w14:paraId="64FBFF31">
            <w:pPr>
              <w:spacing w:before="100" w:after="100"/>
              <w:jc w:val="center"/>
              <w:rPr>
                <w:rFonts w:ascii="Arial"/>
                <w:szCs w:val="21"/>
              </w:rPr>
            </w:pPr>
          </w:p>
        </w:tc>
        <w:tc>
          <w:tcPr>
            <w:tcW w:w="1691" w:type="pct"/>
            <w:tcBorders>
              <w:top w:val="single" w:color="000000" w:sz="8" w:space="0"/>
              <w:left w:val="single" w:color="000000" w:sz="8" w:space="0"/>
              <w:bottom w:val="single" w:color="000000" w:sz="8" w:space="0"/>
              <w:right w:val="single" w:color="000000" w:sz="8" w:space="0"/>
            </w:tcBorders>
          </w:tcPr>
          <w:p w14:paraId="3279EB0B">
            <w:pPr>
              <w:pStyle w:val="25"/>
              <w:spacing w:before="100" w:after="100" w:line="219" w:lineRule="auto"/>
              <w:jc w:val="center"/>
              <w:rPr>
                <w:sz w:val="21"/>
                <w:szCs w:val="21"/>
              </w:rPr>
            </w:pPr>
            <w:r>
              <w:rPr>
                <w:spacing w:val="-2"/>
                <w:sz w:val="21"/>
                <w:szCs w:val="21"/>
              </w:rPr>
              <w:t>挤出焊接</w:t>
            </w:r>
          </w:p>
        </w:tc>
        <w:tc>
          <w:tcPr>
            <w:tcW w:w="1679" w:type="pct"/>
            <w:tcBorders>
              <w:top w:val="single" w:color="000000" w:sz="8" w:space="0"/>
              <w:left w:val="single" w:color="000000" w:sz="8" w:space="0"/>
              <w:bottom w:val="single" w:color="000000" w:sz="8" w:space="0"/>
              <w:right w:val="single" w:color="000000" w:sz="8" w:space="0"/>
            </w:tcBorders>
          </w:tcPr>
          <w:p w14:paraId="0A3AE296">
            <w:pPr>
              <w:pStyle w:val="25"/>
              <w:spacing w:before="100" w:after="100" w:line="235" w:lineRule="auto"/>
              <w:jc w:val="center"/>
              <w:rPr>
                <w:sz w:val="21"/>
                <w:szCs w:val="21"/>
              </w:rPr>
            </w:pPr>
            <w:r>
              <w:rPr>
                <w:spacing w:val="-2"/>
                <w:sz w:val="21"/>
                <w:szCs w:val="21"/>
              </w:rPr>
              <w:t>75mm±20mm</w:t>
            </w:r>
          </w:p>
        </w:tc>
      </w:tr>
      <w:tr w14:paraId="00EE7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628" w:type="pct"/>
            <w:tcBorders>
              <w:top w:val="single" w:color="000000" w:sz="8" w:space="0"/>
              <w:left w:val="single" w:color="000000" w:sz="8" w:space="0"/>
              <w:bottom w:val="single" w:color="000000" w:sz="8" w:space="0"/>
              <w:right w:val="single" w:color="000000" w:sz="8" w:space="0"/>
            </w:tcBorders>
          </w:tcPr>
          <w:p w14:paraId="4DFC2F6E">
            <w:pPr>
              <w:pStyle w:val="25"/>
              <w:spacing w:before="100" w:after="100" w:line="219" w:lineRule="auto"/>
              <w:jc w:val="center"/>
              <w:rPr>
                <w:sz w:val="21"/>
                <w:szCs w:val="21"/>
              </w:rPr>
            </w:pPr>
            <w:r>
              <w:rPr>
                <w:spacing w:val="-2"/>
                <w:sz w:val="21"/>
                <w:szCs w:val="21"/>
              </w:rPr>
              <w:t>织造土工布</w:t>
            </w:r>
          </w:p>
        </w:tc>
        <w:tc>
          <w:tcPr>
            <w:tcW w:w="1691" w:type="pct"/>
            <w:tcBorders>
              <w:top w:val="single" w:color="000000" w:sz="8" w:space="0"/>
              <w:left w:val="single" w:color="000000" w:sz="8" w:space="0"/>
              <w:bottom w:val="single" w:color="000000" w:sz="8" w:space="0"/>
              <w:right w:val="single" w:color="000000" w:sz="8" w:space="0"/>
            </w:tcBorders>
          </w:tcPr>
          <w:p w14:paraId="5EB46FEB">
            <w:pPr>
              <w:pStyle w:val="25"/>
              <w:spacing w:before="100" w:after="100" w:line="221" w:lineRule="auto"/>
              <w:jc w:val="center"/>
              <w:rPr>
                <w:sz w:val="21"/>
                <w:szCs w:val="21"/>
              </w:rPr>
            </w:pPr>
            <w:r>
              <w:rPr>
                <w:spacing w:val="-2"/>
                <w:sz w:val="21"/>
                <w:szCs w:val="21"/>
              </w:rPr>
              <w:t>缝合连接</w:t>
            </w:r>
          </w:p>
        </w:tc>
        <w:tc>
          <w:tcPr>
            <w:tcW w:w="1679" w:type="pct"/>
            <w:tcBorders>
              <w:top w:val="single" w:color="000000" w:sz="8" w:space="0"/>
              <w:left w:val="single" w:color="000000" w:sz="8" w:space="0"/>
              <w:bottom w:val="single" w:color="000000" w:sz="8" w:space="0"/>
              <w:right w:val="single" w:color="000000" w:sz="8" w:space="0"/>
            </w:tcBorders>
          </w:tcPr>
          <w:p w14:paraId="4B3665DC">
            <w:pPr>
              <w:pStyle w:val="25"/>
              <w:spacing w:before="100" w:after="100" w:line="235" w:lineRule="auto"/>
              <w:jc w:val="center"/>
              <w:rPr>
                <w:sz w:val="21"/>
                <w:szCs w:val="21"/>
              </w:rPr>
            </w:pPr>
            <w:r>
              <w:rPr>
                <w:spacing w:val="-2"/>
                <w:sz w:val="21"/>
                <w:szCs w:val="21"/>
              </w:rPr>
              <w:t>75mm±15mm</w:t>
            </w:r>
          </w:p>
        </w:tc>
      </w:tr>
      <w:tr w14:paraId="497A7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28" w:type="pct"/>
            <w:vMerge w:val="restart"/>
            <w:tcBorders>
              <w:top w:val="single" w:color="000000" w:sz="8" w:space="0"/>
              <w:left w:val="single" w:color="000000" w:sz="8" w:space="0"/>
              <w:bottom w:val="single" w:color="000000" w:sz="8" w:space="0"/>
              <w:right w:val="single" w:color="000000" w:sz="8" w:space="0"/>
            </w:tcBorders>
          </w:tcPr>
          <w:p w14:paraId="57DC32DE">
            <w:pPr>
              <w:spacing w:before="100" w:after="100" w:line="253" w:lineRule="auto"/>
              <w:jc w:val="center"/>
              <w:rPr>
                <w:rFonts w:ascii="Arial"/>
                <w:szCs w:val="21"/>
              </w:rPr>
            </w:pPr>
          </w:p>
          <w:p w14:paraId="3598451E">
            <w:pPr>
              <w:pStyle w:val="25"/>
              <w:spacing w:before="100" w:after="100" w:line="219" w:lineRule="auto"/>
              <w:jc w:val="center"/>
              <w:rPr>
                <w:sz w:val="21"/>
                <w:szCs w:val="21"/>
              </w:rPr>
            </w:pPr>
            <w:r>
              <w:rPr>
                <w:spacing w:val="-2"/>
                <w:sz w:val="21"/>
                <w:szCs w:val="21"/>
              </w:rPr>
              <w:t>非织造土工布</w:t>
            </w:r>
          </w:p>
        </w:tc>
        <w:tc>
          <w:tcPr>
            <w:tcW w:w="1691" w:type="pct"/>
            <w:tcBorders>
              <w:top w:val="single" w:color="000000" w:sz="8" w:space="0"/>
              <w:left w:val="single" w:color="000000" w:sz="8" w:space="0"/>
              <w:bottom w:val="single" w:color="000000" w:sz="8" w:space="0"/>
              <w:right w:val="single" w:color="000000" w:sz="8" w:space="0"/>
            </w:tcBorders>
          </w:tcPr>
          <w:p w14:paraId="2DA0665E">
            <w:pPr>
              <w:pStyle w:val="25"/>
              <w:spacing w:before="100" w:after="100" w:line="221" w:lineRule="auto"/>
              <w:jc w:val="center"/>
              <w:rPr>
                <w:sz w:val="21"/>
                <w:szCs w:val="21"/>
              </w:rPr>
            </w:pPr>
            <w:r>
              <w:rPr>
                <w:spacing w:val="-2"/>
                <w:sz w:val="21"/>
                <w:szCs w:val="21"/>
              </w:rPr>
              <w:t>缝合连接</w:t>
            </w:r>
          </w:p>
        </w:tc>
        <w:tc>
          <w:tcPr>
            <w:tcW w:w="1679" w:type="pct"/>
            <w:tcBorders>
              <w:top w:val="single" w:color="000000" w:sz="8" w:space="0"/>
              <w:left w:val="single" w:color="000000" w:sz="8" w:space="0"/>
              <w:bottom w:val="single" w:color="000000" w:sz="8" w:space="0"/>
              <w:right w:val="single" w:color="000000" w:sz="8" w:space="0"/>
            </w:tcBorders>
          </w:tcPr>
          <w:p w14:paraId="7D83EF26">
            <w:pPr>
              <w:pStyle w:val="25"/>
              <w:spacing w:before="100" w:after="100" w:line="235" w:lineRule="auto"/>
              <w:jc w:val="center"/>
              <w:rPr>
                <w:sz w:val="21"/>
                <w:szCs w:val="21"/>
              </w:rPr>
            </w:pPr>
            <w:r>
              <w:rPr>
                <w:spacing w:val="-2"/>
                <w:sz w:val="21"/>
                <w:szCs w:val="21"/>
              </w:rPr>
              <w:t>75mm±15mm</w:t>
            </w:r>
          </w:p>
        </w:tc>
      </w:tr>
      <w:tr w14:paraId="5EF7E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8" w:type="pct"/>
            <w:vMerge w:val="continue"/>
            <w:tcBorders>
              <w:top w:val="single" w:color="000000" w:sz="8" w:space="0"/>
              <w:left w:val="single" w:color="000000" w:sz="8" w:space="0"/>
              <w:bottom w:val="single" w:color="000000" w:sz="8" w:space="0"/>
              <w:right w:val="single" w:color="000000" w:sz="8" w:space="0"/>
            </w:tcBorders>
          </w:tcPr>
          <w:p w14:paraId="7B47DB2A">
            <w:pPr>
              <w:spacing w:before="100" w:after="100"/>
              <w:jc w:val="center"/>
              <w:rPr>
                <w:rFonts w:ascii="Arial"/>
                <w:szCs w:val="21"/>
              </w:rPr>
            </w:pPr>
          </w:p>
        </w:tc>
        <w:tc>
          <w:tcPr>
            <w:tcW w:w="1691" w:type="pct"/>
            <w:tcBorders>
              <w:top w:val="single" w:color="000000" w:sz="8" w:space="0"/>
              <w:left w:val="single" w:color="000000" w:sz="8" w:space="0"/>
              <w:bottom w:val="single" w:color="000000" w:sz="8" w:space="0"/>
              <w:right w:val="single" w:color="000000" w:sz="8" w:space="0"/>
            </w:tcBorders>
          </w:tcPr>
          <w:p w14:paraId="0EAFD166">
            <w:pPr>
              <w:pStyle w:val="25"/>
              <w:spacing w:before="100" w:after="100" w:line="219" w:lineRule="auto"/>
              <w:jc w:val="center"/>
              <w:rPr>
                <w:sz w:val="21"/>
                <w:szCs w:val="21"/>
              </w:rPr>
            </w:pPr>
            <w:r>
              <w:rPr>
                <w:spacing w:val="-2"/>
                <w:sz w:val="21"/>
                <w:szCs w:val="21"/>
              </w:rPr>
              <w:t>热粘连接</w:t>
            </w:r>
          </w:p>
        </w:tc>
        <w:tc>
          <w:tcPr>
            <w:tcW w:w="1679" w:type="pct"/>
            <w:tcBorders>
              <w:top w:val="single" w:color="000000" w:sz="8" w:space="0"/>
              <w:left w:val="single" w:color="000000" w:sz="8" w:space="0"/>
              <w:bottom w:val="single" w:color="000000" w:sz="8" w:space="0"/>
              <w:right w:val="single" w:color="000000" w:sz="8" w:space="0"/>
            </w:tcBorders>
          </w:tcPr>
          <w:p w14:paraId="0A00E257">
            <w:pPr>
              <w:pStyle w:val="25"/>
              <w:spacing w:before="100" w:after="100" w:line="235" w:lineRule="auto"/>
              <w:jc w:val="center"/>
              <w:rPr>
                <w:sz w:val="21"/>
                <w:szCs w:val="21"/>
              </w:rPr>
            </w:pPr>
            <w:r>
              <w:rPr>
                <w:spacing w:val="-1"/>
                <w:sz w:val="21"/>
                <w:szCs w:val="21"/>
              </w:rPr>
              <w:t>200mm±25mm</w:t>
            </w:r>
          </w:p>
        </w:tc>
      </w:tr>
      <w:tr w14:paraId="67CAF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28" w:type="pct"/>
            <w:tcBorders>
              <w:top w:val="single" w:color="000000" w:sz="8" w:space="0"/>
              <w:left w:val="single" w:color="000000" w:sz="8" w:space="0"/>
              <w:bottom w:val="single" w:color="000000" w:sz="8" w:space="0"/>
              <w:right w:val="single" w:color="000000" w:sz="8" w:space="0"/>
            </w:tcBorders>
          </w:tcPr>
          <w:p w14:paraId="67059B26">
            <w:pPr>
              <w:pStyle w:val="25"/>
              <w:spacing w:before="100" w:after="100" w:line="219" w:lineRule="auto"/>
              <w:jc w:val="center"/>
              <w:rPr>
                <w:sz w:val="21"/>
                <w:szCs w:val="21"/>
              </w:rPr>
            </w:pPr>
            <w:r>
              <w:rPr>
                <w:spacing w:val="-1"/>
                <w:sz w:val="21"/>
                <w:szCs w:val="21"/>
              </w:rPr>
              <w:t>膨润土防水毯</w:t>
            </w:r>
          </w:p>
        </w:tc>
        <w:tc>
          <w:tcPr>
            <w:tcW w:w="1691" w:type="pct"/>
            <w:tcBorders>
              <w:top w:val="single" w:color="000000" w:sz="8" w:space="0"/>
              <w:left w:val="single" w:color="000000" w:sz="8" w:space="0"/>
              <w:bottom w:val="single" w:color="000000" w:sz="8" w:space="0"/>
              <w:right w:val="single" w:color="000000" w:sz="8" w:space="0"/>
            </w:tcBorders>
          </w:tcPr>
          <w:p w14:paraId="5D1DF7CA">
            <w:pPr>
              <w:pStyle w:val="25"/>
              <w:spacing w:before="100" w:after="100" w:line="220" w:lineRule="auto"/>
              <w:jc w:val="center"/>
              <w:rPr>
                <w:sz w:val="21"/>
                <w:szCs w:val="21"/>
              </w:rPr>
            </w:pPr>
            <w:r>
              <w:rPr>
                <w:spacing w:val="1"/>
                <w:sz w:val="21"/>
                <w:szCs w:val="21"/>
              </w:rPr>
              <w:t>自然搭接</w:t>
            </w:r>
          </w:p>
        </w:tc>
        <w:tc>
          <w:tcPr>
            <w:tcW w:w="1679" w:type="pct"/>
            <w:tcBorders>
              <w:top w:val="single" w:color="000000" w:sz="8" w:space="0"/>
              <w:left w:val="single" w:color="000000" w:sz="8" w:space="0"/>
              <w:bottom w:val="single" w:color="000000" w:sz="8" w:space="0"/>
              <w:right w:val="single" w:color="000000" w:sz="8" w:space="0"/>
            </w:tcBorders>
          </w:tcPr>
          <w:p w14:paraId="61B7EB4E">
            <w:pPr>
              <w:pStyle w:val="25"/>
              <w:spacing w:before="100" w:after="100" w:line="235" w:lineRule="auto"/>
              <w:jc w:val="center"/>
              <w:rPr>
                <w:sz w:val="21"/>
                <w:szCs w:val="21"/>
              </w:rPr>
            </w:pPr>
            <w:r>
              <w:rPr>
                <w:spacing w:val="-1"/>
                <w:sz w:val="21"/>
                <w:szCs w:val="21"/>
              </w:rPr>
              <w:t>250mm±50mm</w:t>
            </w:r>
          </w:p>
        </w:tc>
      </w:tr>
      <w:tr w14:paraId="78DBE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1628" w:type="pct"/>
            <w:tcBorders>
              <w:top w:val="single" w:color="000000" w:sz="8" w:space="0"/>
              <w:left w:val="single" w:color="000000" w:sz="8" w:space="0"/>
              <w:bottom w:val="single" w:color="000000" w:sz="8" w:space="0"/>
              <w:right w:val="single" w:color="000000" w:sz="8" w:space="0"/>
            </w:tcBorders>
          </w:tcPr>
          <w:p w14:paraId="6F8847B2">
            <w:pPr>
              <w:spacing w:before="100" w:after="100" w:line="426" w:lineRule="auto"/>
              <w:jc w:val="center"/>
              <w:rPr>
                <w:rFonts w:ascii="Arial"/>
                <w:szCs w:val="21"/>
              </w:rPr>
            </w:pPr>
          </w:p>
          <w:p w14:paraId="5A3374F1">
            <w:pPr>
              <w:pStyle w:val="25"/>
              <w:spacing w:before="100" w:after="100" w:line="219" w:lineRule="auto"/>
              <w:jc w:val="center"/>
              <w:rPr>
                <w:sz w:val="21"/>
                <w:szCs w:val="21"/>
              </w:rPr>
            </w:pPr>
            <w:r>
              <w:rPr>
                <w:spacing w:val="2"/>
                <w:sz w:val="21"/>
                <w:szCs w:val="21"/>
              </w:rPr>
              <w:t>土工复合排水网</w:t>
            </w:r>
          </w:p>
        </w:tc>
        <w:tc>
          <w:tcPr>
            <w:tcW w:w="1691" w:type="pct"/>
            <w:tcBorders>
              <w:top w:val="single" w:color="000000" w:sz="8" w:space="0"/>
              <w:left w:val="single" w:color="000000" w:sz="8" w:space="0"/>
              <w:bottom w:val="single" w:color="000000" w:sz="8" w:space="0"/>
              <w:right w:val="single" w:color="000000" w:sz="8" w:space="0"/>
            </w:tcBorders>
          </w:tcPr>
          <w:p w14:paraId="031A365E">
            <w:pPr>
              <w:pStyle w:val="25"/>
              <w:spacing w:before="100" w:after="100" w:line="221" w:lineRule="auto"/>
              <w:jc w:val="center"/>
              <w:rPr>
                <w:sz w:val="21"/>
                <w:szCs w:val="21"/>
                <w:lang w:eastAsia="zh-CN"/>
              </w:rPr>
            </w:pPr>
            <w:r>
              <w:rPr>
                <w:spacing w:val="10"/>
                <w:sz w:val="21"/>
                <w:szCs w:val="21"/>
                <w:lang w:eastAsia="zh-CN"/>
              </w:rPr>
              <w:t>土工网要求捆扎；</w:t>
            </w:r>
          </w:p>
          <w:p w14:paraId="1FA46E72">
            <w:pPr>
              <w:pStyle w:val="25"/>
              <w:spacing w:before="100" w:after="100" w:line="219" w:lineRule="auto"/>
              <w:jc w:val="center"/>
              <w:rPr>
                <w:sz w:val="21"/>
                <w:szCs w:val="21"/>
                <w:lang w:eastAsia="zh-CN"/>
              </w:rPr>
            </w:pPr>
            <w:r>
              <w:rPr>
                <w:spacing w:val="8"/>
                <w:sz w:val="21"/>
                <w:szCs w:val="21"/>
                <w:lang w:eastAsia="zh-CN"/>
              </w:rPr>
              <w:t>下层土工布要求搭接；</w:t>
            </w:r>
          </w:p>
          <w:p w14:paraId="022DCB09">
            <w:pPr>
              <w:pStyle w:val="25"/>
              <w:spacing w:before="100" w:after="100" w:line="219" w:lineRule="auto"/>
              <w:jc w:val="center"/>
              <w:rPr>
                <w:sz w:val="21"/>
                <w:szCs w:val="21"/>
              </w:rPr>
            </w:pPr>
            <w:r>
              <w:rPr>
                <w:spacing w:val="-1"/>
                <w:sz w:val="21"/>
                <w:szCs w:val="21"/>
              </w:rPr>
              <w:t>上层土工布要求缝合</w:t>
            </w:r>
          </w:p>
        </w:tc>
        <w:tc>
          <w:tcPr>
            <w:tcW w:w="1679" w:type="pct"/>
            <w:tcBorders>
              <w:top w:val="single" w:color="000000" w:sz="8" w:space="0"/>
              <w:left w:val="single" w:color="000000" w:sz="8" w:space="0"/>
              <w:bottom w:val="single" w:color="000000" w:sz="8" w:space="0"/>
              <w:right w:val="single" w:color="000000" w:sz="8" w:space="0"/>
            </w:tcBorders>
          </w:tcPr>
          <w:p w14:paraId="31D2C48E">
            <w:pPr>
              <w:pStyle w:val="25"/>
              <w:spacing w:before="100" w:after="100" w:line="235" w:lineRule="auto"/>
              <w:jc w:val="center"/>
              <w:rPr>
                <w:spacing w:val="-2"/>
                <w:sz w:val="21"/>
                <w:szCs w:val="21"/>
              </w:rPr>
            </w:pPr>
          </w:p>
          <w:p w14:paraId="7DCB3C79">
            <w:pPr>
              <w:pStyle w:val="25"/>
              <w:spacing w:before="100" w:after="100" w:line="235" w:lineRule="auto"/>
              <w:jc w:val="center"/>
              <w:rPr>
                <w:sz w:val="21"/>
                <w:szCs w:val="21"/>
              </w:rPr>
            </w:pPr>
            <w:r>
              <w:rPr>
                <w:spacing w:val="-2"/>
                <w:sz w:val="21"/>
                <w:szCs w:val="21"/>
              </w:rPr>
              <w:t>75mm±15mm</w:t>
            </w:r>
          </w:p>
        </w:tc>
      </w:tr>
    </w:tbl>
    <w:p w14:paraId="27B9D32A">
      <w:pPr>
        <w:spacing w:before="156" w:beforeLines="50" w:after="156" w:afterLines="50"/>
        <w:jc w:val="center"/>
        <w:outlineLvl w:val="1"/>
        <w:rPr>
          <w:rFonts w:asciiTheme="minorEastAsia" w:hAnsiTheme="minorEastAsia"/>
          <w:b/>
          <w:sz w:val="24"/>
        </w:rPr>
      </w:pPr>
      <w:bookmarkStart w:id="206" w:name="_Toc1327"/>
      <w:r>
        <w:rPr>
          <w:rFonts w:hint="eastAsia" w:asciiTheme="minorEastAsia" w:hAnsiTheme="minorEastAsia"/>
          <w:b/>
          <w:sz w:val="24"/>
        </w:rPr>
        <w:t>5.9 局部工程施工</w:t>
      </w:r>
      <w:bookmarkEnd w:id="206"/>
    </w:p>
    <w:p w14:paraId="1EE6B7B8">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5.9.1 垃圾填埋场锚固沟的设置应符合下列要求：</w:t>
      </w:r>
    </w:p>
    <w:p w14:paraId="1422CFEF">
      <w:pPr>
        <w:widowControl/>
        <w:spacing w:line="360" w:lineRule="auto"/>
        <w:ind w:firstLine="480" w:firstLineChars="200"/>
        <w:jc w:val="left"/>
        <w:rPr>
          <w:rFonts w:ascii="Times New Roman" w:hAnsi="Times New Roman" w:eastAsia="宋体" w:cs="Times New Roman"/>
          <w:sz w:val="24"/>
          <w:szCs w:val="21"/>
        </w:rPr>
      </w:pPr>
      <w:bookmarkStart w:id="207" w:name="_Toc14484"/>
      <w:r>
        <w:rPr>
          <w:rFonts w:hint="eastAsia" w:ascii="Times New Roman" w:hAnsi="Times New Roman" w:eastAsia="宋体" w:cs="Times New Roman"/>
          <w:sz w:val="24"/>
          <w:szCs w:val="21"/>
        </w:rPr>
        <w:t>1 符合实际地形状况；</w:t>
      </w:r>
      <w:bookmarkEnd w:id="207"/>
    </w:p>
    <w:p w14:paraId="168FBF3F">
      <w:pPr>
        <w:widowControl/>
        <w:spacing w:line="360" w:lineRule="auto"/>
        <w:ind w:firstLine="480" w:firstLineChars="200"/>
        <w:jc w:val="left"/>
        <w:rPr>
          <w:rFonts w:ascii="Times New Roman" w:hAnsi="Times New Roman" w:eastAsia="宋体" w:cs="Times New Roman"/>
          <w:sz w:val="24"/>
          <w:szCs w:val="21"/>
        </w:rPr>
      </w:pPr>
      <w:bookmarkStart w:id="208" w:name="_Toc13459"/>
      <w:r>
        <w:rPr>
          <w:rFonts w:hint="eastAsia" w:ascii="Times New Roman" w:hAnsi="Times New Roman" w:eastAsia="宋体" w:cs="Times New Roman"/>
          <w:sz w:val="24"/>
          <w:szCs w:val="21"/>
        </w:rPr>
        <w:t>2 垃圾填埋场四周边坡的坡高与坡长不宜超过表5.9.1的限制要求。</w:t>
      </w:r>
      <w:bookmarkEnd w:id="208"/>
    </w:p>
    <w:p w14:paraId="23A888F0">
      <w:pPr>
        <w:widowControl/>
        <w:spacing w:line="360" w:lineRule="auto"/>
        <w:ind w:firstLine="422" w:firstLineChars="200"/>
        <w:jc w:val="center"/>
        <w:rPr>
          <w:rFonts w:ascii="Times New Roman" w:hAnsi="Times New Roman" w:eastAsia="宋体" w:cs="Times New Roman"/>
          <w:b/>
          <w:sz w:val="24"/>
        </w:rPr>
      </w:pPr>
      <w:bookmarkStart w:id="209" w:name="_Toc18374"/>
      <w:r>
        <w:rPr>
          <w:rFonts w:hint="eastAsia" w:ascii="Times New Roman" w:hAnsi="Times New Roman" w:eastAsia="宋体" w:cs="Times New Roman"/>
          <w:b/>
          <w:bCs/>
          <w:szCs w:val="21"/>
        </w:rPr>
        <w:t>表5.9.1 垃圾填埋场边坡坡高与坡长限制值</w:t>
      </w:r>
      <w:bookmarkEnd w:id="20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934"/>
        <w:gridCol w:w="1420"/>
        <w:gridCol w:w="1420"/>
        <w:gridCol w:w="1421"/>
        <w:gridCol w:w="1421"/>
      </w:tblGrid>
      <w:tr w14:paraId="0452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Borders>
              <w:top w:val="single" w:color="auto" w:sz="8" w:space="0"/>
              <w:left w:val="single" w:color="auto" w:sz="8" w:space="0"/>
              <w:bottom w:val="single" w:color="auto" w:sz="8" w:space="0"/>
              <w:right w:val="single" w:color="auto" w:sz="8" w:space="0"/>
            </w:tcBorders>
            <w:vAlign w:val="center"/>
          </w:tcPr>
          <w:p w14:paraId="139A29BF">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边坡坡度</w:t>
            </w:r>
          </w:p>
        </w:tc>
        <w:tc>
          <w:tcPr>
            <w:tcW w:w="934" w:type="dxa"/>
            <w:tcBorders>
              <w:top w:val="single" w:color="auto" w:sz="8" w:space="0"/>
              <w:left w:val="single" w:color="auto" w:sz="8" w:space="0"/>
              <w:bottom w:val="single" w:color="auto" w:sz="8" w:space="0"/>
              <w:right w:val="single" w:color="auto" w:sz="8" w:space="0"/>
            </w:tcBorders>
            <w:vAlign w:val="center"/>
          </w:tcPr>
          <w:p w14:paraId="1C402D9A">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＞1:2</w:t>
            </w:r>
          </w:p>
        </w:tc>
        <w:tc>
          <w:tcPr>
            <w:tcW w:w="1420" w:type="dxa"/>
            <w:tcBorders>
              <w:top w:val="single" w:color="auto" w:sz="8" w:space="0"/>
              <w:left w:val="single" w:color="auto" w:sz="8" w:space="0"/>
              <w:bottom w:val="single" w:color="auto" w:sz="8" w:space="0"/>
              <w:right w:val="single" w:color="auto" w:sz="8" w:space="0"/>
            </w:tcBorders>
            <w:vAlign w:val="center"/>
          </w:tcPr>
          <w:p w14:paraId="65221CAC">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1:2~1:3</w:t>
            </w:r>
          </w:p>
        </w:tc>
        <w:tc>
          <w:tcPr>
            <w:tcW w:w="1420" w:type="dxa"/>
            <w:tcBorders>
              <w:top w:val="single" w:color="auto" w:sz="8" w:space="0"/>
              <w:left w:val="single" w:color="auto" w:sz="8" w:space="0"/>
              <w:bottom w:val="single" w:color="auto" w:sz="8" w:space="0"/>
              <w:right w:val="single" w:color="auto" w:sz="8" w:space="0"/>
            </w:tcBorders>
            <w:vAlign w:val="center"/>
          </w:tcPr>
          <w:p w14:paraId="68B2E75F">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1:3~1:4</w:t>
            </w:r>
          </w:p>
        </w:tc>
        <w:tc>
          <w:tcPr>
            <w:tcW w:w="1421" w:type="dxa"/>
            <w:tcBorders>
              <w:top w:val="single" w:color="auto" w:sz="8" w:space="0"/>
              <w:left w:val="single" w:color="auto" w:sz="8" w:space="0"/>
              <w:bottom w:val="single" w:color="auto" w:sz="8" w:space="0"/>
              <w:right w:val="single" w:color="auto" w:sz="8" w:space="0"/>
            </w:tcBorders>
            <w:vAlign w:val="center"/>
          </w:tcPr>
          <w:p w14:paraId="32630F24">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1:4~1:5</w:t>
            </w:r>
          </w:p>
        </w:tc>
        <w:tc>
          <w:tcPr>
            <w:tcW w:w="1421" w:type="dxa"/>
            <w:tcBorders>
              <w:top w:val="single" w:color="auto" w:sz="8" w:space="0"/>
              <w:left w:val="single" w:color="auto" w:sz="8" w:space="0"/>
              <w:bottom w:val="single" w:color="auto" w:sz="8" w:space="0"/>
              <w:right w:val="single" w:color="auto" w:sz="8" w:space="0"/>
            </w:tcBorders>
            <w:vAlign w:val="center"/>
          </w:tcPr>
          <w:p w14:paraId="1D489393">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＜1:5</w:t>
            </w:r>
          </w:p>
        </w:tc>
      </w:tr>
      <w:tr w14:paraId="739C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Borders>
              <w:top w:val="single" w:color="auto" w:sz="8" w:space="0"/>
              <w:left w:val="single" w:color="auto" w:sz="8" w:space="0"/>
              <w:bottom w:val="single" w:color="auto" w:sz="8" w:space="0"/>
              <w:right w:val="single" w:color="auto" w:sz="8" w:space="0"/>
            </w:tcBorders>
            <w:vAlign w:val="center"/>
          </w:tcPr>
          <w:p w14:paraId="5F3237AA">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限制坡高（m）</w:t>
            </w:r>
          </w:p>
        </w:tc>
        <w:tc>
          <w:tcPr>
            <w:tcW w:w="934" w:type="dxa"/>
            <w:tcBorders>
              <w:top w:val="single" w:color="auto" w:sz="8" w:space="0"/>
              <w:left w:val="single" w:color="auto" w:sz="8" w:space="0"/>
              <w:bottom w:val="single" w:color="auto" w:sz="8" w:space="0"/>
              <w:right w:val="single" w:color="auto" w:sz="8" w:space="0"/>
            </w:tcBorders>
            <w:vAlign w:val="center"/>
          </w:tcPr>
          <w:p w14:paraId="248E6B12">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10</w:t>
            </w:r>
          </w:p>
        </w:tc>
        <w:tc>
          <w:tcPr>
            <w:tcW w:w="1420" w:type="dxa"/>
            <w:tcBorders>
              <w:top w:val="single" w:color="auto" w:sz="8" w:space="0"/>
              <w:left w:val="single" w:color="auto" w:sz="8" w:space="0"/>
              <w:bottom w:val="single" w:color="auto" w:sz="8" w:space="0"/>
              <w:right w:val="single" w:color="auto" w:sz="8" w:space="0"/>
            </w:tcBorders>
            <w:vAlign w:val="center"/>
          </w:tcPr>
          <w:p w14:paraId="06AE641D">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15</w:t>
            </w:r>
          </w:p>
        </w:tc>
        <w:tc>
          <w:tcPr>
            <w:tcW w:w="1420" w:type="dxa"/>
            <w:tcBorders>
              <w:top w:val="single" w:color="auto" w:sz="8" w:space="0"/>
              <w:left w:val="single" w:color="auto" w:sz="8" w:space="0"/>
              <w:bottom w:val="single" w:color="auto" w:sz="8" w:space="0"/>
              <w:right w:val="single" w:color="auto" w:sz="8" w:space="0"/>
            </w:tcBorders>
            <w:vAlign w:val="center"/>
          </w:tcPr>
          <w:p w14:paraId="6B436674">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15</w:t>
            </w:r>
          </w:p>
        </w:tc>
        <w:tc>
          <w:tcPr>
            <w:tcW w:w="1421" w:type="dxa"/>
            <w:tcBorders>
              <w:top w:val="single" w:color="auto" w:sz="8" w:space="0"/>
              <w:left w:val="single" w:color="auto" w:sz="8" w:space="0"/>
              <w:bottom w:val="single" w:color="auto" w:sz="8" w:space="0"/>
              <w:right w:val="single" w:color="auto" w:sz="8" w:space="0"/>
            </w:tcBorders>
            <w:vAlign w:val="center"/>
          </w:tcPr>
          <w:p w14:paraId="13BE59A5">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15</w:t>
            </w:r>
          </w:p>
        </w:tc>
        <w:tc>
          <w:tcPr>
            <w:tcW w:w="1421" w:type="dxa"/>
            <w:tcBorders>
              <w:top w:val="single" w:color="auto" w:sz="8" w:space="0"/>
              <w:left w:val="single" w:color="auto" w:sz="8" w:space="0"/>
              <w:bottom w:val="single" w:color="auto" w:sz="8" w:space="0"/>
              <w:right w:val="single" w:color="auto" w:sz="8" w:space="0"/>
            </w:tcBorders>
            <w:vAlign w:val="center"/>
          </w:tcPr>
          <w:p w14:paraId="0881B8D4">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12</w:t>
            </w:r>
          </w:p>
        </w:tc>
      </w:tr>
      <w:tr w14:paraId="6D49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Borders>
              <w:top w:val="single" w:color="auto" w:sz="8" w:space="0"/>
              <w:left w:val="single" w:color="auto" w:sz="8" w:space="0"/>
              <w:bottom w:val="single" w:color="auto" w:sz="8" w:space="0"/>
              <w:right w:val="single" w:color="auto" w:sz="8" w:space="0"/>
            </w:tcBorders>
            <w:vAlign w:val="center"/>
          </w:tcPr>
          <w:p w14:paraId="51DF3FE1">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限制坡长（m）</w:t>
            </w:r>
          </w:p>
        </w:tc>
        <w:tc>
          <w:tcPr>
            <w:tcW w:w="934" w:type="dxa"/>
            <w:tcBorders>
              <w:top w:val="single" w:color="auto" w:sz="8" w:space="0"/>
              <w:left w:val="single" w:color="auto" w:sz="8" w:space="0"/>
              <w:bottom w:val="single" w:color="auto" w:sz="8" w:space="0"/>
              <w:right w:val="single" w:color="auto" w:sz="8" w:space="0"/>
            </w:tcBorders>
            <w:vAlign w:val="center"/>
          </w:tcPr>
          <w:p w14:paraId="7CA285CF">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22.5</w:t>
            </w:r>
          </w:p>
        </w:tc>
        <w:tc>
          <w:tcPr>
            <w:tcW w:w="1420" w:type="dxa"/>
            <w:tcBorders>
              <w:top w:val="single" w:color="auto" w:sz="8" w:space="0"/>
              <w:left w:val="single" w:color="auto" w:sz="8" w:space="0"/>
              <w:bottom w:val="single" w:color="auto" w:sz="8" w:space="0"/>
              <w:right w:val="single" w:color="auto" w:sz="8" w:space="0"/>
            </w:tcBorders>
            <w:vAlign w:val="center"/>
          </w:tcPr>
          <w:p w14:paraId="01F445B2">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40</w:t>
            </w:r>
          </w:p>
        </w:tc>
        <w:tc>
          <w:tcPr>
            <w:tcW w:w="1420" w:type="dxa"/>
            <w:tcBorders>
              <w:top w:val="single" w:color="auto" w:sz="8" w:space="0"/>
              <w:left w:val="single" w:color="auto" w:sz="8" w:space="0"/>
              <w:bottom w:val="single" w:color="auto" w:sz="8" w:space="0"/>
              <w:right w:val="single" w:color="auto" w:sz="8" w:space="0"/>
            </w:tcBorders>
            <w:vAlign w:val="center"/>
          </w:tcPr>
          <w:p w14:paraId="13227BEF">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50</w:t>
            </w:r>
          </w:p>
        </w:tc>
        <w:tc>
          <w:tcPr>
            <w:tcW w:w="1421" w:type="dxa"/>
            <w:tcBorders>
              <w:top w:val="single" w:color="auto" w:sz="8" w:space="0"/>
              <w:left w:val="single" w:color="auto" w:sz="8" w:space="0"/>
              <w:bottom w:val="single" w:color="auto" w:sz="8" w:space="0"/>
              <w:right w:val="single" w:color="auto" w:sz="8" w:space="0"/>
            </w:tcBorders>
            <w:vAlign w:val="center"/>
          </w:tcPr>
          <w:p w14:paraId="2CF93122">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55</w:t>
            </w:r>
          </w:p>
        </w:tc>
        <w:tc>
          <w:tcPr>
            <w:tcW w:w="1421" w:type="dxa"/>
            <w:tcBorders>
              <w:top w:val="single" w:color="auto" w:sz="8" w:space="0"/>
              <w:left w:val="single" w:color="auto" w:sz="8" w:space="0"/>
              <w:bottom w:val="single" w:color="auto" w:sz="8" w:space="0"/>
              <w:right w:val="single" w:color="auto" w:sz="8" w:space="0"/>
            </w:tcBorders>
            <w:vAlign w:val="center"/>
          </w:tcPr>
          <w:p w14:paraId="6EDE9D65">
            <w:pPr>
              <w:widowControl/>
              <w:adjustRightInd w:val="0"/>
              <w:snapToGrid w:val="0"/>
              <w:spacing w:before="120" w:after="120" w:line="360" w:lineRule="auto"/>
              <w:jc w:val="center"/>
              <w:rPr>
                <w:rFonts w:ascii="Times New Roman" w:hAnsi="Times New Roman" w:eastAsia="宋体" w:cs="Times New Roman"/>
                <w:sz w:val="24"/>
              </w:rPr>
            </w:pPr>
            <w:r>
              <w:rPr>
                <w:rFonts w:hint="eastAsia" w:ascii="Times New Roman" w:hAnsi="Times New Roman" w:eastAsia="宋体" w:cs="Times New Roman"/>
                <w:sz w:val="24"/>
              </w:rPr>
              <w:t>60</w:t>
            </w:r>
          </w:p>
        </w:tc>
      </w:tr>
    </w:tbl>
    <w:p w14:paraId="2A624ABC">
      <w:pPr>
        <w:widowControl/>
        <w:spacing w:line="360" w:lineRule="auto"/>
        <w:jc w:val="left"/>
        <w:outlineLvl w:val="2"/>
        <w:rPr>
          <w:rFonts w:ascii="Times New Roman" w:hAnsi="Times New Roman" w:eastAsia="宋体" w:cs="Times New Roman"/>
          <w:sz w:val="24"/>
          <w:szCs w:val="21"/>
        </w:rPr>
      </w:pPr>
      <w:bookmarkStart w:id="210" w:name="_Toc23880"/>
      <w:r>
        <w:rPr>
          <w:rFonts w:hint="eastAsia" w:ascii="Times New Roman" w:hAnsi="Times New Roman" w:eastAsia="宋体" w:cs="Times New Roman"/>
          <w:sz w:val="24"/>
          <w:szCs w:val="21"/>
        </w:rPr>
        <w:t>5.9.2 锚固沟的设计应符合下列要求：</w:t>
      </w:r>
      <w:bookmarkEnd w:id="210"/>
    </w:p>
    <w:p w14:paraId="17D9D40F">
      <w:pPr>
        <w:widowControl/>
        <w:spacing w:line="360" w:lineRule="auto"/>
        <w:ind w:firstLine="480" w:firstLineChars="200"/>
        <w:jc w:val="left"/>
        <w:rPr>
          <w:rFonts w:ascii="Times New Roman" w:hAnsi="Times New Roman" w:eastAsia="宋体" w:cs="Times New Roman"/>
          <w:sz w:val="24"/>
          <w:szCs w:val="21"/>
          <w:lang w:val="zh-CN"/>
        </w:rPr>
      </w:pPr>
      <w:bookmarkStart w:id="211" w:name="_Toc16735"/>
      <w:r>
        <w:rPr>
          <w:rFonts w:hint="eastAsia" w:ascii="Times New Roman" w:hAnsi="Times New Roman" w:eastAsia="宋体" w:cs="Times New Roman"/>
          <w:sz w:val="24"/>
          <w:szCs w:val="21"/>
        </w:rPr>
        <w:t xml:space="preserve">1 </w:t>
      </w:r>
      <w:r>
        <w:rPr>
          <w:rFonts w:hint="eastAsia" w:ascii="Times New Roman" w:hAnsi="Times New Roman" w:eastAsia="宋体" w:cs="Times New Roman"/>
          <w:sz w:val="24"/>
          <w:szCs w:val="21"/>
          <w:lang w:val="zh-CN"/>
        </w:rPr>
        <w:t>锚固沟距离边坡边缘不宜小于800mm；</w:t>
      </w:r>
      <w:bookmarkEnd w:id="211"/>
    </w:p>
    <w:p w14:paraId="1AA8FB0C">
      <w:pPr>
        <w:widowControl/>
        <w:spacing w:line="360" w:lineRule="auto"/>
        <w:ind w:firstLine="480" w:firstLineChars="200"/>
        <w:jc w:val="left"/>
        <w:rPr>
          <w:rFonts w:ascii="Times New Roman" w:hAnsi="Times New Roman" w:eastAsia="宋体" w:cs="Times New Roman"/>
          <w:sz w:val="24"/>
          <w:szCs w:val="21"/>
          <w:lang w:val="zh-CN"/>
        </w:rPr>
      </w:pPr>
      <w:bookmarkStart w:id="212" w:name="_Toc12660"/>
      <w:r>
        <w:rPr>
          <w:rFonts w:hint="eastAsia" w:ascii="Times New Roman" w:hAnsi="Times New Roman" w:eastAsia="宋体" w:cs="Times New Roman"/>
          <w:sz w:val="24"/>
          <w:szCs w:val="21"/>
          <w:lang w:val="zh-CN"/>
        </w:rPr>
        <w:t>2 防渗系统工程材料转折处不得存在直角的刚性结构，均应做成弧形结构；</w:t>
      </w:r>
      <w:bookmarkEnd w:id="212"/>
    </w:p>
    <w:p w14:paraId="5FB3CCA8">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锚固沟断面应根据锚固形式，结合实际情况加以计算，不宜小于800mm</w:t>
      </w:r>
      <w:r>
        <w:rPr>
          <w:rFonts w:ascii="Arial" w:hAnsi="Arial" w:eastAsia="宋体" w:cs="Arial"/>
          <w:sz w:val="24"/>
          <w:szCs w:val="21"/>
        </w:rPr>
        <w:t>×</w:t>
      </w:r>
      <w:r>
        <w:rPr>
          <w:rFonts w:hint="eastAsia" w:ascii="Times New Roman" w:hAnsi="Times New Roman" w:eastAsia="宋体" w:cs="Times New Roman"/>
          <w:sz w:val="24"/>
          <w:szCs w:val="21"/>
        </w:rPr>
        <w:t>800mm。典型锚固沟结构形式见图5.9.2-1和图5.9.2-2。</w:t>
      </w:r>
    </w:p>
    <w:p w14:paraId="0FBF25F2">
      <w:pPr>
        <w:widowControl/>
        <w:spacing w:line="360" w:lineRule="auto"/>
        <w:ind w:firstLine="480" w:firstLineChars="200"/>
        <w:jc w:val="left"/>
        <w:rPr>
          <w:rFonts w:ascii="Times New Roman" w:hAnsi="Times New Roman" w:eastAsia="宋体" w:cs="Times New Roman"/>
          <w:sz w:val="24"/>
          <w:szCs w:val="21"/>
        </w:rPr>
      </w:pPr>
      <w:bookmarkStart w:id="213" w:name="_Toc11671"/>
      <w:r>
        <w:rPr>
          <w:rFonts w:hint="eastAsia" w:ascii="Times New Roman" w:hAnsi="Times New Roman" w:eastAsia="宋体" w:cs="Times New Roman"/>
          <w:sz w:val="24"/>
          <w:szCs w:val="21"/>
        </w:rPr>
        <w:t>4 在条件具备的垃圾填埋场，设置雨水导排时宜与锚固沟</w:t>
      </w:r>
      <w:r>
        <w:rPr>
          <w:rFonts w:ascii="Times New Roman" w:hAnsi="Times New Roman" w:eastAsia="宋体" w:cs="Times New Roman"/>
          <w:sz w:val="24"/>
          <w:szCs w:val="21"/>
        </w:rPr>
        <w:t>相结合。</w:t>
      </w:r>
      <w:bookmarkEnd w:id="213"/>
    </w:p>
    <w:p w14:paraId="331F7162">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5 </w:t>
      </w:r>
      <w:r>
        <w:rPr>
          <w:rFonts w:ascii="Times New Roman" w:hAnsi="Times New Roman" w:eastAsia="宋体" w:cs="Times New Roman"/>
          <w:sz w:val="24"/>
          <w:szCs w:val="21"/>
        </w:rPr>
        <w:t>在垃圾填埋场临时作业道路上铺设防渗膜时，应在道路中间位置开挖锚固沟(图</w:t>
      </w:r>
      <w:r>
        <w:rPr>
          <w:rFonts w:hint="eastAsia" w:ascii="Times New Roman" w:hAnsi="Times New Roman" w:eastAsia="宋体" w:cs="Times New Roman"/>
          <w:sz w:val="24"/>
          <w:szCs w:val="21"/>
        </w:rPr>
        <w:t>5.9.2-</w:t>
      </w:r>
      <w:r>
        <w:rPr>
          <w:rFonts w:ascii="Times New Roman" w:hAnsi="Times New Roman" w:eastAsia="宋体" w:cs="Times New Roman"/>
          <w:sz w:val="24"/>
          <w:szCs w:val="21"/>
        </w:rPr>
        <w:t>3)。道路防渗膜与边坡防渗膜焊接完毕后，应进行充分锚固</w:t>
      </w:r>
      <w:r>
        <w:rPr>
          <w:rFonts w:hint="eastAsia" w:ascii="Times New Roman" w:hAnsi="Times New Roman" w:eastAsia="宋体" w:cs="Times New Roman"/>
          <w:sz w:val="24"/>
          <w:szCs w:val="21"/>
        </w:rPr>
        <w:t>，</w:t>
      </w:r>
      <w:r>
        <w:rPr>
          <w:rFonts w:ascii="Times New Roman" w:hAnsi="Times New Roman" w:eastAsia="宋体" w:cs="Times New Roman"/>
          <w:sz w:val="24"/>
          <w:szCs w:val="21"/>
        </w:rPr>
        <w:t>道路防渗膜与边坡防渗膜不应采用单轨焊接连接方式。</w:t>
      </w:r>
    </w:p>
    <w:p w14:paraId="584D867B">
      <w:pPr>
        <w:widowControl/>
        <w:adjustRightInd w:val="0"/>
        <w:snapToGrid w:val="0"/>
        <w:spacing w:line="360" w:lineRule="auto"/>
        <w:jc w:val="left"/>
      </w:pPr>
      <w:r>
        <w:drawing>
          <wp:inline distT="0" distB="0" distL="114300" distR="114300">
            <wp:extent cx="5269230" cy="2159635"/>
            <wp:effectExtent l="0" t="0" r="381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9230" cy="2159635"/>
                    </a:xfrm>
                    <a:prstGeom prst="rect">
                      <a:avLst/>
                    </a:prstGeom>
                    <a:noFill/>
                    <a:ln>
                      <a:noFill/>
                    </a:ln>
                  </pic:spPr>
                </pic:pic>
              </a:graphicData>
            </a:graphic>
          </wp:inline>
        </w:drawing>
      </w:r>
    </w:p>
    <w:p w14:paraId="312CFA45">
      <w:pPr>
        <w:widowControl/>
        <w:spacing w:line="360" w:lineRule="auto"/>
        <w:ind w:firstLine="422" w:firstLineChars="200"/>
        <w:jc w:val="center"/>
        <w:rPr>
          <w:rFonts w:ascii="Times New Roman" w:hAnsi="Times New Roman" w:eastAsia="宋体" w:cs="Times New Roman"/>
          <w:b/>
          <w:sz w:val="24"/>
        </w:rPr>
      </w:pPr>
      <w:bookmarkStart w:id="214" w:name="_Toc12214"/>
      <w:r>
        <w:rPr>
          <w:rFonts w:hint="eastAsia" w:ascii="Times New Roman" w:hAnsi="Times New Roman" w:eastAsia="宋体" w:cs="Times New Roman"/>
          <w:b/>
          <w:szCs w:val="21"/>
        </w:rPr>
        <w:t>图5.9.2-1  边坡锚固平台典型结构图</w:t>
      </w:r>
      <w:bookmarkEnd w:id="214"/>
    </w:p>
    <w:p w14:paraId="2589FDE3">
      <w:pPr>
        <w:widowControl/>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注：b1≥800mm；b2≥800mm；b3≥1000mm；b4≥250mm；B≥300mm；H≥800mm；</w:t>
      </w:r>
    </w:p>
    <w:p w14:paraId="39DDB89E">
      <w:pPr>
        <w:widowControl/>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h1≥H/3</w:t>
      </w:r>
    </w:p>
    <w:p w14:paraId="0A00665C">
      <w:pPr>
        <w:widowControl/>
        <w:spacing w:line="360" w:lineRule="auto"/>
      </w:pPr>
      <w:r>
        <w:drawing>
          <wp:inline distT="0" distB="0" distL="114300" distR="114300">
            <wp:extent cx="5270500" cy="2367280"/>
            <wp:effectExtent l="0" t="0" r="2540"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70500" cy="2367280"/>
                    </a:xfrm>
                    <a:prstGeom prst="rect">
                      <a:avLst/>
                    </a:prstGeom>
                    <a:noFill/>
                    <a:ln>
                      <a:noFill/>
                    </a:ln>
                  </pic:spPr>
                </pic:pic>
              </a:graphicData>
            </a:graphic>
          </wp:inline>
        </w:drawing>
      </w:r>
    </w:p>
    <w:p w14:paraId="4C638C8C">
      <w:pPr>
        <w:widowControl/>
        <w:spacing w:line="360" w:lineRule="auto"/>
        <w:ind w:firstLine="422" w:firstLineChars="200"/>
        <w:jc w:val="center"/>
        <w:rPr>
          <w:rFonts w:ascii="Times New Roman" w:hAnsi="Times New Roman" w:eastAsia="宋体" w:cs="Times New Roman"/>
          <w:b/>
          <w:sz w:val="24"/>
        </w:rPr>
      </w:pPr>
      <w:r>
        <w:rPr>
          <w:rFonts w:hint="eastAsia" w:ascii="Times New Roman" w:hAnsi="Times New Roman" w:eastAsia="宋体" w:cs="Times New Roman"/>
          <w:b/>
          <w:szCs w:val="21"/>
        </w:rPr>
        <w:t>图5.9.2-2  终场锚固沟典型结构图</w:t>
      </w:r>
    </w:p>
    <w:p w14:paraId="2213A862">
      <w:pPr>
        <w:widowControl/>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注：b1≥800mm；b2≥800mm；；B≥200mm；H≥800mm；h1≥H/3</w:t>
      </w:r>
    </w:p>
    <w:p w14:paraId="672F830D">
      <w:pPr>
        <w:widowControl/>
        <w:adjustRightInd w:val="0"/>
        <w:snapToGrid w:val="0"/>
        <w:spacing w:line="360" w:lineRule="auto"/>
        <w:jc w:val="center"/>
        <w:rPr>
          <w:rFonts w:ascii="Times New Roman" w:hAnsi="Times New Roman" w:eastAsia="宋体" w:cs="Times New Roman"/>
          <w:bCs/>
          <w:sz w:val="24"/>
          <w:szCs w:val="21"/>
        </w:rPr>
      </w:pPr>
      <w:r>
        <w:drawing>
          <wp:inline distT="0" distB="0" distL="114300" distR="114300">
            <wp:extent cx="5075555" cy="1527175"/>
            <wp:effectExtent l="0" t="0" r="1460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rcRect r="3664"/>
                    <a:stretch>
                      <a:fillRect/>
                    </a:stretch>
                  </pic:blipFill>
                  <pic:spPr>
                    <a:xfrm>
                      <a:off x="0" y="0"/>
                      <a:ext cx="5075555" cy="1527175"/>
                    </a:xfrm>
                    <a:prstGeom prst="rect">
                      <a:avLst/>
                    </a:prstGeom>
                    <a:noFill/>
                    <a:ln>
                      <a:noFill/>
                    </a:ln>
                  </pic:spPr>
                </pic:pic>
              </a:graphicData>
            </a:graphic>
          </wp:inline>
        </w:drawing>
      </w:r>
    </w:p>
    <w:p w14:paraId="24C3868E">
      <w:pPr>
        <w:widowControl/>
        <w:spacing w:line="360" w:lineRule="auto"/>
        <w:ind w:firstLine="422" w:firstLineChars="200"/>
        <w:jc w:val="center"/>
        <w:rPr>
          <w:rFonts w:ascii="Times New Roman" w:hAnsi="Times New Roman" w:eastAsia="宋体" w:cs="Times New Roman"/>
          <w:b/>
          <w:sz w:val="24"/>
        </w:rPr>
      </w:pPr>
      <w:r>
        <w:rPr>
          <w:rFonts w:hint="eastAsia" w:ascii="Times New Roman" w:hAnsi="Times New Roman" w:eastAsia="宋体" w:cs="Times New Roman"/>
          <w:b/>
          <w:szCs w:val="21"/>
        </w:rPr>
        <w:t>图5.9.2-3  填埋场作业道路中间位置锚固沟结构示意图</w:t>
      </w:r>
    </w:p>
    <w:p w14:paraId="7C0DC096">
      <w:pPr>
        <w:widowControl/>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注：1-填埋场边坡；2-防渗材料层；3-锚固沟回填材料；4-弧形；5-作业道路</w:t>
      </w:r>
    </w:p>
    <w:p w14:paraId="36A233E0">
      <w:pPr>
        <w:widowControl/>
        <w:spacing w:line="360" w:lineRule="auto"/>
        <w:jc w:val="left"/>
        <w:outlineLvl w:val="2"/>
        <w:rPr>
          <w:rFonts w:ascii="Times New Roman" w:hAnsi="Times New Roman" w:eastAsia="宋体" w:cs="Times New Roman"/>
          <w:sz w:val="24"/>
          <w:szCs w:val="21"/>
        </w:rPr>
      </w:pPr>
      <w:bookmarkStart w:id="215" w:name="_Toc29366"/>
      <w:r>
        <w:rPr>
          <w:rFonts w:hint="eastAsia" w:ascii="Times New Roman" w:hAnsi="Times New Roman" w:eastAsia="宋体" w:cs="Times New Roman"/>
          <w:sz w:val="24"/>
          <w:szCs w:val="21"/>
        </w:rPr>
        <w:t>5.9.3 穿过垃圾坝的管道与防渗层应采用管靴连接。</w:t>
      </w:r>
      <w:bookmarkEnd w:id="215"/>
    </w:p>
    <w:p w14:paraId="07ACFC1C">
      <w:pPr>
        <w:widowControl/>
        <w:spacing w:line="360" w:lineRule="auto"/>
        <w:jc w:val="left"/>
        <w:outlineLvl w:val="2"/>
        <w:rPr>
          <w:rFonts w:ascii="Times New Roman" w:hAnsi="Times New Roman" w:eastAsia="宋体" w:cs="Times New Roman"/>
          <w:sz w:val="24"/>
          <w:szCs w:val="21"/>
        </w:rPr>
      </w:pPr>
      <w:bookmarkStart w:id="216" w:name="_Toc1743"/>
      <w:r>
        <w:rPr>
          <w:rFonts w:hint="eastAsia" w:ascii="Times New Roman" w:hAnsi="Times New Roman" w:eastAsia="宋体" w:cs="Times New Roman"/>
          <w:sz w:val="24"/>
          <w:szCs w:val="21"/>
        </w:rPr>
        <w:t>5</w:t>
      </w:r>
      <w:r>
        <w:rPr>
          <w:rFonts w:ascii="Times New Roman" w:hAnsi="Times New Roman" w:eastAsia="宋体" w:cs="Times New Roman"/>
          <w:sz w:val="24"/>
          <w:szCs w:val="21"/>
        </w:rPr>
        <w:t>.9.4 分区坝应做好防渗处理，并采取雨污分流措施。</w:t>
      </w:r>
      <w:bookmarkEnd w:id="216"/>
    </w:p>
    <w:p w14:paraId="12506896">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w:t>
      </w:r>
      <w:r>
        <w:rPr>
          <w:rFonts w:ascii="Times New Roman" w:hAnsi="Times New Roman" w:eastAsia="宋体" w:cs="Times New Roman"/>
          <w:sz w:val="24"/>
          <w:szCs w:val="21"/>
        </w:rPr>
        <w:t>.9.5</w:t>
      </w:r>
      <w:r>
        <w:rPr>
          <w:rFonts w:hint="eastAsia" w:ascii="Times New Roman" w:hAnsi="Times New Roman" w:eastAsia="宋体" w:cs="Times New Roman"/>
          <w:sz w:val="24"/>
          <w:szCs w:val="21"/>
        </w:rPr>
        <w:t xml:space="preserve"> </w:t>
      </w:r>
      <w:r>
        <w:rPr>
          <w:rFonts w:ascii="Times New Roman" w:hAnsi="Times New Roman" w:eastAsia="宋体" w:cs="Times New Roman"/>
          <w:sz w:val="24"/>
          <w:szCs w:val="21"/>
        </w:rPr>
        <w:t>导排盲沟宜采用整幅通长的高密度聚乙烯土工膜卷，不宜在导排沟中出现焊缝。</w:t>
      </w:r>
    </w:p>
    <w:p w14:paraId="31C8EEA0">
      <w:pPr>
        <w:widowControl/>
        <w:spacing w:line="360" w:lineRule="auto"/>
        <w:jc w:val="left"/>
        <w:outlineLvl w:val="2"/>
        <w:rPr>
          <w:rFonts w:hint="eastAsia" w:ascii="Times New Roman" w:hAnsi="Times New Roman" w:eastAsia="宋体" w:cs="Times New Roman"/>
          <w:sz w:val="24"/>
          <w:szCs w:val="21"/>
        </w:rPr>
      </w:pPr>
      <w:bookmarkStart w:id="217" w:name="_Toc26599"/>
      <w:r>
        <w:rPr>
          <w:rFonts w:hint="eastAsia" w:ascii="Times New Roman" w:hAnsi="Times New Roman" w:eastAsia="宋体" w:cs="Times New Roman"/>
          <w:sz w:val="24"/>
          <w:szCs w:val="21"/>
        </w:rPr>
        <w:t xml:space="preserve">5.9.6 </w:t>
      </w:r>
      <w:r>
        <w:rPr>
          <w:rFonts w:hint="eastAsia" w:ascii="Times New Roman" w:hAnsi="Times New Roman" w:eastAsia="宋体" w:cs="Times New Roman"/>
          <w:sz w:val="24"/>
          <w:szCs w:val="21"/>
          <w:lang w:val="en-US" w:eastAsia="zh-CN"/>
        </w:rPr>
        <w:t xml:space="preserve"> </w:t>
      </w:r>
      <w:r>
        <w:rPr>
          <w:rFonts w:hint="eastAsia" w:ascii="Times New Roman" w:hAnsi="Times New Roman" w:eastAsia="宋体" w:cs="Times New Roman"/>
          <w:sz w:val="24"/>
          <w:szCs w:val="21"/>
        </w:rPr>
        <w:t>T型焊缝加强应沿焊缝采用单轨焊枪直接加强，单向单轨加强长度不低于15cm，避免采用打补丁的方式进行焊缝加强;</w:t>
      </w:r>
    </w:p>
    <w:p w14:paraId="04774972">
      <w:pPr>
        <w:widowControl/>
        <w:spacing w:line="360" w:lineRule="auto"/>
        <w:jc w:val="left"/>
        <w:outlineLvl w:val="2"/>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5.9.7 中间锚固沟平台上坡膜与下坡膜应采用双轨焊接，避免平台长焊缝大量单轨焊接。</w:t>
      </w:r>
    </w:p>
    <w:p w14:paraId="6F493B4E">
      <w:pPr>
        <w:widowControl/>
        <w:spacing w:line="360" w:lineRule="auto"/>
        <w:jc w:val="left"/>
        <w:outlineLvl w:val="2"/>
        <w:rPr>
          <w:rFonts w:hint="eastAsia" w:ascii="Times New Roman" w:hAnsi="Times New Roman" w:eastAsia="宋体" w:cs="Times New Roman"/>
          <w:sz w:val="24"/>
          <w:szCs w:val="21"/>
          <w:lang w:eastAsia="zh-CN"/>
        </w:rPr>
      </w:pPr>
      <w:r>
        <w:rPr>
          <w:rFonts w:hint="eastAsia" w:ascii="Times New Roman" w:hAnsi="Times New Roman" w:eastAsia="宋体" w:cs="Times New Roman"/>
          <w:sz w:val="24"/>
          <w:szCs w:val="21"/>
        </w:rPr>
        <w:t>5.9.8 锚固沟的防渗膜具体焊接方式建议如图</w:t>
      </w:r>
      <w:r>
        <w:rPr>
          <w:rFonts w:hint="eastAsia" w:ascii="Times New Roman" w:hAnsi="Times New Roman" w:eastAsia="宋体" w:cs="Times New Roman"/>
          <w:sz w:val="24"/>
          <w:szCs w:val="21"/>
          <w:lang w:val="en-US" w:eastAsia="zh-CN"/>
        </w:rPr>
        <w:t>5.9.8-1和5.9.8-2</w:t>
      </w:r>
      <w:r>
        <w:rPr>
          <w:rFonts w:hint="eastAsia" w:ascii="Times New Roman" w:hAnsi="Times New Roman" w:eastAsia="宋体" w:cs="Times New Roman"/>
          <w:sz w:val="24"/>
          <w:szCs w:val="21"/>
        </w:rPr>
        <w:t>所示</w:t>
      </w:r>
      <w:r>
        <w:rPr>
          <w:rFonts w:hint="eastAsia" w:ascii="Times New Roman" w:hAnsi="Times New Roman" w:eastAsia="宋体" w:cs="Times New Roman"/>
          <w:sz w:val="24"/>
          <w:szCs w:val="21"/>
          <w:lang w:eastAsia="zh-CN"/>
        </w:rPr>
        <w:t>。</w:t>
      </w:r>
    </w:p>
    <w:p w14:paraId="67751592">
      <w:pPr>
        <w:spacing w:before="156" w:beforeLines="50" w:after="156" w:afterLines="50"/>
        <w:jc w:val="center"/>
        <w:outlineLvl w:val="1"/>
        <w:rPr>
          <w:rFonts w:ascii="Times New Roman" w:hAnsi="Times New Roman" w:eastAsia="宋体" w:cs="Times New Roman"/>
          <w:color w:val="FF0000"/>
          <w:sz w:val="24"/>
          <w:szCs w:val="21"/>
          <w:highlight w:val="yellow"/>
        </w:rPr>
      </w:pPr>
    </w:p>
    <w:p w14:paraId="11C97428">
      <w:pPr>
        <w:spacing w:before="156" w:beforeLines="50" w:after="156" w:afterLines="50"/>
        <w:jc w:val="center"/>
        <w:outlineLvl w:val="1"/>
        <w:rPr>
          <w:rFonts w:ascii="Times New Roman" w:hAnsi="Times New Roman" w:eastAsia="宋体" w:cs="Times New Roman"/>
          <w:color w:val="FF0000"/>
          <w:sz w:val="24"/>
          <w:szCs w:val="21"/>
          <w:highlight w:val="yellow"/>
        </w:rPr>
      </w:pPr>
      <w:r>
        <w:drawing>
          <wp:inline distT="0" distB="0" distL="0" distR="0">
            <wp:extent cx="3470910" cy="2457450"/>
            <wp:effectExtent l="0" t="0" r="3810" b="11430"/>
            <wp:docPr id="126706766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7666" name="图片 1" descr="图示&#10;&#10;描述已自动生成"/>
                    <pic:cNvPicPr>
                      <a:picLocks noChangeAspect="1"/>
                    </pic:cNvPicPr>
                  </pic:nvPicPr>
                  <pic:blipFill>
                    <a:blip r:embed="rId15"/>
                    <a:stretch>
                      <a:fillRect/>
                    </a:stretch>
                  </pic:blipFill>
                  <pic:spPr>
                    <a:xfrm>
                      <a:off x="0" y="0"/>
                      <a:ext cx="3510183" cy="2484936"/>
                    </a:xfrm>
                    <a:prstGeom prst="rect">
                      <a:avLst/>
                    </a:prstGeom>
                  </pic:spPr>
                </pic:pic>
              </a:graphicData>
            </a:graphic>
          </wp:inline>
        </w:drawing>
      </w:r>
    </w:p>
    <w:p w14:paraId="7879EE81">
      <w:pPr>
        <w:spacing w:before="156" w:beforeLines="50" w:after="156" w:afterLines="50"/>
        <w:jc w:val="center"/>
        <w:outlineLvl w:val="1"/>
        <w:rPr>
          <w:rFonts w:ascii="Times New Roman" w:hAnsi="Times New Roman" w:eastAsia="宋体" w:cs="Times New Roman"/>
          <w:color w:val="FF0000"/>
          <w:sz w:val="24"/>
          <w:szCs w:val="21"/>
          <w:highlight w:val="yellow"/>
        </w:rPr>
      </w:pPr>
      <w:r>
        <w:drawing>
          <wp:inline distT="0" distB="0" distL="0" distR="0">
            <wp:extent cx="3507105" cy="2297430"/>
            <wp:effectExtent l="0" t="0" r="13335" b="3810"/>
            <wp:docPr id="150703676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36763" name="图片 1" descr="图示&#10;&#10;描述已自动生成"/>
                    <pic:cNvPicPr>
                      <a:picLocks noChangeAspect="1"/>
                    </pic:cNvPicPr>
                  </pic:nvPicPr>
                  <pic:blipFill>
                    <a:blip r:embed="rId16"/>
                    <a:stretch>
                      <a:fillRect/>
                    </a:stretch>
                  </pic:blipFill>
                  <pic:spPr>
                    <a:xfrm>
                      <a:off x="0" y="0"/>
                      <a:ext cx="3530870" cy="2312962"/>
                    </a:xfrm>
                    <a:prstGeom prst="rect">
                      <a:avLst/>
                    </a:prstGeom>
                  </pic:spPr>
                </pic:pic>
              </a:graphicData>
            </a:graphic>
          </wp:inline>
        </w:drawing>
      </w:r>
    </w:p>
    <w:p w14:paraId="78BFD21B">
      <w:pPr>
        <w:spacing w:before="156" w:beforeLines="50" w:after="156" w:afterLines="50"/>
        <w:jc w:val="center"/>
        <w:outlineLvl w:val="1"/>
        <w:rPr>
          <w:rFonts w:hint="eastAsia" w:ascii="Times New Roman" w:hAnsi="Times New Roman" w:eastAsia="宋体" w:cs="Times New Roman"/>
          <w:color w:val="FF0000"/>
          <w:sz w:val="24"/>
          <w:szCs w:val="21"/>
          <w:highlight w:val="yellow"/>
          <w:lang w:val="en-US" w:eastAsia="zh-CN"/>
        </w:rPr>
      </w:pPr>
      <w:r>
        <w:rPr>
          <w:rFonts w:hint="eastAsia" w:ascii="Times New Roman" w:hAnsi="Times New Roman" w:eastAsia="宋体" w:cs="Times New Roman"/>
          <w:b/>
          <w:szCs w:val="21"/>
        </w:rPr>
        <w:t>图5.9.</w:t>
      </w:r>
      <w:r>
        <w:rPr>
          <w:rFonts w:hint="eastAsia" w:ascii="Times New Roman" w:hAnsi="Times New Roman" w:eastAsia="宋体" w:cs="Times New Roman"/>
          <w:b/>
          <w:szCs w:val="21"/>
          <w:lang w:val="en-US" w:eastAsia="zh-CN"/>
        </w:rPr>
        <w:t>8</w:t>
      </w: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1</w:t>
      </w:r>
      <w:r>
        <w:rPr>
          <w:rFonts w:hint="eastAsia" w:ascii="Times New Roman" w:hAnsi="Times New Roman" w:eastAsia="宋体" w:cs="Times New Roman"/>
          <w:b/>
          <w:szCs w:val="21"/>
        </w:rPr>
        <w:t xml:space="preserve">  边坡锚固平台</w:t>
      </w:r>
      <w:r>
        <w:rPr>
          <w:rFonts w:hint="eastAsia" w:ascii="Times New Roman" w:hAnsi="Times New Roman" w:eastAsia="宋体" w:cs="Times New Roman"/>
          <w:b/>
          <w:szCs w:val="21"/>
          <w:lang w:eastAsia="zh-CN"/>
        </w:rPr>
        <w:t>焊接</w:t>
      </w:r>
      <w:r>
        <w:rPr>
          <w:rFonts w:hint="eastAsia" w:ascii="Times New Roman" w:hAnsi="Times New Roman" w:eastAsia="宋体" w:cs="Times New Roman"/>
          <w:b/>
          <w:szCs w:val="21"/>
        </w:rPr>
        <w:t>典型结构示意图</w:t>
      </w:r>
      <w:r>
        <w:rPr>
          <w:rFonts w:hint="eastAsia" w:ascii="Times New Roman" w:hAnsi="Times New Roman" w:eastAsia="宋体" w:cs="Times New Roman"/>
          <w:b/>
          <w:szCs w:val="21"/>
          <w:lang w:val="en-US" w:eastAsia="zh-CN"/>
        </w:rPr>
        <w:t>1</w:t>
      </w:r>
    </w:p>
    <w:p w14:paraId="71EC50C3">
      <w:pPr>
        <w:spacing w:before="156" w:beforeLines="50" w:after="156" w:afterLines="50"/>
        <w:jc w:val="center"/>
        <w:outlineLvl w:val="1"/>
        <w:rPr>
          <w:rFonts w:ascii="Times New Roman" w:hAnsi="Times New Roman" w:eastAsia="宋体" w:cs="Times New Roman"/>
          <w:color w:val="FF0000"/>
          <w:sz w:val="24"/>
          <w:szCs w:val="21"/>
          <w:highlight w:val="yellow"/>
        </w:rPr>
      </w:pPr>
    </w:p>
    <w:p w14:paraId="11E34BE4">
      <w:pPr>
        <w:spacing w:before="156" w:beforeLines="50" w:after="156" w:afterLines="50"/>
        <w:jc w:val="center"/>
        <w:outlineLvl w:val="1"/>
        <w:rPr>
          <w:rFonts w:ascii="Times New Roman" w:hAnsi="Times New Roman" w:eastAsia="宋体" w:cs="Times New Roman"/>
          <w:color w:val="FF0000"/>
          <w:sz w:val="24"/>
          <w:szCs w:val="21"/>
          <w:highlight w:val="yellow"/>
        </w:rPr>
      </w:pPr>
    </w:p>
    <w:p w14:paraId="57E337D4">
      <w:pPr>
        <w:spacing w:before="156" w:beforeLines="50" w:after="156" w:afterLines="50"/>
        <w:jc w:val="center"/>
        <w:outlineLvl w:val="1"/>
        <w:rPr>
          <w:rFonts w:ascii="Times New Roman" w:hAnsi="Times New Roman" w:eastAsia="宋体" w:cs="Times New Roman"/>
          <w:color w:val="FF0000"/>
          <w:sz w:val="24"/>
          <w:szCs w:val="21"/>
          <w:highlight w:val="yellow"/>
        </w:rPr>
      </w:pPr>
    </w:p>
    <w:p w14:paraId="42E19D3A">
      <w:pPr>
        <w:spacing w:before="156" w:beforeLines="50" w:after="156" w:afterLines="50"/>
        <w:jc w:val="center"/>
        <w:outlineLvl w:val="1"/>
        <w:rPr>
          <w:rFonts w:ascii="Times New Roman" w:hAnsi="Times New Roman" w:eastAsia="宋体" w:cs="Times New Roman"/>
          <w:color w:val="FF0000"/>
          <w:sz w:val="24"/>
          <w:szCs w:val="21"/>
          <w:highlight w:val="yellow"/>
        </w:rPr>
      </w:pPr>
      <w:r>
        <w:drawing>
          <wp:inline distT="0" distB="0" distL="0" distR="0">
            <wp:extent cx="3973830" cy="2601595"/>
            <wp:effectExtent l="0" t="0" r="3810" b="4445"/>
            <wp:docPr id="2041630144" name="图片 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30144" name="图片 1" descr="图表, 图示&#10;&#10;描述已自动生成"/>
                    <pic:cNvPicPr>
                      <a:picLocks noChangeAspect="1"/>
                    </pic:cNvPicPr>
                  </pic:nvPicPr>
                  <pic:blipFill>
                    <a:blip r:embed="rId17"/>
                    <a:stretch>
                      <a:fillRect/>
                    </a:stretch>
                  </pic:blipFill>
                  <pic:spPr>
                    <a:xfrm>
                      <a:off x="0" y="0"/>
                      <a:ext cx="3989431" cy="2611910"/>
                    </a:xfrm>
                    <a:prstGeom prst="rect">
                      <a:avLst/>
                    </a:prstGeom>
                  </pic:spPr>
                </pic:pic>
              </a:graphicData>
            </a:graphic>
          </wp:inline>
        </w:drawing>
      </w:r>
    </w:p>
    <w:p w14:paraId="02239739">
      <w:pPr>
        <w:spacing w:before="156" w:beforeLines="50" w:after="156" w:afterLines="50"/>
        <w:jc w:val="center"/>
        <w:outlineLvl w:val="1"/>
        <w:rPr>
          <w:rFonts w:hint="eastAsia" w:ascii="Times New Roman" w:hAnsi="Times New Roman" w:eastAsia="宋体" w:cs="Times New Roman"/>
          <w:color w:val="FF0000"/>
          <w:sz w:val="24"/>
          <w:szCs w:val="21"/>
          <w:highlight w:val="yellow"/>
          <w:lang w:val="en-US" w:eastAsia="zh-CN"/>
        </w:rPr>
      </w:pPr>
      <w:r>
        <w:rPr>
          <w:rFonts w:hint="eastAsia" w:ascii="Times New Roman" w:hAnsi="Times New Roman" w:eastAsia="宋体" w:cs="Times New Roman"/>
          <w:b/>
          <w:szCs w:val="21"/>
        </w:rPr>
        <w:t>图5.9.</w:t>
      </w:r>
      <w:r>
        <w:rPr>
          <w:rFonts w:hint="eastAsia" w:ascii="Times New Roman" w:hAnsi="Times New Roman" w:eastAsia="宋体" w:cs="Times New Roman"/>
          <w:b/>
          <w:szCs w:val="21"/>
          <w:lang w:val="en-US" w:eastAsia="zh-CN"/>
        </w:rPr>
        <w:t>8</w:t>
      </w: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2</w:t>
      </w:r>
      <w:r>
        <w:rPr>
          <w:rFonts w:hint="eastAsia" w:ascii="Times New Roman" w:hAnsi="Times New Roman" w:eastAsia="宋体" w:cs="Times New Roman"/>
          <w:b/>
          <w:szCs w:val="21"/>
        </w:rPr>
        <w:t xml:space="preserve">  边坡锚固平台</w:t>
      </w:r>
      <w:r>
        <w:rPr>
          <w:rFonts w:hint="eastAsia" w:ascii="Times New Roman" w:hAnsi="Times New Roman" w:eastAsia="宋体" w:cs="Times New Roman"/>
          <w:b/>
          <w:szCs w:val="21"/>
          <w:lang w:eastAsia="zh-CN"/>
        </w:rPr>
        <w:t>焊接</w:t>
      </w:r>
      <w:r>
        <w:rPr>
          <w:rFonts w:hint="eastAsia" w:ascii="Times New Roman" w:hAnsi="Times New Roman" w:eastAsia="宋体" w:cs="Times New Roman"/>
          <w:b/>
          <w:szCs w:val="21"/>
        </w:rPr>
        <w:t>典型结构示意图</w:t>
      </w:r>
      <w:r>
        <w:rPr>
          <w:rFonts w:hint="eastAsia" w:ascii="Times New Roman" w:hAnsi="Times New Roman" w:eastAsia="宋体" w:cs="Times New Roman"/>
          <w:b/>
          <w:szCs w:val="21"/>
          <w:lang w:val="en-US" w:eastAsia="zh-CN"/>
        </w:rPr>
        <w:t>2</w:t>
      </w:r>
    </w:p>
    <w:p w14:paraId="19421CC6">
      <w:pPr>
        <w:spacing w:before="156" w:beforeLines="50" w:after="156" w:afterLines="50"/>
        <w:jc w:val="center"/>
        <w:outlineLvl w:val="1"/>
        <w:rPr>
          <w:rFonts w:hint="eastAsia" w:asciiTheme="minorEastAsia" w:hAnsiTheme="minorEastAsia"/>
          <w:b/>
          <w:sz w:val="24"/>
        </w:rPr>
      </w:pPr>
    </w:p>
    <w:p w14:paraId="79DB94AE">
      <w:pPr>
        <w:spacing w:before="156" w:beforeLines="50" w:after="156" w:afterLines="50"/>
        <w:jc w:val="center"/>
        <w:outlineLvl w:val="1"/>
        <w:rPr>
          <w:rFonts w:asciiTheme="minorEastAsia" w:hAnsiTheme="minorEastAsia"/>
          <w:b/>
          <w:sz w:val="24"/>
        </w:rPr>
      </w:pPr>
      <w:r>
        <w:rPr>
          <w:rFonts w:hint="eastAsia" w:asciiTheme="minorEastAsia" w:hAnsiTheme="minorEastAsia"/>
          <w:b/>
          <w:sz w:val="24"/>
        </w:rPr>
        <w:t>5.10 绿色施工措施</w:t>
      </w:r>
      <w:bookmarkEnd w:id="217"/>
    </w:p>
    <w:p w14:paraId="77E3BED5">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5.10.1 设置道路行车指示、安全标识、防火防爆及环境卫生设施等标志，以有效避免意外人员伤亡、安全事故，提高运行管理效率。</w:t>
      </w:r>
    </w:p>
    <w:p w14:paraId="771CF9AC">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5.10.2 材料运输工具适宜，装卸方法得当，防止损坏和遗撒；根据现场平面布置情况就近卸载，避免和减少二次搬运。材料损耗和堆放按照以下要求进行。</w:t>
      </w:r>
    </w:p>
    <w:p w14:paraId="2DA324E9">
      <w:pPr>
        <w:widowControl/>
        <w:spacing w:line="360" w:lineRule="auto"/>
        <w:ind w:firstLine="480" w:firstLineChars="200"/>
        <w:jc w:val="left"/>
        <w:rPr>
          <w:rFonts w:ascii="Times New Roman" w:hAnsi="Times New Roman" w:eastAsia="宋体" w:cs="Times New Roman"/>
          <w:sz w:val="24"/>
          <w:szCs w:val="21"/>
        </w:rPr>
      </w:pPr>
      <w:bookmarkStart w:id="218" w:name="_Toc4209"/>
      <w:r>
        <w:rPr>
          <w:rFonts w:hint="eastAsia" w:ascii="Times New Roman" w:hAnsi="Times New Roman" w:eastAsia="宋体" w:cs="Times New Roman"/>
          <w:sz w:val="24"/>
          <w:szCs w:val="21"/>
        </w:rPr>
        <w:t>1 应控制材料损耗，节约材料避免浪费，材料损耗率一般不宜超过5%；</w:t>
      </w:r>
      <w:bookmarkEnd w:id="218"/>
    </w:p>
    <w:p w14:paraId="66CBC7FF">
      <w:pPr>
        <w:widowControl/>
        <w:spacing w:line="360" w:lineRule="auto"/>
        <w:ind w:firstLine="480" w:firstLineChars="200"/>
        <w:jc w:val="left"/>
        <w:rPr>
          <w:rFonts w:ascii="Times New Roman" w:hAnsi="Times New Roman" w:eastAsia="宋体" w:cs="Times New Roman"/>
          <w:sz w:val="24"/>
          <w:szCs w:val="21"/>
        </w:rPr>
      </w:pPr>
      <w:bookmarkStart w:id="219" w:name="_Toc19476"/>
      <w:r>
        <w:rPr>
          <w:rFonts w:hint="eastAsia" w:ascii="Times New Roman" w:hAnsi="Times New Roman" w:eastAsia="宋体" w:cs="Times New Roman"/>
          <w:sz w:val="24"/>
          <w:szCs w:val="21"/>
        </w:rPr>
        <w:t>2 剩余边角料应当天清理，统一存放处理，避免影响周边环境；</w:t>
      </w:r>
      <w:bookmarkEnd w:id="219"/>
    </w:p>
    <w:p w14:paraId="32C47B2C">
      <w:pPr>
        <w:widowControl/>
        <w:spacing w:line="360" w:lineRule="auto"/>
        <w:ind w:firstLine="480" w:firstLineChars="200"/>
        <w:jc w:val="left"/>
        <w:rPr>
          <w:rFonts w:ascii="Times New Roman" w:hAnsi="Times New Roman" w:eastAsia="宋体" w:cs="Times New Roman"/>
          <w:sz w:val="24"/>
          <w:szCs w:val="21"/>
        </w:rPr>
      </w:pPr>
      <w:bookmarkStart w:id="220" w:name="_Toc28482"/>
      <w:r>
        <w:rPr>
          <w:rFonts w:hint="eastAsia" w:ascii="Times New Roman" w:hAnsi="Times New Roman" w:eastAsia="宋体" w:cs="Times New Roman"/>
          <w:sz w:val="24"/>
          <w:szCs w:val="21"/>
        </w:rPr>
        <w:t>3 现场材料堆放有序，储存环境适宜，措施得当，保管制度健全。</w:t>
      </w:r>
      <w:bookmarkEnd w:id="220"/>
      <w:r>
        <w:rPr>
          <w:rFonts w:hint="eastAsia" w:ascii="Times New Roman" w:hAnsi="Times New Roman" w:eastAsia="宋体" w:cs="Times New Roman"/>
          <w:sz w:val="24"/>
          <w:szCs w:val="21"/>
        </w:rPr>
        <w:t xml:space="preserve">  </w:t>
      </w:r>
    </w:p>
    <w:p w14:paraId="36B6124A">
      <w:pPr>
        <w:widowControl/>
        <w:spacing w:line="360" w:lineRule="auto"/>
        <w:jc w:val="left"/>
        <w:rPr>
          <w:rFonts w:ascii="Times New Roman" w:hAnsi="Times New Roman" w:eastAsia="宋体" w:cs="Times New Roman"/>
          <w:sz w:val="24"/>
          <w:szCs w:val="21"/>
        </w:rPr>
      </w:pPr>
      <w:bookmarkStart w:id="221" w:name="OLE_LINK23"/>
      <w:bookmarkStart w:id="222" w:name="_Toc31459"/>
      <w:r>
        <w:rPr>
          <w:rFonts w:hint="eastAsia" w:ascii="Times New Roman" w:hAnsi="Times New Roman" w:eastAsia="宋体" w:cs="Times New Roman"/>
          <w:sz w:val="24"/>
          <w:szCs w:val="21"/>
        </w:rPr>
        <w:t xml:space="preserve">5.10.3 </w:t>
      </w:r>
      <w:bookmarkEnd w:id="221"/>
      <w:r>
        <w:rPr>
          <w:rFonts w:hint="eastAsia" w:ascii="Times New Roman" w:hAnsi="Times New Roman" w:eastAsia="宋体" w:cs="Times New Roman"/>
          <w:sz w:val="24"/>
          <w:szCs w:val="21"/>
        </w:rPr>
        <w:t>防尘措施应遵循下述要求：</w:t>
      </w:r>
      <w:bookmarkEnd w:id="222"/>
    </w:p>
    <w:p w14:paraId="01E8696B">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加强管理，减少倾倒扬尘的产生，同时改善操作工人的劳动保护条件，减缓倾倒扬尘对工人健康的影响；</w:t>
      </w:r>
    </w:p>
    <w:p w14:paraId="4C20DAC1">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控制粉尘污染的措施：采取在非雨天喷洒水，喷水的次数和水量宜结合施工具体条件，由操作人员和管理人员掌握，原则是不影响填埋作业，同时又能达到最佳控制粉尘的效果。洒水的场所主要是作业区、土源挖掘装运场所、进场和场区道路。</w:t>
      </w:r>
    </w:p>
    <w:p w14:paraId="2374F064">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5.10.4 臭气控制措施：填埋作业区的臭气一般按卫生填埋工艺实行日覆盖来避免，而渗沥液调节池则可采取在调节池加盖密闭。此外，可配备过滤式防毒面具，保护作业人员的身体健康。</w:t>
      </w:r>
    </w:p>
    <w:p w14:paraId="5836E160">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5.10.5 防噪声措施：对鼓风机等高噪声设备采取安装隔声罩等降噪措施，以减缓噪声的影响。</w:t>
      </w:r>
    </w:p>
    <w:p w14:paraId="4C7110CB">
      <w:pPr>
        <w:widowControl/>
        <w:spacing w:line="360" w:lineRule="auto"/>
        <w:jc w:val="left"/>
        <w:outlineLvl w:val="2"/>
        <w:rPr>
          <w:rFonts w:ascii="Times New Roman" w:hAnsi="Times New Roman" w:eastAsia="宋体" w:cs="Times New Roman"/>
          <w:sz w:val="24"/>
          <w:szCs w:val="21"/>
        </w:rPr>
      </w:pPr>
      <w:bookmarkStart w:id="223" w:name="_Toc21041"/>
      <w:r>
        <w:rPr>
          <w:rFonts w:hint="eastAsia" w:ascii="Times New Roman" w:hAnsi="Times New Roman" w:eastAsia="宋体" w:cs="Times New Roman"/>
          <w:sz w:val="24"/>
          <w:szCs w:val="21"/>
        </w:rPr>
        <w:t>5.10.6 防病原微生物措施：填埋现场作业人员必须身穿工作服并戴口罩和手套。</w:t>
      </w:r>
      <w:bookmarkEnd w:id="223"/>
    </w:p>
    <w:p w14:paraId="289E0B52">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5.10.7 其他措施：为防止由于实行倒班制而引起工人生活节律紊乱和职业性精神紧张的问题，要求考虑相对固定作息时间。</w:t>
      </w:r>
    </w:p>
    <w:p w14:paraId="52251EE2">
      <w:pPr>
        <w:widowControl/>
        <w:spacing w:line="360" w:lineRule="auto"/>
        <w:jc w:val="left"/>
        <w:rPr>
          <w:rFonts w:ascii="Times New Roman" w:hAnsi="Times New Roman" w:eastAsia="宋体" w:cs="Times New Roman"/>
          <w:sz w:val="24"/>
          <w:szCs w:val="21"/>
        </w:rPr>
      </w:pPr>
    </w:p>
    <w:p w14:paraId="751E92A0">
      <w:pPr>
        <w:widowControl/>
        <w:spacing w:line="360" w:lineRule="auto"/>
        <w:jc w:val="left"/>
        <w:rPr>
          <w:rFonts w:ascii="Times New Roman" w:hAnsi="Times New Roman" w:eastAsia="宋体" w:cs="Times New Roman"/>
          <w:sz w:val="24"/>
          <w:szCs w:val="21"/>
        </w:rPr>
      </w:pPr>
    </w:p>
    <w:p w14:paraId="30EBEBC1"/>
    <w:p w14:paraId="65C006AE">
      <w:pPr>
        <w:jc w:val="center"/>
      </w:pPr>
    </w:p>
    <w:p w14:paraId="12CD2A90">
      <w:pPr>
        <w:widowControl/>
        <w:spacing w:line="360" w:lineRule="auto"/>
        <w:ind w:firstLine="480" w:firstLineChars="200"/>
        <w:jc w:val="left"/>
        <w:rPr>
          <w:rFonts w:ascii="Times New Roman" w:hAnsi="Times New Roman" w:eastAsia="宋体" w:cs="Times New Roman"/>
          <w:sz w:val="24"/>
          <w:szCs w:val="21"/>
        </w:rPr>
      </w:pPr>
    </w:p>
    <w:p w14:paraId="63E6989F">
      <w:pPr>
        <w:widowControl/>
        <w:spacing w:line="360" w:lineRule="auto"/>
        <w:ind w:firstLine="480" w:firstLineChars="200"/>
        <w:jc w:val="left"/>
        <w:rPr>
          <w:rFonts w:ascii="Times New Roman" w:hAnsi="Times New Roman" w:eastAsia="宋体" w:cs="Times New Roman"/>
          <w:sz w:val="24"/>
          <w:szCs w:val="21"/>
        </w:rPr>
      </w:pPr>
    </w:p>
    <w:p w14:paraId="207A0273">
      <w:pPr>
        <w:widowControl/>
        <w:spacing w:line="360" w:lineRule="auto"/>
        <w:ind w:firstLine="480" w:firstLineChars="200"/>
        <w:jc w:val="left"/>
        <w:rPr>
          <w:rFonts w:ascii="Times New Roman" w:hAnsi="Times New Roman" w:eastAsia="宋体" w:cs="Times New Roman"/>
          <w:sz w:val="24"/>
          <w:szCs w:val="21"/>
        </w:rPr>
      </w:pPr>
    </w:p>
    <w:p w14:paraId="03BCC4D5">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7BD7C4B1">
      <w:pPr>
        <w:jc w:val="center"/>
        <w:outlineLvl w:val="0"/>
        <w:rPr>
          <w:rFonts w:ascii="黑体" w:hAnsi="黑体" w:eastAsia="黑体" w:cs="Times New Roman"/>
          <w:bCs/>
          <w:sz w:val="32"/>
          <w:szCs w:val="32"/>
        </w:rPr>
      </w:pPr>
      <w:bookmarkStart w:id="224" w:name="_Toc10598"/>
      <w:r>
        <w:rPr>
          <w:rFonts w:hint="eastAsia" w:ascii="黑体" w:hAnsi="黑体" w:eastAsia="黑体" w:cs="Times New Roman"/>
          <w:bCs/>
          <w:sz w:val="32"/>
          <w:szCs w:val="32"/>
        </w:rPr>
        <w:t>6 防渗系统工程验收及维护</w:t>
      </w:r>
      <w:bookmarkEnd w:id="224"/>
    </w:p>
    <w:p w14:paraId="1FA1A5AD">
      <w:pPr>
        <w:spacing w:before="156" w:beforeLines="50" w:after="156" w:afterLines="50"/>
        <w:jc w:val="center"/>
        <w:outlineLvl w:val="1"/>
        <w:rPr>
          <w:rFonts w:asciiTheme="minorEastAsia" w:hAnsiTheme="minorEastAsia"/>
          <w:b/>
          <w:sz w:val="24"/>
        </w:rPr>
      </w:pPr>
      <w:bookmarkStart w:id="225" w:name="_Toc12387"/>
      <w:r>
        <w:rPr>
          <w:rFonts w:hint="eastAsia" w:asciiTheme="minorEastAsia" w:hAnsiTheme="minorEastAsia"/>
          <w:b/>
          <w:sz w:val="24"/>
        </w:rPr>
        <w:t>6.1 防渗系统工程验收</w:t>
      </w:r>
      <w:bookmarkEnd w:id="225"/>
    </w:p>
    <w:p w14:paraId="175D9C91">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6.1.1 防渗系统工程施工完成后应进行验收，应至少包括下列部位：</w:t>
      </w:r>
    </w:p>
    <w:p w14:paraId="7D4C1B6C">
      <w:pPr>
        <w:widowControl/>
        <w:spacing w:line="360" w:lineRule="auto"/>
        <w:ind w:firstLine="480" w:firstLineChars="200"/>
        <w:jc w:val="left"/>
        <w:rPr>
          <w:rFonts w:ascii="Times New Roman" w:hAnsi="Times New Roman" w:eastAsia="宋体" w:cs="Times New Roman"/>
          <w:sz w:val="24"/>
          <w:szCs w:val="21"/>
        </w:rPr>
      </w:pPr>
      <w:bookmarkStart w:id="226" w:name="_Toc4780"/>
      <w:r>
        <w:rPr>
          <w:rFonts w:hint="eastAsia" w:ascii="Times New Roman" w:hAnsi="Times New Roman" w:eastAsia="宋体" w:cs="Times New Roman"/>
          <w:sz w:val="24"/>
          <w:szCs w:val="21"/>
        </w:rPr>
        <w:t>1 场底及边坡基础层；</w:t>
      </w:r>
      <w:bookmarkEnd w:id="226"/>
    </w:p>
    <w:p w14:paraId="6BC4F9A4">
      <w:pPr>
        <w:widowControl/>
        <w:spacing w:line="360" w:lineRule="auto"/>
        <w:ind w:firstLine="480" w:firstLineChars="200"/>
        <w:jc w:val="left"/>
        <w:rPr>
          <w:rFonts w:ascii="Times New Roman" w:hAnsi="Times New Roman" w:eastAsia="宋体" w:cs="Times New Roman"/>
          <w:sz w:val="24"/>
          <w:szCs w:val="21"/>
        </w:rPr>
      </w:pPr>
      <w:bookmarkStart w:id="227" w:name="_Toc17247"/>
      <w:r>
        <w:rPr>
          <w:rFonts w:hint="eastAsia" w:ascii="Times New Roman" w:hAnsi="Times New Roman" w:eastAsia="宋体" w:cs="Times New Roman"/>
          <w:sz w:val="24"/>
          <w:szCs w:val="21"/>
        </w:rPr>
        <w:t>2 地下水收集导排系统；</w:t>
      </w:r>
      <w:bookmarkEnd w:id="227"/>
    </w:p>
    <w:p w14:paraId="7EA9E8B5">
      <w:pPr>
        <w:widowControl/>
        <w:spacing w:line="360" w:lineRule="auto"/>
        <w:ind w:firstLine="480" w:firstLineChars="200"/>
        <w:jc w:val="left"/>
        <w:rPr>
          <w:rFonts w:ascii="Times New Roman" w:hAnsi="Times New Roman" w:eastAsia="宋体" w:cs="Times New Roman"/>
          <w:sz w:val="24"/>
          <w:szCs w:val="21"/>
        </w:rPr>
      </w:pPr>
      <w:bookmarkStart w:id="228" w:name="_Toc30568"/>
      <w:r>
        <w:rPr>
          <w:rFonts w:hint="eastAsia" w:ascii="Times New Roman" w:hAnsi="Times New Roman" w:eastAsia="宋体" w:cs="Times New Roman"/>
          <w:sz w:val="24"/>
          <w:szCs w:val="21"/>
        </w:rPr>
        <w:t>3 场底及边坡膜下保护层；</w:t>
      </w:r>
      <w:bookmarkEnd w:id="228"/>
    </w:p>
    <w:p w14:paraId="575169C1">
      <w:pPr>
        <w:widowControl/>
        <w:spacing w:line="360" w:lineRule="auto"/>
        <w:ind w:firstLine="480" w:firstLineChars="200"/>
        <w:jc w:val="left"/>
        <w:rPr>
          <w:rFonts w:ascii="Times New Roman" w:hAnsi="Times New Roman" w:eastAsia="宋体" w:cs="Times New Roman"/>
          <w:sz w:val="24"/>
          <w:szCs w:val="21"/>
        </w:rPr>
      </w:pPr>
      <w:bookmarkStart w:id="229" w:name="_Toc8341"/>
      <w:r>
        <w:rPr>
          <w:rFonts w:hint="eastAsia" w:ascii="Times New Roman" w:hAnsi="Times New Roman" w:eastAsia="宋体" w:cs="Times New Roman"/>
          <w:sz w:val="24"/>
          <w:szCs w:val="21"/>
        </w:rPr>
        <w:t>4 锚固沟槽及回填材料；</w:t>
      </w:r>
      <w:bookmarkEnd w:id="229"/>
    </w:p>
    <w:p w14:paraId="6952F0A5">
      <w:pPr>
        <w:widowControl/>
        <w:spacing w:line="360" w:lineRule="auto"/>
        <w:ind w:firstLine="480" w:firstLineChars="200"/>
        <w:jc w:val="left"/>
        <w:rPr>
          <w:rFonts w:ascii="Times New Roman" w:hAnsi="Times New Roman" w:eastAsia="宋体" w:cs="Times New Roman"/>
          <w:sz w:val="24"/>
          <w:szCs w:val="21"/>
        </w:rPr>
      </w:pPr>
      <w:bookmarkStart w:id="230" w:name="_Toc20001"/>
      <w:r>
        <w:rPr>
          <w:rFonts w:hint="eastAsia" w:ascii="Times New Roman" w:hAnsi="Times New Roman" w:eastAsia="宋体" w:cs="Times New Roman"/>
          <w:sz w:val="24"/>
          <w:szCs w:val="21"/>
        </w:rPr>
        <w:t>5 场底及边坡防渗层；</w:t>
      </w:r>
      <w:bookmarkEnd w:id="230"/>
    </w:p>
    <w:p w14:paraId="2DE6DA7C">
      <w:pPr>
        <w:widowControl/>
        <w:spacing w:line="360" w:lineRule="auto"/>
        <w:ind w:firstLine="480" w:firstLineChars="200"/>
        <w:jc w:val="left"/>
        <w:rPr>
          <w:rFonts w:ascii="Times New Roman" w:hAnsi="Times New Roman" w:eastAsia="宋体" w:cs="Times New Roman"/>
          <w:sz w:val="24"/>
          <w:szCs w:val="21"/>
        </w:rPr>
      </w:pPr>
      <w:bookmarkStart w:id="231" w:name="_Toc8051"/>
      <w:r>
        <w:rPr>
          <w:rFonts w:hint="eastAsia" w:ascii="Times New Roman" w:hAnsi="Times New Roman" w:eastAsia="宋体" w:cs="Times New Roman"/>
          <w:sz w:val="24"/>
          <w:szCs w:val="21"/>
        </w:rPr>
        <w:t>6 场底及边坡膜上保护层；</w:t>
      </w:r>
      <w:bookmarkEnd w:id="231"/>
    </w:p>
    <w:p w14:paraId="0C589A25">
      <w:pPr>
        <w:widowControl/>
        <w:spacing w:line="360" w:lineRule="auto"/>
        <w:ind w:firstLine="480" w:firstLineChars="200"/>
        <w:jc w:val="left"/>
        <w:rPr>
          <w:rFonts w:ascii="Times New Roman" w:hAnsi="Times New Roman" w:eastAsia="宋体" w:cs="Times New Roman"/>
          <w:sz w:val="24"/>
          <w:szCs w:val="21"/>
        </w:rPr>
      </w:pPr>
      <w:bookmarkStart w:id="232" w:name="_Toc24078"/>
      <w:r>
        <w:rPr>
          <w:rFonts w:hint="eastAsia" w:ascii="Times New Roman" w:hAnsi="Times New Roman" w:eastAsia="宋体" w:cs="Times New Roman"/>
          <w:sz w:val="24"/>
          <w:szCs w:val="21"/>
        </w:rPr>
        <w:t>7 渗沥液收集导排系统。</w:t>
      </w:r>
      <w:bookmarkEnd w:id="232"/>
    </w:p>
    <w:p w14:paraId="3E1E41C7">
      <w:pPr>
        <w:widowControl/>
        <w:spacing w:line="360" w:lineRule="auto"/>
        <w:jc w:val="left"/>
        <w:outlineLvl w:val="2"/>
        <w:rPr>
          <w:rFonts w:ascii="Times New Roman" w:hAnsi="Times New Roman" w:eastAsia="宋体" w:cs="Times New Roman"/>
          <w:sz w:val="24"/>
          <w:szCs w:val="21"/>
        </w:rPr>
      </w:pPr>
      <w:bookmarkStart w:id="233" w:name="_Toc2365"/>
      <w:r>
        <w:rPr>
          <w:rFonts w:hint="eastAsia" w:ascii="Times New Roman" w:hAnsi="Times New Roman" w:eastAsia="宋体" w:cs="Times New Roman"/>
          <w:sz w:val="24"/>
          <w:szCs w:val="21"/>
        </w:rPr>
        <w:t>6.1.2 验收前应准备下列资料：</w:t>
      </w:r>
      <w:bookmarkEnd w:id="233"/>
    </w:p>
    <w:p w14:paraId="29CE3BF2">
      <w:pPr>
        <w:widowControl/>
        <w:spacing w:line="360" w:lineRule="auto"/>
        <w:ind w:firstLine="480" w:firstLineChars="200"/>
        <w:jc w:val="left"/>
        <w:rPr>
          <w:rFonts w:ascii="Times New Roman" w:hAnsi="Times New Roman" w:eastAsia="宋体" w:cs="Times New Roman"/>
          <w:sz w:val="24"/>
          <w:szCs w:val="21"/>
        </w:rPr>
      </w:pPr>
      <w:bookmarkStart w:id="234" w:name="_Toc5790"/>
      <w:r>
        <w:rPr>
          <w:rFonts w:hint="eastAsia" w:ascii="Times New Roman" w:hAnsi="Times New Roman" w:eastAsia="宋体" w:cs="Times New Roman"/>
          <w:sz w:val="24"/>
          <w:szCs w:val="21"/>
        </w:rPr>
        <w:t>1 设计文件、设计修改及变更文件和竣工图纸；</w:t>
      </w:r>
      <w:bookmarkEnd w:id="234"/>
    </w:p>
    <w:p w14:paraId="67DE85C8">
      <w:pPr>
        <w:widowControl/>
        <w:spacing w:line="360" w:lineRule="auto"/>
        <w:ind w:firstLine="480" w:firstLineChars="200"/>
        <w:jc w:val="left"/>
        <w:rPr>
          <w:rFonts w:ascii="Times New Roman" w:hAnsi="Times New Roman" w:eastAsia="宋体" w:cs="Times New Roman"/>
          <w:sz w:val="24"/>
          <w:szCs w:val="21"/>
        </w:rPr>
      </w:pPr>
      <w:bookmarkStart w:id="235" w:name="_Toc13790"/>
      <w:r>
        <w:rPr>
          <w:rFonts w:hint="eastAsia" w:ascii="Times New Roman" w:hAnsi="Times New Roman" w:eastAsia="宋体" w:cs="Times New Roman"/>
          <w:sz w:val="24"/>
          <w:szCs w:val="21"/>
        </w:rPr>
        <w:t>2 材料供应商的材料质量合格证书及专业机构的检验合格报告；</w:t>
      </w:r>
      <w:bookmarkEnd w:id="235"/>
    </w:p>
    <w:p w14:paraId="5EBF45D0">
      <w:pPr>
        <w:widowControl/>
        <w:spacing w:line="360" w:lineRule="auto"/>
        <w:ind w:firstLine="480" w:firstLineChars="200"/>
        <w:jc w:val="left"/>
        <w:rPr>
          <w:rFonts w:ascii="Times New Roman" w:hAnsi="Times New Roman" w:eastAsia="宋体" w:cs="Times New Roman"/>
          <w:sz w:val="24"/>
          <w:szCs w:val="21"/>
        </w:rPr>
      </w:pPr>
      <w:bookmarkStart w:id="236" w:name="_Toc25961"/>
      <w:r>
        <w:rPr>
          <w:rFonts w:hint="eastAsia" w:ascii="Times New Roman" w:hAnsi="Times New Roman" w:eastAsia="宋体" w:cs="Times New Roman"/>
          <w:sz w:val="24"/>
          <w:szCs w:val="21"/>
        </w:rPr>
        <w:t>3 单项工程验收报告；</w:t>
      </w:r>
      <w:bookmarkEnd w:id="236"/>
    </w:p>
    <w:p w14:paraId="6AE61593">
      <w:pPr>
        <w:widowControl/>
        <w:spacing w:line="360" w:lineRule="auto"/>
        <w:ind w:firstLine="480" w:firstLineChars="200"/>
        <w:jc w:val="left"/>
        <w:rPr>
          <w:rFonts w:ascii="Times New Roman" w:hAnsi="Times New Roman" w:eastAsia="宋体" w:cs="Times New Roman"/>
          <w:sz w:val="24"/>
          <w:szCs w:val="21"/>
        </w:rPr>
      </w:pPr>
      <w:bookmarkStart w:id="237" w:name="_Toc17562"/>
      <w:r>
        <w:rPr>
          <w:rFonts w:hint="eastAsia" w:ascii="Times New Roman" w:hAnsi="Times New Roman" w:eastAsia="宋体" w:cs="Times New Roman"/>
          <w:sz w:val="24"/>
          <w:szCs w:val="21"/>
        </w:rPr>
        <w:t>4 监理单位的相关资料和记录；</w:t>
      </w:r>
      <w:bookmarkEnd w:id="237"/>
    </w:p>
    <w:p w14:paraId="17D6A084">
      <w:pPr>
        <w:widowControl/>
        <w:spacing w:line="360" w:lineRule="auto"/>
        <w:ind w:firstLine="480" w:firstLineChars="200"/>
        <w:jc w:val="left"/>
        <w:rPr>
          <w:rFonts w:ascii="Times New Roman" w:hAnsi="Times New Roman" w:eastAsia="宋体" w:cs="Times New Roman"/>
          <w:sz w:val="24"/>
          <w:szCs w:val="21"/>
        </w:rPr>
      </w:pPr>
      <w:bookmarkStart w:id="238" w:name="_Toc23676"/>
      <w:r>
        <w:rPr>
          <w:rFonts w:hint="eastAsia" w:ascii="Times New Roman" w:hAnsi="Times New Roman" w:eastAsia="宋体" w:cs="Times New Roman"/>
          <w:sz w:val="24"/>
          <w:szCs w:val="21"/>
        </w:rPr>
        <w:t>5 预制构件质量合格证书；</w:t>
      </w:r>
      <w:bookmarkEnd w:id="238"/>
    </w:p>
    <w:p w14:paraId="1FD8A206">
      <w:pPr>
        <w:widowControl/>
        <w:spacing w:line="360" w:lineRule="auto"/>
        <w:ind w:firstLine="480" w:firstLineChars="200"/>
        <w:jc w:val="left"/>
        <w:rPr>
          <w:rFonts w:ascii="Times New Roman" w:hAnsi="Times New Roman" w:eastAsia="宋体" w:cs="Times New Roman"/>
          <w:sz w:val="24"/>
          <w:szCs w:val="21"/>
        </w:rPr>
      </w:pPr>
      <w:bookmarkStart w:id="239" w:name="_Toc14243"/>
      <w:r>
        <w:rPr>
          <w:rFonts w:hint="eastAsia" w:ascii="Times New Roman" w:hAnsi="Times New Roman" w:eastAsia="宋体" w:cs="Times New Roman"/>
          <w:sz w:val="24"/>
          <w:szCs w:val="21"/>
        </w:rPr>
        <w:t>6 隐蔽工程验收合格文件；</w:t>
      </w:r>
      <w:bookmarkEnd w:id="239"/>
    </w:p>
    <w:p w14:paraId="54CC9140">
      <w:pPr>
        <w:widowControl/>
        <w:spacing w:line="360" w:lineRule="auto"/>
        <w:ind w:firstLine="480" w:firstLineChars="200"/>
        <w:jc w:val="left"/>
        <w:rPr>
          <w:rFonts w:ascii="Times New Roman" w:hAnsi="Times New Roman" w:eastAsia="宋体" w:cs="Times New Roman"/>
          <w:sz w:val="24"/>
          <w:szCs w:val="21"/>
        </w:rPr>
      </w:pPr>
      <w:bookmarkStart w:id="240" w:name="_Toc13372"/>
      <w:r>
        <w:rPr>
          <w:rFonts w:hint="eastAsia" w:ascii="Times New Roman" w:hAnsi="Times New Roman" w:eastAsia="宋体" w:cs="Times New Roman"/>
          <w:sz w:val="24"/>
          <w:szCs w:val="21"/>
        </w:rPr>
        <w:t>7 施工焊接自检记录；</w:t>
      </w:r>
      <w:bookmarkEnd w:id="240"/>
    </w:p>
    <w:p w14:paraId="46ED329F">
      <w:pPr>
        <w:widowControl/>
        <w:spacing w:line="360" w:lineRule="auto"/>
        <w:ind w:firstLine="480" w:firstLineChars="200"/>
        <w:jc w:val="left"/>
        <w:rPr>
          <w:rFonts w:ascii="Times New Roman" w:hAnsi="Times New Roman" w:eastAsia="宋体" w:cs="Times New Roman"/>
          <w:sz w:val="24"/>
          <w:szCs w:val="21"/>
        </w:rPr>
      </w:pPr>
      <w:bookmarkStart w:id="241" w:name="_Toc28915"/>
      <w:r>
        <w:rPr>
          <w:rFonts w:hint="eastAsia" w:ascii="Times New Roman" w:hAnsi="Times New Roman" w:eastAsia="宋体" w:cs="Times New Roman"/>
          <w:sz w:val="24"/>
          <w:szCs w:val="21"/>
        </w:rPr>
        <w:t>8 渗漏破损检测报告。</w:t>
      </w:r>
      <w:bookmarkEnd w:id="241"/>
    </w:p>
    <w:p w14:paraId="14BBC698">
      <w:pPr>
        <w:widowControl/>
        <w:spacing w:line="360" w:lineRule="auto"/>
        <w:jc w:val="left"/>
        <w:outlineLvl w:val="2"/>
        <w:rPr>
          <w:rFonts w:ascii="Times New Roman" w:hAnsi="Times New Roman" w:eastAsia="宋体" w:cs="Times New Roman"/>
          <w:sz w:val="24"/>
          <w:szCs w:val="21"/>
        </w:rPr>
      </w:pPr>
      <w:bookmarkStart w:id="242" w:name="_Toc19769"/>
      <w:r>
        <w:rPr>
          <w:rFonts w:hint="eastAsia" w:ascii="Times New Roman" w:hAnsi="Times New Roman" w:eastAsia="宋体" w:cs="Times New Roman"/>
          <w:sz w:val="24"/>
          <w:szCs w:val="21"/>
        </w:rPr>
        <w:t>6.1.3 防渗系统工程质量验收应进行观感检验和抽样检验。</w:t>
      </w:r>
      <w:bookmarkEnd w:id="242"/>
    </w:p>
    <w:p w14:paraId="02BE7DFA">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6.1.4 防渗系统工程施工质量检验应与施工同步进行，质检合格并报监理验收合格后，方可进行下道工序。</w:t>
      </w:r>
    </w:p>
    <w:p w14:paraId="60F3A19B">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6.1.5 防渗系统工程施工完成后，在填埋垃圾之前，应对防渗系统进行全面的渗漏检测，并确认合格。</w:t>
      </w:r>
      <w:bookmarkStart w:id="243" w:name="6-2"/>
      <w:bookmarkEnd w:id="243"/>
    </w:p>
    <w:p w14:paraId="7D8BA394">
      <w:pPr>
        <w:spacing w:before="156" w:beforeLines="50" w:after="156" w:afterLines="50"/>
        <w:jc w:val="center"/>
        <w:outlineLvl w:val="1"/>
        <w:rPr>
          <w:rFonts w:asciiTheme="minorEastAsia" w:hAnsiTheme="minorEastAsia"/>
          <w:b/>
          <w:sz w:val="24"/>
        </w:rPr>
      </w:pPr>
      <w:bookmarkStart w:id="244" w:name="_Toc24494"/>
      <w:r>
        <w:rPr>
          <w:rFonts w:hint="eastAsia" w:asciiTheme="minorEastAsia" w:hAnsiTheme="minorEastAsia"/>
          <w:b/>
          <w:sz w:val="24"/>
        </w:rPr>
        <w:t>6.2 防渗体系统工程维护</w:t>
      </w:r>
      <w:bookmarkEnd w:id="244"/>
    </w:p>
    <w:p w14:paraId="710F67AA">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6.2.1 使用单位应及时制定防渗系统工程安全保障措施及管理办法。</w:t>
      </w:r>
    </w:p>
    <w:p w14:paraId="7708CB2F">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6.2.2 防渗系统工程的正常维护应符合下列要求：</w:t>
      </w:r>
    </w:p>
    <w:p w14:paraId="2767AF9B">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防渗系统工程区域内，非相关人员不得进入。</w:t>
      </w:r>
    </w:p>
    <w:p w14:paraId="4FC88594">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维护人员进入场区，应携带和使用专用维护用具。</w:t>
      </w:r>
    </w:p>
    <w:p w14:paraId="5AB9686A">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正常情况下应每月不少于一次巡查尚未使用的防渗系统工程区域；当遇暴雨、台风等特殊情况时，应及时巡查。</w:t>
      </w:r>
    </w:p>
    <w:p w14:paraId="15E788B2">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6.2.3 防渗系统工程维修应符合下列要求：</w:t>
      </w:r>
    </w:p>
    <w:p w14:paraId="6E73D480">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1 应及时制定安全可靠的修复措施预案；</w:t>
      </w:r>
    </w:p>
    <w:p w14:paraId="6CAC2969">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2 当高密度聚乙烯膜、膨润土防水毯、土工布、复合土工排水网等主要防渗系统工程材料损坏时，应及时修补；</w:t>
      </w:r>
    </w:p>
    <w:p w14:paraId="23BD852D">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3 土壤层损坏时，应及时修复；</w:t>
      </w:r>
    </w:p>
    <w:p w14:paraId="38AAD5B5">
      <w:pPr>
        <w:widowControl/>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4 渗沥液收集系统堵塞时，应及时疏通。</w:t>
      </w:r>
    </w:p>
    <w:p w14:paraId="0CD549BD">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6.2.4 当分步维修边坡保护层时，应制定严格的维修方案。</w:t>
      </w:r>
    </w:p>
    <w:p w14:paraId="6D7A87FD">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6.2.5 防渗系统工程维修所采用的焊机、检验设备等机具设备应妥善保管，并应定期维护、保养，确保正常使用。</w:t>
      </w:r>
    </w:p>
    <w:p w14:paraId="10BFD4D2">
      <w:pPr>
        <w:widowControl/>
        <w:spacing w:line="360" w:lineRule="auto"/>
        <w:jc w:val="left"/>
        <w:outlineLvl w:val="2"/>
        <w:rPr>
          <w:rFonts w:ascii="Times New Roman" w:hAnsi="Times New Roman" w:eastAsia="宋体" w:cs="Times New Roman"/>
          <w:sz w:val="24"/>
          <w:szCs w:val="21"/>
        </w:rPr>
      </w:pPr>
      <w:r>
        <w:rPr>
          <w:rFonts w:hint="eastAsia" w:ascii="Times New Roman" w:hAnsi="Times New Roman" w:eastAsia="宋体" w:cs="Times New Roman"/>
          <w:sz w:val="24"/>
          <w:szCs w:val="21"/>
        </w:rPr>
        <w:t>6.2.6 填埋场运行、封场及后期维护与管理期内，应每三年开展一次防渗衬层完整性检测，并根据防渗衬层完整性检测结果以及地下水水质等信息，定期评估填埋场环境风险。</w:t>
      </w:r>
    </w:p>
    <w:p w14:paraId="2A5442F3">
      <w:pPr>
        <w:widowControl/>
        <w:spacing w:line="360" w:lineRule="auto"/>
        <w:jc w:val="left"/>
        <w:rPr>
          <w:rFonts w:ascii="Times New Roman" w:hAnsi="Times New Roman" w:eastAsia="宋体" w:cs="Times New Roman"/>
          <w:sz w:val="24"/>
          <w:szCs w:val="21"/>
        </w:rPr>
      </w:pPr>
    </w:p>
    <w:p w14:paraId="7D9922C4">
      <w:pPr>
        <w:widowControl/>
        <w:spacing w:line="360" w:lineRule="auto"/>
        <w:jc w:val="left"/>
        <w:rPr>
          <w:rFonts w:ascii="Times New Roman" w:hAnsi="Times New Roman" w:eastAsia="宋体" w:cs="Times New Roman"/>
          <w:sz w:val="24"/>
          <w:szCs w:val="21"/>
        </w:rPr>
      </w:pPr>
    </w:p>
    <w:p w14:paraId="76D7A5C5">
      <w:pPr>
        <w:widowControl/>
        <w:spacing w:line="360" w:lineRule="auto"/>
        <w:jc w:val="left"/>
        <w:rPr>
          <w:rFonts w:ascii="Times New Roman" w:hAnsi="Times New Roman" w:eastAsia="宋体" w:cs="Times New Roman"/>
          <w:sz w:val="24"/>
          <w:szCs w:val="21"/>
        </w:rPr>
      </w:pPr>
    </w:p>
    <w:p w14:paraId="49FF7E69">
      <w:pPr>
        <w:widowControl/>
        <w:spacing w:line="360" w:lineRule="auto"/>
        <w:jc w:val="left"/>
        <w:rPr>
          <w:rFonts w:ascii="Times New Roman" w:hAnsi="Times New Roman" w:eastAsia="宋体" w:cs="Times New Roman"/>
          <w:sz w:val="24"/>
          <w:szCs w:val="21"/>
        </w:rPr>
      </w:pPr>
    </w:p>
    <w:p w14:paraId="69A1681F">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70244F44">
      <w:pPr>
        <w:pStyle w:val="4"/>
        <w:jc w:val="center"/>
        <w:rPr>
          <w:b/>
          <w:bCs/>
          <w:spacing w:val="-2"/>
          <w:sz w:val="18"/>
          <w:szCs w:val="18"/>
          <w:lang w:eastAsia="zh-CN"/>
        </w:rPr>
      </w:pPr>
    </w:p>
    <w:p w14:paraId="3C01D405">
      <w:pPr>
        <w:pStyle w:val="4"/>
        <w:spacing w:before="312" w:beforeLines="100" w:after="312" w:afterLines="100"/>
        <w:jc w:val="center"/>
        <w:outlineLvl w:val="0"/>
        <w:rPr>
          <w:sz w:val="30"/>
          <w:szCs w:val="30"/>
          <w:lang w:eastAsia="zh-CN"/>
        </w:rPr>
      </w:pPr>
      <w:bookmarkStart w:id="245" w:name="_Toc20728"/>
      <w:r>
        <w:rPr>
          <w:b/>
          <w:bCs/>
          <w:spacing w:val="-2"/>
          <w:sz w:val="30"/>
          <w:szCs w:val="30"/>
          <w:lang w:eastAsia="zh-CN"/>
        </w:rPr>
        <w:t>附录</w:t>
      </w:r>
      <w:r>
        <w:rPr>
          <w:rFonts w:ascii="Times New Roman" w:hAnsi="Times New Roman" w:eastAsia="Times New Roman" w:cs="Times New Roman"/>
          <w:b/>
          <w:bCs/>
          <w:spacing w:val="-2"/>
          <w:sz w:val="30"/>
          <w:szCs w:val="30"/>
          <w:lang w:eastAsia="zh-CN"/>
        </w:rPr>
        <w:t xml:space="preserve">A  </w:t>
      </w:r>
      <w:r>
        <w:rPr>
          <w:b/>
          <w:bCs/>
          <w:spacing w:val="-2"/>
          <w:sz w:val="30"/>
          <w:szCs w:val="30"/>
          <w:lang w:eastAsia="zh-CN"/>
        </w:rPr>
        <w:t>高密度聚乙烯土工膜铺设施工记录</w:t>
      </w:r>
      <w:bookmarkEnd w:id="245"/>
    </w:p>
    <w:p w14:paraId="2D2FA872">
      <w:pPr>
        <w:pStyle w:val="4"/>
        <w:spacing w:before="60"/>
        <w:jc w:val="center"/>
        <w:rPr>
          <w:sz w:val="24"/>
          <w:szCs w:val="24"/>
          <w:lang w:eastAsia="zh-CN"/>
        </w:rPr>
      </w:pPr>
      <w:r>
        <w:rPr>
          <w:b/>
          <w:bCs/>
          <w:spacing w:val="-3"/>
          <w:sz w:val="24"/>
          <w:szCs w:val="24"/>
          <w:lang w:eastAsia="zh-CN"/>
        </w:rPr>
        <w:t>表A</w:t>
      </w:r>
      <w:r>
        <w:rPr>
          <w:rFonts w:hint="eastAsia"/>
          <w:b/>
          <w:bCs/>
          <w:spacing w:val="-3"/>
          <w:sz w:val="24"/>
          <w:szCs w:val="24"/>
          <w:lang w:eastAsia="zh-CN"/>
        </w:rPr>
        <w:t xml:space="preserve"> </w:t>
      </w:r>
      <w:r>
        <w:rPr>
          <w:b/>
          <w:bCs/>
          <w:spacing w:val="-3"/>
          <w:sz w:val="24"/>
          <w:szCs w:val="24"/>
          <w:lang w:eastAsia="zh-CN"/>
        </w:rPr>
        <w:t>高密度聚乙烯土工膜铺设施工记录表</w:t>
      </w:r>
    </w:p>
    <w:p w14:paraId="185DF515">
      <w:pPr>
        <w:spacing w:line="54" w:lineRule="exact"/>
      </w:pPr>
    </w:p>
    <w:tbl>
      <w:tblPr>
        <w:tblStyle w:val="26"/>
        <w:tblW w:w="502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0"/>
        <w:gridCol w:w="1445"/>
        <w:gridCol w:w="816"/>
        <w:gridCol w:w="1111"/>
        <w:gridCol w:w="925"/>
        <w:gridCol w:w="908"/>
        <w:gridCol w:w="910"/>
        <w:gridCol w:w="1131"/>
      </w:tblGrid>
      <w:tr w14:paraId="17ABA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00" w:type="pct"/>
            <w:gridSpan w:val="8"/>
            <w:tcBorders>
              <w:top w:val="single" w:color="000000" w:sz="12" w:space="0"/>
              <w:left w:val="single" w:color="000000" w:sz="12" w:space="0"/>
              <w:bottom w:val="single" w:color="000000" w:sz="12" w:space="0"/>
              <w:right w:val="single" w:color="000000" w:sz="12" w:space="0"/>
            </w:tcBorders>
          </w:tcPr>
          <w:p w14:paraId="678FEE09">
            <w:pPr>
              <w:pStyle w:val="25"/>
              <w:spacing w:before="120" w:after="120" w:line="231" w:lineRule="auto"/>
              <w:ind w:left="113"/>
              <w:rPr>
                <w:sz w:val="24"/>
                <w:szCs w:val="24"/>
              </w:rPr>
            </w:pPr>
            <w:r>
              <w:rPr>
                <w:rFonts w:hint="eastAsia"/>
                <w:spacing w:val="1"/>
                <w:sz w:val="24"/>
                <w:szCs w:val="24"/>
                <w:lang w:eastAsia="zh-CN"/>
              </w:rPr>
              <w:t>工程名称：</w:t>
            </w:r>
            <w:r>
              <w:rPr>
                <w:sz w:val="24"/>
                <w:szCs w:val="24"/>
              </w:rPr>
              <w:t xml:space="preserve">              </w:t>
            </w:r>
            <w:r>
              <w:rPr>
                <w:rFonts w:hint="eastAsia"/>
                <w:sz w:val="24"/>
                <w:szCs w:val="24"/>
                <w:lang w:eastAsia="zh-CN"/>
              </w:rPr>
              <w:t xml:space="preserve">                             </w:t>
            </w:r>
            <w:r>
              <w:rPr>
                <w:sz w:val="24"/>
                <w:szCs w:val="24"/>
              </w:rPr>
              <w:t xml:space="preserve"> </w:t>
            </w:r>
            <w:r>
              <w:rPr>
                <w:spacing w:val="-3"/>
                <w:sz w:val="24"/>
                <w:szCs w:val="24"/>
              </w:rPr>
              <w:t>第</w:t>
            </w:r>
            <w:r>
              <w:rPr>
                <w:spacing w:val="27"/>
                <w:sz w:val="24"/>
                <w:szCs w:val="24"/>
              </w:rPr>
              <w:t xml:space="preserve"> </w:t>
            </w:r>
            <w:r>
              <w:rPr>
                <w:spacing w:val="-3"/>
                <w:sz w:val="24"/>
                <w:szCs w:val="24"/>
              </w:rPr>
              <w:t>页</w:t>
            </w:r>
            <w:r>
              <w:rPr>
                <w:spacing w:val="22"/>
                <w:sz w:val="24"/>
                <w:szCs w:val="24"/>
              </w:rPr>
              <w:t xml:space="preserve"> </w:t>
            </w:r>
            <w:r>
              <w:rPr>
                <w:spacing w:val="-3"/>
                <w:sz w:val="24"/>
                <w:szCs w:val="24"/>
              </w:rPr>
              <w:t>共</w:t>
            </w:r>
            <w:r>
              <w:rPr>
                <w:spacing w:val="26"/>
                <w:sz w:val="24"/>
                <w:szCs w:val="24"/>
              </w:rPr>
              <w:t xml:space="preserve"> </w:t>
            </w:r>
            <w:r>
              <w:rPr>
                <w:spacing w:val="-3"/>
                <w:sz w:val="24"/>
                <w:szCs w:val="24"/>
              </w:rPr>
              <w:t>页</w:t>
            </w:r>
          </w:p>
        </w:tc>
      </w:tr>
      <w:tr w14:paraId="333C1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5" w:type="pct"/>
            <w:tcBorders>
              <w:top w:val="single" w:color="000000" w:sz="12" w:space="0"/>
              <w:left w:val="single" w:color="000000" w:sz="12" w:space="0"/>
              <w:bottom w:val="single" w:color="000000" w:sz="12" w:space="0"/>
              <w:right w:val="single" w:color="000000" w:sz="12" w:space="0"/>
            </w:tcBorders>
            <w:vAlign w:val="center"/>
          </w:tcPr>
          <w:p w14:paraId="301BC1FE">
            <w:pPr>
              <w:pStyle w:val="25"/>
              <w:spacing w:before="120" w:after="120"/>
              <w:ind w:left="214" w:right="63" w:hanging="169"/>
              <w:jc w:val="center"/>
              <w:rPr>
                <w:spacing w:val="-2"/>
                <w:sz w:val="24"/>
                <w:szCs w:val="24"/>
              </w:rPr>
            </w:pPr>
            <w:r>
              <w:rPr>
                <w:spacing w:val="-2"/>
                <w:sz w:val="24"/>
                <w:szCs w:val="24"/>
              </w:rPr>
              <w:t>铺设位置</w:t>
            </w:r>
          </w:p>
          <w:p w14:paraId="33EDEC10">
            <w:pPr>
              <w:pStyle w:val="25"/>
              <w:spacing w:before="120" w:after="120"/>
              <w:ind w:left="214" w:right="63" w:hanging="169"/>
              <w:jc w:val="center"/>
              <w:rPr>
                <w:sz w:val="24"/>
                <w:szCs w:val="24"/>
              </w:rPr>
            </w:pPr>
            <w:r>
              <w:rPr>
                <w:spacing w:val="-2"/>
                <w:sz w:val="24"/>
                <w:szCs w:val="24"/>
              </w:rPr>
              <w:t>编号</w:t>
            </w:r>
          </w:p>
        </w:tc>
        <w:tc>
          <w:tcPr>
            <w:tcW w:w="863" w:type="pct"/>
            <w:tcBorders>
              <w:top w:val="single" w:color="000000" w:sz="12" w:space="0"/>
              <w:left w:val="single" w:color="000000" w:sz="12" w:space="0"/>
              <w:bottom w:val="single" w:color="000000" w:sz="12" w:space="0"/>
              <w:right w:val="single" w:color="000000" w:sz="12" w:space="0"/>
            </w:tcBorders>
            <w:vAlign w:val="center"/>
          </w:tcPr>
          <w:p w14:paraId="498603E5">
            <w:pPr>
              <w:pStyle w:val="25"/>
              <w:spacing w:before="120" w:after="120"/>
              <w:jc w:val="center"/>
              <w:rPr>
                <w:sz w:val="24"/>
                <w:szCs w:val="24"/>
              </w:rPr>
            </w:pPr>
            <w:r>
              <w:rPr>
                <w:spacing w:val="9"/>
                <w:sz w:val="24"/>
                <w:szCs w:val="24"/>
              </w:rPr>
              <w:t>日期</w:t>
            </w:r>
          </w:p>
        </w:tc>
        <w:tc>
          <w:tcPr>
            <w:tcW w:w="487" w:type="pct"/>
            <w:tcBorders>
              <w:top w:val="single" w:color="000000" w:sz="12" w:space="0"/>
              <w:left w:val="single" w:color="000000" w:sz="12" w:space="0"/>
              <w:bottom w:val="single" w:color="000000" w:sz="12" w:space="0"/>
              <w:right w:val="single" w:color="000000" w:sz="12" w:space="0"/>
            </w:tcBorders>
            <w:vAlign w:val="center"/>
          </w:tcPr>
          <w:p w14:paraId="3550391D">
            <w:pPr>
              <w:pStyle w:val="25"/>
              <w:spacing w:before="120" w:after="120"/>
              <w:ind w:left="63"/>
              <w:jc w:val="center"/>
              <w:rPr>
                <w:sz w:val="24"/>
                <w:szCs w:val="24"/>
              </w:rPr>
            </w:pPr>
            <w:r>
              <w:rPr>
                <w:spacing w:val="8"/>
                <w:sz w:val="24"/>
                <w:szCs w:val="24"/>
              </w:rPr>
              <w:t>时间</w:t>
            </w:r>
          </w:p>
        </w:tc>
        <w:tc>
          <w:tcPr>
            <w:tcW w:w="663" w:type="pct"/>
            <w:tcBorders>
              <w:top w:val="single" w:color="000000" w:sz="12" w:space="0"/>
              <w:left w:val="single" w:color="000000" w:sz="12" w:space="0"/>
              <w:bottom w:val="single" w:color="000000" w:sz="12" w:space="0"/>
              <w:right w:val="single" w:color="000000" w:sz="12" w:space="0"/>
            </w:tcBorders>
            <w:vAlign w:val="center"/>
          </w:tcPr>
          <w:p w14:paraId="61ABEDF7">
            <w:pPr>
              <w:pStyle w:val="25"/>
              <w:spacing w:before="120" w:after="120"/>
              <w:ind w:left="74"/>
              <w:jc w:val="center"/>
              <w:rPr>
                <w:sz w:val="24"/>
                <w:szCs w:val="24"/>
              </w:rPr>
            </w:pPr>
            <w:r>
              <w:rPr>
                <w:spacing w:val="-2"/>
                <w:sz w:val="24"/>
                <w:szCs w:val="24"/>
              </w:rPr>
              <w:t>卷材编号</w:t>
            </w:r>
          </w:p>
        </w:tc>
        <w:tc>
          <w:tcPr>
            <w:tcW w:w="552" w:type="pct"/>
            <w:tcBorders>
              <w:top w:val="single" w:color="000000" w:sz="12" w:space="0"/>
              <w:left w:val="single" w:color="000000" w:sz="12" w:space="0"/>
              <w:bottom w:val="single" w:color="000000" w:sz="12" w:space="0"/>
              <w:right w:val="single" w:color="000000" w:sz="12" w:space="0"/>
            </w:tcBorders>
            <w:vAlign w:val="center"/>
          </w:tcPr>
          <w:p w14:paraId="1BD5142B">
            <w:pPr>
              <w:pStyle w:val="25"/>
              <w:spacing w:before="120" w:after="120"/>
              <w:ind w:right="160"/>
              <w:jc w:val="center"/>
              <w:rPr>
                <w:spacing w:val="-4"/>
                <w:sz w:val="24"/>
                <w:szCs w:val="24"/>
              </w:rPr>
            </w:pPr>
            <w:r>
              <w:rPr>
                <w:spacing w:val="-4"/>
                <w:sz w:val="24"/>
                <w:szCs w:val="24"/>
              </w:rPr>
              <w:t>长度</w:t>
            </w:r>
          </w:p>
          <w:p w14:paraId="58737DA0">
            <w:pPr>
              <w:pStyle w:val="25"/>
              <w:spacing w:before="120" w:after="120"/>
              <w:ind w:right="160"/>
              <w:jc w:val="center"/>
              <w:rPr>
                <w:sz w:val="24"/>
                <w:szCs w:val="24"/>
                <w:lang w:eastAsia="zh-CN"/>
              </w:rPr>
            </w:pPr>
            <w:r>
              <w:rPr>
                <w:rFonts w:hint="eastAsia"/>
                <w:spacing w:val="-9"/>
                <w:sz w:val="24"/>
                <w:szCs w:val="24"/>
                <w:lang w:eastAsia="zh-CN"/>
              </w:rPr>
              <w:t>（m）</w:t>
            </w:r>
          </w:p>
        </w:tc>
        <w:tc>
          <w:tcPr>
            <w:tcW w:w="539" w:type="pct"/>
            <w:tcBorders>
              <w:top w:val="single" w:color="000000" w:sz="12" w:space="0"/>
              <w:left w:val="single" w:color="000000" w:sz="12" w:space="0"/>
              <w:bottom w:val="single" w:color="000000" w:sz="12" w:space="0"/>
              <w:right w:val="single" w:color="000000" w:sz="12" w:space="0"/>
            </w:tcBorders>
            <w:vAlign w:val="center"/>
          </w:tcPr>
          <w:p w14:paraId="61A75251">
            <w:pPr>
              <w:pStyle w:val="25"/>
              <w:spacing w:before="120" w:after="120"/>
              <w:ind w:right="131"/>
              <w:jc w:val="center"/>
              <w:rPr>
                <w:spacing w:val="5"/>
                <w:sz w:val="24"/>
                <w:szCs w:val="24"/>
              </w:rPr>
            </w:pPr>
            <w:r>
              <w:rPr>
                <w:spacing w:val="5"/>
                <w:sz w:val="24"/>
                <w:szCs w:val="24"/>
              </w:rPr>
              <w:t>宽度</w:t>
            </w:r>
          </w:p>
          <w:p w14:paraId="6B0DDC8B">
            <w:pPr>
              <w:pStyle w:val="25"/>
              <w:spacing w:before="120" w:after="120"/>
              <w:ind w:right="131"/>
              <w:jc w:val="center"/>
              <w:rPr>
                <w:sz w:val="24"/>
                <w:szCs w:val="24"/>
                <w:lang w:eastAsia="zh-CN"/>
              </w:rPr>
            </w:pPr>
            <w:r>
              <w:rPr>
                <w:rFonts w:hint="eastAsia"/>
                <w:spacing w:val="-9"/>
                <w:sz w:val="24"/>
                <w:szCs w:val="24"/>
                <w:lang w:eastAsia="zh-CN"/>
              </w:rPr>
              <w:t>（m）</w:t>
            </w:r>
          </w:p>
        </w:tc>
        <w:tc>
          <w:tcPr>
            <w:tcW w:w="543" w:type="pct"/>
            <w:tcBorders>
              <w:top w:val="single" w:color="000000" w:sz="12" w:space="0"/>
              <w:left w:val="single" w:color="000000" w:sz="12" w:space="0"/>
              <w:bottom w:val="single" w:color="000000" w:sz="12" w:space="0"/>
              <w:right w:val="single" w:color="000000" w:sz="12" w:space="0"/>
            </w:tcBorders>
            <w:vAlign w:val="center"/>
          </w:tcPr>
          <w:p w14:paraId="0DD2A8A6">
            <w:pPr>
              <w:pStyle w:val="25"/>
              <w:spacing w:before="120" w:after="120"/>
              <w:ind w:right="148"/>
              <w:jc w:val="center"/>
              <w:rPr>
                <w:spacing w:val="-4"/>
                <w:sz w:val="24"/>
                <w:szCs w:val="24"/>
              </w:rPr>
            </w:pPr>
            <w:r>
              <w:rPr>
                <w:spacing w:val="-4"/>
                <w:sz w:val="24"/>
                <w:szCs w:val="24"/>
              </w:rPr>
              <w:t>面积</w:t>
            </w:r>
          </w:p>
          <w:p w14:paraId="659CAE5C">
            <w:pPr>
              <w:pStyle w:val="25"/>
              <w:spacing w:before="120" w:after="120"/>
              <w:ind w:right="148"/>
              <w:jc w:val="center"/>
              <w:rPr>
                <w:sz w:val="24"/>
                <w:szCs w:val="24"/>
                <w:lang w:eastAsia="zh-CN"/>
              </w:rPr>
            </w:pPr>
            <w:r>
              <w:rPr>
                <w:rFonts w:hint="eastAsia"/>
                <w:spacing w:val="-7"/>
                <w:sz w:val="24"/>
                <w:szCs w:val="24"/>
                <w:lang w:eastAsia="zh-CN"/>
              </w:rPr>
              <w:t>（</w:t>
            </w:r>
            <w:r>
              <w:rPr>
                <w:spacing w:val="-7"/>
                <w:sz w:val="24"/>
                <w:szCs w:val="24"/>
              </w:rPr>
              <w:t>m²</w:t>
            </w:r>
            <w:r>
              <w:rPr>
                <w:rFonts w:hint="eastAsia"/>
                <w:spacing w:val="-7"/>
                <w:sz w:val="24"/>
                <w:szCs w:val="24"/>
                <w:lang w:eastAsia="zh-CN"/>
              </w:rPr>
              <w:t>）</w:t>
            </w:r>
          </w:p>
        </w:tc>
        <w:tc>
          <w:tcPr>
            <w:tcW w:w="673" w:type="pct"/>
            <w:tcBorders>
              <w:top w:val="single" w:color="000000" w:sz="12" w:space="0"/>
              <w:left w:val="single" w:color="000000" w:sz="12" w:space="0"/>
              <w:bottom w:val="single" w:color="000000" w:sz="12" w:space="0"/>
              <w:right w:val="single" w:color="000000" w:sz="12" w:space="0"/>
            </w:tcBorders>
            <w:vAlign w:val="center"/>
          </w:tcPr>
          <w:p w14:paraId="46D9F941">
            <w:pPr>
              <w:pStyle w:val="25"/>
              <w:spacing w:before="120" w:after="120"/>
              <w:jc w:val="center"/>
              <w:rPr>
                <w:sz w:val="24"/>
                <w:szCs w:val="24"/>
              </w:rPr>
            </w:pPr>
            <w:r>
              <w:rPr>
                <w:spacing w:val="-3"/>
                <w:sz w:val="24"/>
                <w:szCs w:val="24"/>
              </w:rPr>
              <w:t>备注</w:t>
            </w:r>
          </w:p>
        </w:tc>
      </w:tr>
      <w:tr w14:paraId="7CAB3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5" w:type="pct"/>
            <w:tcBorders>
              <w:top w:val="single" w:color="000000" w:sz="12" w:space="0"/>
              <w:left w:val="single" w:color="000000" w:sz="12" w:space="0"/>
              <w:bottom w:val="single" w:color="000000" w:sz="12" w:space="0"/>
              <w:right w:val="single" w:color="000000" w:sz="12" w:space="0"/>
            </w:tcBorders>
          </w:tcPr>
          <w:p w14:paraId="23B638CB">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20AD987E">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3EBFDDF5">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61B2E515">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270B31BE">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73801B10">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149B3B3D">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223C418B">
            <w:pPr>
              <w:spacing w:before="60" w:after="60"/>
              <w:rPr>
                <w:rFonts w:ascii="Arial"/>
                <w:sz w:val="24"/>
              </w:rPr>
            </w:pPr>
          </w:p>
        </w:tc>
      </w:tr>
      <w:tr w14:paraId="7F8A2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75" w:type="pct"/>
            <w:tcBorders>
              <w:top w:val="single" w:color="000000" w:sz="12" w:space="0"/>
              <w:left w:val="single" w:color="000000" w:sz="12" w:space="0"/>
              <w:bottom w:val="single" w:color="000000" w:sz="12" w:space="0"/>
              <w:right w:val="single" w:color="000000" w:sz="12" w:space="0"/>
            </w:tcBorders>
          </w:tcPr>
          <w:p w14:paraId="4F37394A">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149DA713">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7F1F398C">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6BEFB228">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6592A3F0">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45A80E52">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5B3A3B5A">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6403C42F">
            <w:pPr>
              <w:spacing w:before="60" w:after="60"/>
              <w:rPr>
                <w:rFonts w:ascii="Arial"/>
                <w:sz w:val="24"/>
              </w:rPr>
            </w:pPr>
          </w:p>
        </w:tc>
      </w:tr>
      <w:tr w14:paraId="33908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75" w:type="pct"/>
            <w:tcBorders>
              <w:top w:val="single" w:color="000000" w:sz="12" w:space="0"/>
              <w:left w:val="single" w:color="000000" w:sz="12" w:space="0"/>
              <w:bottom w:val="single" w:color="000000" w:sz="12" w:space="0"/>
              <w:right w:val="single" w:color="000000" w:sz="12" w:space="0"/>
            </w:tcBorders>
          </w:tcPr>
          <w:p w14:paraId="72E45868">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3D207BB4">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22366DDA">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1D210649">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16FAD9F1">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3087A79A">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5F35897F">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23E8C313">
            <w:pPr>
              <w:spacing w:before="60" w:after="60"/>
              <w:rPr>
                <w:rFonts w:ascii="Arial"/>
                <w:sz w:val="24"/>
              </w:rPr>
            </w:pPr>
          </w:p>
        </w:tc>
      </w:tr>
      <w:tr w14:paraId="39E4E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75" w:type="pct"/>
            <w:tcBorders>
              <w:top w:val="single" w:color="000000" w:sz="12" w:space="0"/>
              <w:left w:val="single" w:color="000000" w:sz="12" w:space="0"/>
              <w:bottom w:val="single" w:color="000000" w:sz="12" w:space="0"/>
              <w:right w:val="single" w:color="000000" w:sz="12" w:space="0"/>
            </w:tcBorders>
          </w:tcPr>
          <w:p w14:paraId="4A715629">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79034A84">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0E4EB22D">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7C162483">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7883B052">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6F102802">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59DBB60F">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CE4357D">
            <w:pPr>
              <w:spacing w:before="60" w:after="60"/>
              <w:rPr>
                <w:rFonts w:ascii="Arial"/>
                <w:sz w:val="24"/>
              </w:rPr>
            </w:pPr>
          </w:p>
        </w:tc>
      </w:tr>
      <w:tr w14:paraId="23D8D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75" w:type="pct"/>
            <w:tcBorders>
              <w:top w:val="single" w:color="000000" w:sz="12" w:space="0"/>
              <w:left w:val="single" w:color="000000" w:sz="12" w:space="0"/>
              <w:bottom w:val="single" w:color="000000" w:sz="12" w:space="0"/>
              <w:right w:val="single" w:color="000000" w:sz="12" w:space="0"/>
            </w:tcBorders>
          </w:tcPr>
          <w:p w14:paraId="1D71AA9A">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2CAA9B2E">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28100742">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09F336C3">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52888AC4">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5B405652">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4E3C6ED1">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7F741865">
            <w:pPr>
              <w:spacing w:before="60" w:after="60"/>
              <w:rPr>
                <w:rFonts w:ascii="Arial"/>
                <w:sz w:val="24"/>
              </w:rPr>
            </w:pPr>
          </w:p>
        </w:tc>
      </w:tr>
      <w:tr w14:paraId="4462E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atLeast"/>
        </w:trPr>
        <w:tc>
          <w:tcPr>
            <w:tcW w:w="675" w:type="pct"/>
            <w:tcBorders>
              <w:top w:val="single" w:color="000000" w:sz="12" w:space="0"/>
              <w:left w:val="single" w:color="000000" w:sz="12" w:space="0"/>
              <w:bottom w:val="single" w:color="000000" w:sz="12" w:space="0"/>
              <w:right w:val="single" w:color="000000" w:sz="12" w:space="0"/>
            </w:tcBorders>
          </w:tcPr>
          <w:p w14:paraId="51CB0F81">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761EBAF3">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13F6FC7C">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0540CC6F">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21EF7852">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7AE7ABE4">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24BA3C52">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17A8DE3F">
            <w:pPr>
              <w:spacing w:before="60" w:after="60"/>
              <w:rPr>
                <w:rFonts w:ascii="Arial"/>
                <w:sz w:val="24"/>
              </w:rPr>
            </w:pPr>
          </w:p>
        </w:tc>
      </w:tr>
      <w:tr w14:paraId="36058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75" w:type="pct"/>
            <w:tcBorders>
              <w:top w:val="single" w:color="000000" w:sz="12" w:space="0"/>
              <w:left w:val="single" w:color="000000" w:sz="12" w:space="0"/>
              <w:bottom w:val="single" w:color="000000" w:sz="12" w:space="0"/>
              <w:right w:val="single" w:color="000000" w:sz="12" w:space="0"/>
            </w:tcBorders>
          </w:tcPr>
          <w:p w14:paraId="20B198A7">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583A02B4">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44868A88">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787D66C2">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7DDC1B21">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0009CE88">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1344EF88">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6A5E9C1">
            <w:pPr>
              <w:spacing w:before="60" w:after="60"/>
              <w:rPr>
                <w:rFonts w:ascii="Arial"/>
                <w:sz w:val="24"/>
              </w:rPr>
            </w:pPr>
          </w:p>
        </w:tc>
      </w:tr>
      <w:tr w14:paraId="13249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75" w:type="pct"/>
            <w:tcBorders>
              <w:top w:val="single" w:color="000000" w:sz="12" w:space="0"/>
              <w:left w:val="single" w:color="000000" w:sz="12" w:space="0"/>
              <w:bottom w:val="single" w:color="000000" w:sz="12" w:space="0"/>
              <w:right w:val="single" w:color="000000" w:sz="12" w:space="0"/>
            </w:tcBorders>
          </w:tcPr>
          <w:p w14:paraId="0CD3AF00">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2FED52B1">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3E8A12EA">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520460D7">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0D03FD0A">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6D0F0F71">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75D065B2">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6DA6369">
            <w:pPr>
              <w:spacing w:before="60" w:after="60"/>
              <w:rPr>
                <w:rFonts w:ascii="Arial"/>
                <w:sz w:val="24"/>
              </w:rPr>
            </w:pPr>
          </w:p>
        </w:tc>
      </w:tr>
      <w:tr w14:paraId="24E5C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5" w:type="pct"/>
            <w:tcBorders>
              <w:top w:val="single" w:color="000000" w:sz="12" w:space="0"/>
              <w:left w:val="single" w:color="000000" w:sz="12" w:space="0"/>
              <w:bottom w:val="single" w:color="000000" w:sz="12" w:space="0"/>
              <w:right w:val="single" w:color="000000" w:sz="12" w:space="0"/>
            </w:tcBorders>
          </w:tcPr>
          <w:p w14:paraId="7D94A1F4">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4A1619D5">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4CE9D486">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418AF1D8">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0A6CCB28">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0ABA6F4A">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2D4C0E60">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9D03DF5">
            <w:pPr>
              <w:spacing w:before="60" w:after="60"/>
              <w:rPr>
                <w:rFonts w:ascii="Arial"/>
                <w:sz w:val="24"/>
              </w:rPr>
            </w:pPr>
          </w:p>
        </w:tc>
      </w:tr>
      <w:tr w14:paraId="7B555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75" w:type="pct"/>
            <w:tcBorders>
              <w:top w:val="single" w:color="000000" w:sz="12" w:space="0"/>
              <w:left w:val="single" w:color="000000" w:sz="12" w:space="0"/>
              <w:bottom w:val="single" w:color="000000" w:sz="12" w:space="0"/>
              <w:right w:val="single" w:color="000000" w:sz="12" w:space="0"/>
            </w:tcBorders>
          </w:tcPr>
          <w:p w14:paraId="1ECF05D9">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07200903">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73066DE3">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58B28756">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53FEE168">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741A3396">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2C39F568">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4688709F">
            <w:pPr>
              <w:spacing w:before="60" w:after="60"/>
              <w:rPr>
                <w:rFonts w:ascii="Arial"/>
                <w:sz w:val="24"/>
              </w:rPr>
            </w:pPr>
          </w:p>
        </w:tc>
      </w:tr>
      <w:tr w14:paraId="1FF81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5" w:type="pct"/>
            <w:tcBorders>
              <w:top w:val="single" w:color="000000" w:sz="12" w:space="0"/>
              <w:left w:val="single" w:color="000000" w:sz="12" w:space="0"/>
              <w:bottom w:val="single" w:color="000000" w:sz="12" w:space="0"/>
              <w:right w:val="single" w:color="000000" w:sz="12" w:space="0"/>
            </w:tcBorders>
          </w:tcPr>
          <w:p w14:paraId="13BB5CB7">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15E0A6C9">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666B1960">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35B96618">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248E87FA">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0B0352D2">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198D0354">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1C57A77">
            <w:pPr>
              <w:spacing w:before="60" w:after="60"/>
              <w:rPr>
                <w:rFonts w:ascii="Arial"/>
                <w:sz w:val="24"/>
              </w:rPr>
            </w:pPr>
          </w:p>
        </w:tc>
      </w:tr>
      <w:tr w14:paraId="7AAB6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75" w:type="pct"/>
            <w:tcBorders>
              <w:top w:val="single" w:color="000000" w:sz="12" w:space="0"/>
              <w:left w:val="single" w:color="000000" w:sz="12" w:space="0"/>
              <w:bottom w:val="single" w:color="000000" w:sz="12" w:space="0"/>
              <w:right w:val="single" w:color="000000" w:sz="12" w:space="0"/>
            </w:tcBorders>
          </w:tcPr>
          <w:p w14:paraId="0B6FDD22">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5D831580">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08DCB987">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16C62459">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4A6D1591">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55E12E19">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3AB2476E">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646B1256">
            <w:pPr>
              <w:spacing w:before="60" w:after="60"/>
              <w:rPr>
                <w:rFonts w:ascii="Arial"/>
                <w:sz w:val="24"/>
              </w:rPr>
            </w:pPr>
          </w:p>
        </w:tc>
      </w:tr>
      <w:tr w14:paraId="3A591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75" w:type="pct"/>
            <w:tcBorders>
              <w:top w:val="single" w:color="000000" w:sz="12" w:space="0"/>
              <w:left w:val="single" w:color="000000" w:sz="12" w:space="0"/>
              <w:bottom w:val="single" w:color="000000" w:sz="12" w:space="0"/>
              <w:right w:val="single" w:color="000000" w:sz="12" w:space="0"/>
            </w:tcBorders>
          </w:tcPr>
          <w:p w14:paraId="1C05D1EF">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26539079">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6EDA32D8">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43DD6DD9">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20CBEE88">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4A8AA2EF">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43998843">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740D3938">
            <w:pPr>
              <w:spacing w:before="60" w:after="60"/>
              <w:rPr>
                <w:rFonts w:ascii="Arial"/>
                <w:sz w:val="24"/>
              </w:rPr>
            </w:pPr>
          </w:p>
        </w:tc>
      </w:tr>
      <w:tr w14:paraId="7EE7D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75" w:type="pct"/>
            <w:tcBorders>
              <w:top w:val="single" w:color="000000" w:sz="12" w:space="0"/>
              <w:left w:val="single" w:color="000000" w:sz="12" w:space="0"/>
              <w:bottom w:val="single" w:color="000000" w:sz="12" w:space="0"/>
              <w:right w:val="single" w:color="000000" w:sz="12" w:space="0"/>
            </w:tcBorders>
          </w:tcPr>
          <w:p w14:paraId="063EACBB">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2D754512">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06E793CB">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7D1D7476">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6E09C907">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0871FC9F">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17F5029B">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2D71B98B">
            <w:pPr>
              <w:spacing w:before="60" w:after="60"/>
              <w:rPr>
                <w:rFonts w:ascii="Arial"/>
                <w:sz w:val="24"/>
              </w:rPr>
            </w:pPr>
          </w:p>
        </w:tc>
      </w:tr>
      <w:tr w14:paraId="1185A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75" w:type="pct"/>
            <w:tcBorders>
              <w:top w:val="single" w:color="000000" w:sz="12" w:space="0"/>
              <w:left w:val="single" w:color="000000" w:sz="12" w:space="0"/>
              <w:bottom w:val="single" w:color="000000" w:sz="12" w:space="0"/>
              <w:right w:val="single" w:color="000000" w:sz="12" w:space="0"/>
            </w:tcBorders>
          </w:tcPr>
          <w:p w14:paraId="2017B6C8">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48CBCABB">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4D2D4AFD">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5DA2AAB1">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447B3FE3">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474EBD68">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32C525BC">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04566CD">
            <w:pPr>
              <w:spacing w:before="60" w:after="60"/>
              <w:rPr>
                <w:rFonts w:ascii="Arial"/>
                <w:sz w:val="24"/>
              </w:rPr>
            </w:pPr>
          </w:p>
        </w:tc>
      </w:tr>
      <w:tr w14:paraId="75D26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0" w:hRule="atLeast"/>
        </w:trPr>
        <w:tc>
          <w:tcPr>
            <w:tcW w:w="675" w:type="pct"/>
            <w:tcBorders>
              <w:top w:val="single" w:color="000000" w:sz="12" w:space="0"/>
              <w:left w:val="single" w:color="000000" w:sz="12" w:space="0"/>
              <w:bottom w:val="single" w:color="000000" w:sz="12" w:space="0"/>
              <w:right w:val="single" w:color="000000" w:sz="12" w:space="0"/>
            </w:tcBorders>
          </w:tcPr>
          <w:p w14:paraId="4F7AC230">
            <w:pPr>
              <w:spacing w:before="60" w:after="60"/>
              <w:rPr>
                <w:rFonts w:ascii="Arial"/>
                <w:sz w:val="24"/>
              </w:rPr>
            </w:pPr>
          </w:p>
        </w:tc>
        <w:tc>
          <w:tcPr>
            <w:tcW w:w="863" w:type="pct"/>
            <w:tcBorders>
              <w:top w:val="single" w:color="000000" w:sz="12" w:space="0"/>
              <w:left w:val="single" w:color="000000" w:sz="12" w:space="0"/>
              <w:bottom w:val="single" w:color="000000" w:sz="12" w:space="0"/>
              <w:right w:val="single" w:color="000000" w:sz="12" w:space="0"/>
            </w:tcBorders>
          </w:tcPr>
          <w:p w14:paraId="33789B15">
            <w:pPr>
              <w:spacing w:before="60" w:after="60"/>
              <w:rPr>
                <w:rFonts w:ascii="Arial"/>
                <w:sz w:val="24"/>
              </w:rPr>
            </w:pPr>
          </w:p>
        </w:tc>
        <w:tc>
          <w:tcPr>
            <w:tcW w:w="487" w:type="pct"/>
            <w:tcBorders>
              <w:top w:val="single" w:color="000000" w:sz="12" w:space="0"/>
              <w:left w:val="single" w:color="000000" w:sz="12" w:space="0"/>
              <w:bottom w:val="single" w:color="000000" w:sz="12" w:space="0"/>
              <w:right w:val="single" w:color="000000" w:sz="12" w:space="0"/>
            </w:tcBorders>
          </w:tcPr>
          <w:p w14:paraId="34E240D5">
            <w:pPr>
              <w:spacing w:before="60" w:after="60"/>
              <w:rPr>
                <w:rFonts w:ascii="Arial"/>
                <w:sz w:val="24"/>
              </w:rPr>
            </w:pPr>
          </w:p>
        </w:tc>
        <w:tc>
          <w:tcPr>
            <w:tcW w:w="663" w:type="pct"/>
            <w:tcBorders>
              <w:top w:val="single" w:color="000000" w:sz="12" w:space="0"/>
              <w:left w:val="single" w:color="000000" w:sz="12" w:space="0"/>
              <w:bottom w:val="single" w:color="000000" w:sz="12" w:space="0"/>
              <w:right w:val="single" w:color="000000" w:sz="12" w:space="0"/>
            </w:tcBorders>
          </w:tcPr>
          <w:p w14:paraId="66DDFACD">
            <w:pPr>
              <w:spacing w:before="60" w:after="60"/>
              <w:rPr>
                <w:rFonts w:ascii="Arial"/>
                <w:sz w:val="24"/>
              </w:rPr>
            </w:pPr>
          </w:p>
        </w:tc>
        <w:tc>
          <w:tcPr>
            <w:tcW w:w="552" w:type="pct"/>
            <w:tcBorders>
              <w:top w:val="single" w:color="000000" w:sz="12" w:space="0"/>
              <w:left w:val="single" w:color="000000" w:sz="12" w:space="0"/>
              <w:bottom w:val="single" w:color="000000" w:sz="12" w:space="0"/>
              <w:right w:val="single" w:color="000000" w:sz="12" w:space="0"/>
            </w:tcBorders>
          </w:tcPr>
          <w:p w14:paraId="6CEB78FD">
            <w:pPr>
              <w:spacing w:before="60" w:after="60"/>
              <w:rPr>
                <w:rFonts w:ascii="Arial"/>
                <w:sz w:val="24"/>
              </w:rPr>
            </w:pPr>
          </w:p>
        </w:tc>
        <w:tc>
          <w:tcPr>
            <w:tcW w:w="539" w:type="pct"/>
            <w:tcBorders>
              <w:top w:val="single" w:color="000000" w:sz="12" w:space="0"/>
              <w:left w:val="single" w:color="000000" w:sz="12" w:space="0"/>
              <w:bottom w:val="single" w:color="000000" w:sz="12" w:space="0"/>
              <w:right w:val="single" w:color="000000" w:sz="12" w:space="0"/>
            </w:tcBorders>
          </w:tcPr>
          <w:p w14:paraId="208D7F0B">
            <w:pPr>
              <w:spacing w:before="60" w:after="60"/>
              <w:rPr>
                <w:rFonts w:ascii="Arial"/>
                <w:sz w:val="24"/>
              </w:rPr>
            </w:pPr>
          </w:p>
        </w:tc>
        <w:tc>
          <w:tcPr>
            <w:tcW w:w="543" w:type="pct"/>
            <w:tcBorders>
              <w:top w:val="single" w:color="000000" w:sz="12" w:space="0"/>
              <w:left w:val="single" w:color="000000" w:sz="12" w:space="0"/>
              <w:bottom w:val="single" w:color="000000" w:sz="12" w:space="0"/>
              <w:right w:val="single" w:color="000000" w:sz="12" w:space="0"/>
            </w:tcBorders>
          </w:tcPr>
          <w:p w14:paraId="6F4F89A8">
            <w:pPr>
              <w:spacing w:before="60" w:after="60"/>
              <w:rPr>
                <w:rFonts w:ascii="Arial"/>
                <w:sz w:val="24"/>
              </w:rPr>
            </w:pPr>
          </w:p>
        </w:tc>
        <w:tc>
          <w:tcPr>
            <w:tcW w:w="673" w:type="pct"/>
            <w:tcBorders>
              <w:top w:val="single" w:color="000000" w:sz="12" w:space="0"/>
              <w:left w:val="single" w:color="000000" w:sz="12" w:space="0"/>
              <w:bottom w:val="single" w:color="000000" w:sz="12" w:space="0"/>
              <w:right w:val="single" w:color="000000" w:sz="12" w:space="0"/>
            </w:tcBorders>
          </w:tcPr>
          <w:p w14:paraId="5960E8DE">
            <w:pPr>
              <w:spacing w:before="60" w:after="60"/>
              <w:rPr>
                <w:rFonts w:ascii="Arial"/>
                <w:sz w:val="24"/>
              </w:rPr>
            </w:pPr>
          </w:p>
        </w:tc>
      </w:tr>
      <w:tr w14:paraId="69856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3782" w:type="pct"/>
            <w:gridSpan w:val="6"/>
            <w:tcBorders>
              <w:top w:val="single" w:color="000000" w:sz="12" w:space="0"/>
              <w:left w:val="single" w:color="000000" w:sz="12" w:space="0"/>
              <w:bottom w:val="single" w:color="000000" w:sz="12" w:space="0"/>
              <w:right w:val="single" w:color="000000" w:sz="12" w:space="0"/>
            </w:tcBorders>
            <w:vAlign w:val="center"/>
          </w:tcPr>
          <w:p w14:paraId="24311565">
            <w:pPr>
              <w:pStyle w:val="25"/>
              <w:spacing w:before="120" w:after="120" w:line="219" w:lineRule="auto"/>
              <w:ind w:left="3635"/>
              <w:rPr>
                <w:sz w:val="24"/>
                <w:szCs w:val="24"/>
              </w:rPr>
            </w:pPr>
            <w:r>
              <w:rPr>
                <w:spacing w:val="-2"/>
                <w:sz w:val="24"/>
                <w:szCs w:val="24"/>
              </w:rPr>
              <w:t>本页小计</w:t>
            </w:r>
          </w:p>
        </w:tc>
        <w:tc>
          <w:tcPr>
            <w:tcW w:w="1217" w:type="pct"/>
            <w:gridSpan w:val="2"/>
            <w:tcBorders>
              <w:top w:val="single" w:color="000000" w:sz="12" w:space="0"/>
              <w:left w:val="single" w:color="000000" w:sz="12" w:space="0"/>
              <w:bottom w:val="single" w:color="000000" w:sz="12" w:space="0"/>
              <w:right w:val="single" w:color="000000" w:sz="12" w:space="0"/>
            </w:tcBorders>
            <w:vAlign w:val="center"/>
          </w:tcPr>
          <w:p w14:paraId="0A0E815C">
            <w:pPr>
              <w:spacing w:before="120" w:after="120"/>
              <w:rPr>
                <w:rFonts w:ascii="Arial"/>
                <w:sz w:val="24"/>
              </w:rPr>
            </w:pPr>
          </w:p>
        </w:tc>
      </w:tr>
      <w:tr w14:paraId="30684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782" w:type="pct"/>
            <w:gridSpan w:val="6"/>
            <w:tcBorders>
              <w:top w:val="single" w:color="000000" w:sz="12" w:space="0"/>
              <w:left w:val="single" w:color="000000" w:sz="12" w:space="0"/>
              <w:bottom w:val="single" w:color="000000" w:sz="12" w:space="0"/>
              <w:right w:val="single" w:color="000000" w:sz="12" w:space="0"/>
            </w:tcBorders>
            <w:vAlign w:val="center"/>
          </w:tcPr>
          <w:p w14:paraId="3EA81DC4">
            <w:pPr>
              <w:pStyle w:val="25"/>
              <w:spacing w:before="120" w:after="120" w:line="221" w:lineRule="auto"/>
              <w:ind w:left="3675"/>
              <w:rPr>
                <w:sz w:val="24"/>
                <w:szCs w:val="24"/>
              </w:rPr>
            </w:pPr>
            <w:r>
              <w:rPr>
                <w:spacing w:val="-5"/>
                <w:sz w:val="24"/>
                <w:szCs w:val="24"/>
              </w:rPr>
              <w:t>累    计</w:t>
            </w:r>
          </w:p>
        </w:tc>
        <w:tc>
          <w:tcPr>
            <w:tcW w:w="1217" w:type="pct"/>
            <w:gridSpan w:val="2"/>
            <w:tcBorders>
              <w:top w:val="single" w:color="000000" w:sz="12" w:space="0"/>
              <w:left w:val="single" w:color="000000" w:sz="12" w:space="0"/>
              <w:bottom w:val="single" w:color="000000" w:sz="12" w:space="0"/>
              <w:right w:val="single" w:color="000000" w:sz="12" w:space="0"/>
            </w:tcBorders>
            <w:vAlign w:val="center"/>
          </w:tcPr>
          <w:p w14:paraId="528AC304">
            <w:pPr>
              <w:spacing w:before="120" w:after="120"/>
              <w:rPr>
                <w:rFonts w:ascii="Arial"/>
                <w:sz w:val="24"/>
              </w:rPr>
            </w:pPr>
          </w:p>
        </w:tc>
      </w:tr>
      <w:tr w14:paraId="09FD1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5000" w:type="pct"/>
            <w:gridSpan w:val="8"/>
            <w:tcBorders>
              <w:top w:val="single" w:color="000000" w:sz="12" w:space="0"/>
              <w:left w:val="single" w:color="000000" w:sz="12" w:space="0"/>
              <w:bottom w:val="single" w:color="000000" w:sz="12" w:space="0"/>
              <w:right w:val="single" w:color="000000" w:sz="12" w:space="0"/>
            </w:tcBorders>
          </w:tcPr>
          <w:p w14:paraId="2CD16717">
            <w:pPr>
              <w:pStyle w:val="25"/>
              <w:spacing w:before="120" w:after="120" w:line="220" w:lineRule="auto"/>
              <w:ind w:firstLine="122" w:firstLineChars="50"/>
              <w:rPr>
                <w:sz w:val="24"/>
                <w:szCs w:val="24"/>
                <w:lang w:eastAsia="zh-CN"/>
              </w:rPr>
            </w:pPr>
            <w:r>
              <w:rPr>
                <w:spacing w:val="2"/>
                <w:sz w:val="24"/>
                <w:szCs w:val="24"/>
                <w:lang w:eastAsia="zh-CN"/>
              </w:rPr>
              <w:t>施工单位：</w:t>
            </w:r>
            <w:r>
              <w:rPr>
                <w:sz w:val="24"/>
                <w:szCs w:val="24"/>
                <w:lang w:eastAsia="zh-CN"/>
              </w:rPr>
              <w:t xml:space="preserve">                          </w:t>
            </w:r>
            <w:r>
              <w:rPr>
                <w:spacing w:val="2"/>
                <w:sz w:val="24"/>
                <w:szCs w:val="24"/>
                <w:lang w:eastAsia="zh-CN"/>
              </w:rPr>
              <w:t>现场监理</w:t>
            </w:r>
            <w:r>
              <w:rPr>
                <w:rFonts w:hint="eastAsia"/>
                <w:spacing w:val="2"/>
                <w:sz w:val="24"/>
                <w:szCs w:val="24"/>
                <w:lang w:eastAsia="zh-CN"/>
              </w:rPr>
              <w:t>（</w:t>
            </w:r>
            <w:r>
              <w:rPr>
                <w:spacing w:val="2"/>
                <w:sz w:val="24"/>
                <w:szCs w:val="24"/>
                <w:lang w:eastAsia="zh-CN"/>
              </w:rPr>
              <w:t>签章</w:t>
            </w:r>
            <w:r>
              <w:rPr>
                <w:rFonts w:hint="eastAsia"/>
                <w:spacing w:val="2"/>
                <w:sz w:val="24"/>
                <w:szCs w:val="24"/>
                <w:lang w:eastAsia="zh-CN"/>
              </w:rPr>
              <w:t>）：</w:t>
            </w:r>
          </w:p>
          <w:p w14:paraId="786CB073">
            <w:pPr>
              <w:pStyle w:val="25"/>
              <w:spacing w:before="120" w:after="120" w:line="219" w:lineRule="auto"/>
              <w:ind w:firstLine="121" w:firstLineChars="50"/>
              <w:rPr>
                <w:sz w:val="24"/>
                <w:szCs w:val="24"/>
                <w:lang w:eastAsia="zh-CN"/>
              </w:rPr>
            </w:pPr>
            <w:r>
              <w:rPr>
                <w:spacing w:val="1"/>
                <w:sz w:val="24"/>
                <w:szCs w:val="24"/>
                <w:lang w:eastAsia="zh-CN"/>
              </w:rPr>
              <w:t xml:space="preserve">检测单位：                        </w:t>
            </w:r>
            <w:r>
              <w:rPr>
                <w:rFonts w:hint="eastAsia"/>
                <w:spacing w:val="1"/>
                <w:sz w:val="24"/>
                <w:szCs w:val="24"/>
                <w:lang w:eastAsia="zh-CN"/>
              </w:rPr>
              <w:t xml:space="preserve"> </w:t>
            </w:r>
            <w:r>
              <w:rPr>
                <w:spacing w:val="1"/>
                <w:sz w:val="24"/>
                <w:szCs w:val="24"/>
                <w:lang w:eastAsia="zh-CN"/>
              </w:rPr>
              <w:t>技术负责人</w:t>
            </w:r>
            <w:r>
              <w:rPr>
                <w:rFonts w:hint="eastAsia"/>
                <w:spacing w:val="1"/>
                <w:sz w:val="24"/>
                <w:szCs w:val="24"/>
                <w:lang w:eastAsia="zh-CN"/>
              </w:rPr>
              <w:t>（</w:t>
            </w:r>
            <w:r>
              <w:rPr>
                <w:spacing w:val="1"/>
                <w:sz w:val="24"/>
                <w:szCs w:val="24"/>
                <w:lang w:eastAsia="zh-CN"/>
              </w:rPr>
              <w:t>签章</w:t>
            </w:r>
            <w:r>
              <w:rPr>
                <w:rFonts w:hint="eastAsia"/>
                <w:spacing w:val="1"/>
                <w:sz w:val="24"/>
                <w:szCs w:val="24"/>
                <w:lang w:eastAsia="zh-CN"/>
              </w:rPr>
              <w:t>）：</w:t>
            </w:r>
          </w:p>
          <w:p w14:paraId="7CBA1679">
            <w:pPr>
              <w:pStyle w:val="25"/>
              <w:spacing w:before="120" w:after="120" w:line="219" w:lineRule="auto"/>
              <w:ind w:firstLine="113" w:firstLineChars="50"/>
              <w:rPr>
                <w:sz w:val="24"/>
                <w:szCs w:val="24"/>
                <w:lang w:eastAsia="zh-CN"/>
              </w:rPr>
            </w:pPr>
            <w:r>
              <w:rPr>
                <w:spacing w:val="-7"/>
                <w:sz w:val="24"/>
                <w:szCs w:val="24"/>
                <w:lang w:eastAsia="zh-CN"/>
              </w:rPr>
              <w:t>填</w:t>
            </w:r>
            <w:r>
              <w:rPr>
                <w:spacing w:val="-23"/>
                <w:sz w:val="24"/>
                <w:szCs w:val="24"/>
                <w:lang w:eastAsia="zh-CN"/>
              </w:rPr>
              <w:t xml:space="preserve"> </w:t>
            </w:r>
            <w:r>
              <w:rPr>
                <w:spacing w:val="-7"/>
                <w:sz w:val="24"/>
                <w:szCs w:val="24"/>
                <w:lang w:eastAsia="zh-CN"/>
              </w:rPr>
              <w:t>表 日</w:t>
            </w:r>
            <w:r>
              <w:rPr>
                <w:spacing w:val="-20"/>
                <w:sz w:val="24"/>
                <w:szCs w:val="24"/>
                <w:lang w:eastAsia="zh-CN"/>
              </w:rPr>
              <w:t xml:space="preserve"> </w:t>
            </w:r>
            <w:r>
              <w:rPr>
                <w:spacing w:val="-7"/>
                <w:sz w:val="24"/>
                <w:szCs w:val="24"/>
                <w:lang w:eastAsia="zh-CN"/>
              </w:rPr>
              <w:t>期 ：</w:t>
            </w:r>
            <w:r>
              <w:rPr>
                <w:spacing w:val="-21"/>
                <w:sz w:val="24"/>
                <w:szCs w:val="24"/>
                <w:lang w:eastAsia="zh-CN"/>
              </w:rPr>
              <w:t xml:space="preserve"> </w:t>
            </w:r>
            <w:r>
              <w:rPr>
                <w:rFonts w:hint="eastAsia"/>
                <w:spacing w:val="-21"/>
                <w:sz w:val="24"/>
                <w:szCs w:val="24"/>
                <w:lang w:eastAsia="zh-CN"/>
              </w:rPr>
              <w:t xml:space="preserve">   </w:t>
            </w:r>
            <w:r>
              <w:rPr>
                <w:spacing w:val="-7"/>
                <w:sz w:val="24"/>
                <w:szCs w:val="24"/>
                <w:lang w:eastAsia="zh-CN"/>
              </w:rPr>
              <w:t xml:space="preserve">年 </w:t>
            </w:r>
            <w:r>
              <w:rPr>
                <w:rFonts w:hint="eastAsia"/>
                <w:spacing w:val="-7"/>
                <w:sz w:val="24"/>
                <w:szCs w:val="24"/>
                <w:lang w:eastAsia="zh-CN"/>
              </w:rPr>
              <w:t xml:space="preserve"> </w:t>
            </w:r>
            <w:r>
              <w:rPr>
                <w:spacing w:val="-7"/>
                <w:sz w:val="24"/>
                <w:szCs w:val="24"/>
                <w:lang w:eastAsia="zh-CN"/>
              </w:rPr>
              <w:t xml:space="preserve">月 </w:t>
            </w:r>
            <w:r>
              <w:rPr>
                <w:rFonts w:hint="eastAsia"/>
                <w:spacing w:val="-7"/>
                <w:sz w:val="24"/>
                <w:szCs w:val="24"/>
                <w:lang w:eastAsia="zh-CN"/>
              </w:rPr>
              <w:t xml:space="preserve"> </w:t>
            </w:r>
            <w:r>
              <w:rPr>
                <w:spacing w:val="-7"/>
                <w:sz w:val="24"/>
                <w:szCs w:val="24"/>
                <w:lang w:eastAsia="zh-CN"/>
              </w:rPr>
              <w:t>日</w:t>
            </w:r>
            <w:r>
              <w:rPr>
                <w:spacing w:val="3"/>
                <w:sz w:val="24"/>
                <w:szCs w:val="24"/>
                <w:lang w:eastAsia="zh-CN"/>
              </w:rPr>
              <w:t xml:space="preserve">     </w:t>
            </w:r>
            <w:r>
              <w:rPr>
                <w:rFonts w:hint="eastAsia"/>
                <w:spacing w:val="3"/>
                <w:sz w:val="24"/>
                <w:szCs w:val="24"/>
                <w:lang w:eastAsia="zh-CN"/>
              </w:rPr>
              <w:t xml:space="preserve"> </w:t>
            </w:r>
            <w:r>
              <w:rPr>
                <w:spacing w:val="3"/>
                <w:sz w:val="24"/>
                <w:szCs w:val="24"/>
                <w:lang w:eastAsia="zh-CN"/>
              </w:rPr>
              <w:t xml:space="preserve">     </w:t>
            </w:r>
            <w:r>
              <w:rPr>
                <w:spacing w:val="-7"/>
                <w:sz w:val="24"/>
                <w:szCs w:val="24"/>
                <w:lang w:eastAsia="zh-CN"/>
              </w:rPr>
              <w:t>记</w:t>
            </w:r>
            <w:r>
              <w:rPr>
                <w:spacing w:val="9"/>
                <w:sz w:val="24"/>
                <w:szCs w:val="24"/>
                <w:lang w:eastAsia="zh-CN"/>
              </w:rPr>
              <w:t xml:space="preserve">   </w:t>
            </w:r>
            <w:r>
              <w:rPr>
                <w:spacing w:val="-7"/>
                <w:sz w:val="24"/>
                <w:szCs w:val="24"/>
                <w:lang w:eastAsia="zh-CN"/>
              </w:rPr>
              <w:t>录</w:t>
            </w:r>
            <w:r>
              <w:rPr>
                <w:rFonts w:hint="eastAsia"/>
                <w:spacing w:val="-7"/>
                <w:sz w:val="24"/>
                <w:szCs w:val="24"/>
                <w:lang w:eastAsia="zh-CN"/>
              </w:rPr>
              <w:t>（</w:t>
            </w:r>
            <w:r>
              <w:rPr>
                <w:spacing w:val="-7"/>
                <w:sz w:val="24"/>
                <w:szCs w:val="24"/>
                <w:lang w:eastAsia="zh-CN"/>
              </w:rPr>
              <w:t>签章</w:t>
            </w:r>
            <w:r>
              <w:rPr>
                <w:rFonts w:hint="eastAsia"/>
                <w:spacing w:val="-7"/>
                <w:sz w:val="24"/>
                <w:szCs w:val="24"/>
                <w:lang w:eastAsia="zh-CN"/>
              </w:rPr>
              <w:t>）</w:t>
            </w:r>
            <w:r>
              <w:rPr>
                <w:spacing w:val="-7"/>
                <w:sz w:val="24"/>
                <w:szCs w:val="24"/>
                <w:lang w:eastAsia="zh-CN"/>
              </w:rPr>
              <w:t>:</w:t>
            </w:r>
          </w:p>
        </w:tc>
      </w:tr>
    </w:tbl>
    <w:p w14:paraId="4CCDAD67">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0982252F">
      <w:pPr>
        <w:rPr>
          <w:rFonts w:ascii="Times New Roman" w:hAnsi="Times New Roman" w:eastAsia="宋体" w:cs="Times New Roman"/>
          <w:sz w:val="24"/>
          <w:szCs w:val="21"/>
        </w:rPr>
        <w:sectPr>
          <w:footerReference r:id="rId5" w:type="default"/>
          <w:pgSz w:w="11906" w:h="16838"/>
          <w:pgMar w:top="1440" w:right="1800" w:bottom="1440" w:left="1800" w:header="851" w:footer="992" w:gutter="0"/>
          <w:pgNumType w:start="1"/>
          <w:cols w:space="425" w:num="1"/>
          <w:docGrid w:type="lines" w:linePitch="312" w:charSpace="0"/>
        </w:sectPr>
      </w:pPr>
    </w:p>
    <w:p w14:paraId="60D92A9A">
      <w:pPr>
        <w:pStyle w:val="4"/>
        <w:rPr>
          <w:b/>
          <w:bCs/>
          <w:spacing w:val="-1"/>
          <w:sz w:val="18"/>
          <w:szCs w:val="18"/>
          <w:lang w:eastAsia="zh-CN"/>
        </w:rPr>
      </w:pPr>
    </w:p>
    <w:p w14:paraId="06444E6F">
      <w:pPr>
        <w:pStyle w:val="4"/>
        <w:spacing w:before="319" w:beforeLines="100" w:after="319" w:afterLines="100"/>
        <w:jc w:val="center"/>
        <w:outlineLvl w:val="0"/>
        <w:rPr>
          <w:b/>
          <w:bCs/>
          <w:spacing w:val="-2"/>
          <w:sz w:val="28"/>
          <w:szCs w:val="28"/>
          <w:lang w:eastAsia="zh-CN"/>
        </w:rPr>
      </w:pPr>
      <w:bookmarkStart w:id="246" w:name="_Toc23501"/>
      <w:r>
        <w:rPr>
          <w:b/>
          <w:bCs/>
          <w:spacing w:val="-2"/>
          <w:sz w:val="30"/>
          <w:szCs w:val="30"/>
          <w:lang w:eastAsia="zh-CN"/>
        </w:rPr>
        <w:t>附录B  高密度聚乙烯土工膜试样焊接记录</w:t>
      </w:r>
      <w:bookmarkEnd w:id="246"/>
    </w:p>
    <w:p w14:paraId="0581AECD">
      <w:pPr>
        <w:pStyle w:val="4"/>
        <w:spacing w:line="360" w:lineRule="auto"/>
        <w:rPr>
          <w:sz w:val="28"/>
          <w:szCs w:val="28"/>
          <w:lang w:eastAsia="zh-CN"/>
        </w:rPr>
      </w:pPr>
      <w:r>
        <w:rPr>
          <w:rFonts w:ascii="Times New Roman" w:hAnsi="Times New Roman" w:eastAsia="Times New Roman" w:cs="Times New Roman"/>
          <w:b/>
          <w:bCs/>
          <w:spacing w:val="-5"/>
          <w:sz w:val="28"/>
          <w:szCs w:val="28"/>
          <w:lang w:eastAsia="zh-CN"/>
        </w:rPr>
        <w:t xml:space="preserve">B.0.1 </w:t>
      </w:r>
      <w:r>
        <w:rPr>
          <w:spacing w:val="-5"/>
          <w:sz w:val="28"/>
          <w:szCs w:val="28"/>
          <w:lang w:eastAsia="zh-CN"/>
        </w:rPr>
        <w:t>高密度聚乙烯土工膜试样焊接记录可按表</w:t>
      </w:r>
      <w:r>
        <w:rPr>
          <w:rFonts w:ascii="Times New Roman" w:hAnsi="Times New Roman" w:eastAsia="Times New Roman" w:cs="Times New Roman"/>
          <w:spacing w:val="-5"/>
          <w:sz w:val="28"/>
          <w:szCs w:val="28"/>
          <w:lang w:eastAsia="zh-CN"/>
        </w:rPr>
        <w:t>B.0.1</w:t>
      </w:r>
      <w:r>
        <w:rPr>
          <w:spacing w:val="-5"/>
          <w:sz w:val="28"/>
          <w:szCs w:val="28"/>
          <w:lang w:eastAsia="zh-CN"/>
        </w:rPr>
        <w:t>填写。</w:t>
      </w:r>
    </w:p>
    <w:p w14:paraId="5B1BA3F8">
      <w:pPr>
        <w:pStyle w:val="4"/>
        <w:spacing w:before="60"/>
        <w:jc w:val="center"/>
        <w:rPr>
          <w:b/>
          <w:bCs/>
          <w:spacing w:val="-3"/>
          <w:sz w:val="24"/>
          <w:szCs w:val="24"/>
          <w:lang w:eastAsia="zh-CN"/>
        </w:rPr>
      </w:pPr>
      <w:r>
        <w:rPr>
          <w:b/>
          <w:bCs/>
          <w:spacing w:val="-3"/>
          <w:sz w:val="24"/>
          <w:szCs w:val="24"/>
          <w:lang w:eastAsia="zh-CN"/>
        </w:rPr>
        <w:drawing>
          <wp:anchor distT="0" distB="0" distL="0" distR="0" simplePos="0" relativeHeight="251660288" behindDoc="0" locked="0" layoutInCell="1" allowOverlap="1">
            <wp:simplePos x="0" y="0"/>
            <wp:positionH relativeFrom="column">
              <wp:posOffset>0</wp:posOffset>
            </wp:positionH>
            <wp:positionV relativeFrom="paragraph">
              <wp:posOffset>2323465</wp:posOffset>
            </wp:positionV>
            <wp:extent cx="120650" cy="133350"/>
            <wp:effectExtent l="0" t="0" r="1270" b="381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
                    <a:stretch>
                      <a:fillRect/>
                    </a:stretch>
                  </pic:blipFill>
                  <pic:spPr>
                    <a:xfrm>
                      <a:off x="0" y="0"/>
                      <a:ext cx="120637" cy="133358"/>
                    </a:xfrm>
                    <a:prstGeom prst="rect">
                      <a:avLst/>
                    </a:prstGeom>
                  </pic:spPr>
                </pic:pic>
              </a:graphicData>
            </a:graphic>
          </wp:anchor>
        </w:drawing>
      </w:r>
      <w:r>
        <w:rPr>
          <w:b/>
          <w:bCs/>
          <w:spacing w:val="-3"/>
          <w:sz w:val="24"/>
          <w:szCs w:val="24"/>
          <w:lang w:eastAsia="zh-CN"/>
        </w:rPr>
        <w:t xml:space="preserve">表B.0.1 </w:t>
      </w:r>
      <w:r>
        <w:rPr>
          <w:rFonts w:hint="eastAsia"/>
          <w:b/>
          <w:bCs/>
          <w:spacing w:val="-3"/>
          <w:sz w:val="24"/>
          <w:szCs w:val="24"/>
          <w:lang w:eastAsia="zh-CN"/>
        </w:rPr>
        <w:t xml:space="preserve"> </w:t>
      </w:r>
      <w:r>
        <w:rPr>
          <w:b/>
          <w:bCs/>
          <w:spacing w:val="-3"/>
          <w:sz w:val="24"/>
          <w:szCs w:val="24"/>
          <w:lang w:eastAsia="zh-CN"/>
        </w:rPr>
        <w:t>高密度聚乙烯土工膜试样焊接记录表</w:t>
      </w:r>
    </w:p>
    <w:p w14:paraId="4E6E5575">
      <w:pPr>
        <w:spacing w:line="54" w:lineRule="exact"/>
      </w:pPr>
    </w:p>
    <w:tbl>
      <w:tblPr>
        <w:tblStyle w:val="2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5"/>
        <w:gridCol w:w="1664"/>
        <w:gridCol w:w="733"/>
        <w:gridCol w:w="1183"/>
        <w:gridCol w:w="1183"/>
        <w:gridCol w:w="1197"/>
        <w:gridCol w:w="1183"/>
        <w:gridCol w:w="1219"/>
        <w:gridCol w:w="702"/>
        <w:gridCol w:w="702"/>
        <w:gridCol w:w="1186"/>
        <w:gridCol w:w="733"/>
        <w:gridCol w:w="1125"/>
      </w:tblGrid>
      <w:tr w14:paraId="52E30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410" w:type="pct"/>
            <w:gridSpan w:val="8"/>
            <w:tcBorders>
              <w:top w:val="single" w:color="000000" w:sz="12" w:space="0"/>
              <w:left w:val="single" w:color="000000" w:sz="12" w:space="0"/>
              <w:bottom w:val="single" w:color="000000" w:sz="12" w:space="0"/>
              <w:right w:val="single" w:color="000000" w:sz="12" w:space="0"/>
            </w:tcBorders>
          </w:tcPr>
          <w:p w14:paraId="79D146B6">
            <w:pPr>
              <w:pStyle w:val="25"/>
              <w:spacing w:before="120" w:after="120" w:line="231" w:lineRule="auto"/>
              <w:ind w:left="113"/>
              <w:rPr>
                <w:spacing w:val="1"/>
                <w:sz w:val="24"/>
                <w:szCs w:val="24"/>
                <w:lang w:eastAsia="zh-CN"/>
              </w:rPr>
            </w:pPr>
            <w:r>
              <w:rPr>
                <w:rFonts w:hint="eastAsia"/>
                <w:spacing w:val="1"/>
                <w:sz w:val="24"/>
                <w:szCs w:val="24"/>
                <w:lang w:eastAsia="zh-CN"/>
              </w:rPr>
              <w:t>工程名称：</w:t>
            </w:r>
          </w:p>
        </w:tc>
        <w:tc>
          <w:tcPr>
            <w:tcW w:w="1589" w:type="pct"/>
            <w:gridSpan w:val="5"/>
            <w:tcBorders>
              <w:top w:val="single" w:color="000000" w:sz="12" w:space="0"/>
              <w:left w:val="single" w:color="000000" w:sz="12" w:space="0"/>
              <w:bottom w:val="single" w:color="000000" w:sz="12" w:space="0"/>
              <w:right w:val="single" w:color="000000" w:sz="12" w:space="0"/>
            </w:tcBorders>
          </w:tcPr>
          <w:p w14:paraId="6C92B2D2">
            <w:pPr>
              <w:pStyle w:val="25"/>
              <w:spacing w:before="120" w:after="120" w:line="231" w:lineRule="auto"/>
              <w:ind w:left="113" w:firstLine="2904" w:firstLineChars="1200"/>
              <w:rPr>
                <w:spacing w:val="1"/>
                <w:sz w:val="24"/>
                <w:szCs w:val="24"/>
                <w:lang w:eastAsia="zh-CN"/>
              </w:rPr>
            </w:pPr>
            <w:r>
              <w:rPr>
                <w:rFonts w:hint="eastAsia"/>
                <w:spacing w:val="1"/>
                <w:sz w:val="24"/>
                <w:szCs w:val="24"/>
                <w:lang w:eastAsia="zh-CN"/>
              </w:rPr>
              <w:t>第 页 共 页</w:t>
            </w:r>
          </w:p>
        </w:tc>
      </w:tr>
      <w:tr w14:paraId="1AE86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3410" w:type="pct"/>
            <w:gridSpan w:val="8"/>
            <w:tcBorders>
              <w:top w:val="single" w:color="000000" w:sz="12" w:space="0"/>
              <w:left w:val="single" w:color="000000" w:sz="12" w:space="0"/>
              <w:bottom w:val="single" w:color="000000" w:sz="12" w:space="0"/>
              <w:right w:val="single" w:color="000000" w:sz="12" w:space="0"/>
            </w:tcBorders>
          </w:tcPr>
          <w:p w14:paraId="69D54563">
            <w:pPr>
              <w:pStyle w:val="25"/>
              <w:spacing w:before="120" w:after="120" w:line="231" w:lineRule="auto"/>
              <w:ind w:left="113"/>
              <w:rPr>
                <w:spacing w:val="1"/>
                <w:sz w:val="24"/>
                <w:szCs w:val="24"/>
                <w:lang w:eastAsia="zh-CN"/>
              </w:rPr>
            </w:pPr>
            <w:r>
              <w:rPr>
                <w:rFonts w:hint="eastAsia"/>
                <w:spacing w:val="1"/>
                <w:sz w:val="24"/>
                <w:szCs w:val="24"/>
                <w:lang w:eastAsia="zh-CN"/>
              </w:rPr>
              <w:t>试样焊接单位：                        检测单位：</w:t>
            </w:r>
          </w:p>
        </w:tc>
        <w:tc>
          <w:tcPr>
            <w:tcW w:w="1589" w:type="pct"/>
            <w:gridSpan w:val="5"/>
            <w:tcBorders>
              <w:top w:val="single" w:color="000000" w:sz="12" w:space="0"/>
              <w:left w:val="single" w:color="000000" w:sz="12" w:space="0"/>
              <w:bottom w:val="single" w:color="000000" w:sz="12" w:space="0"/>
              <w:right w:val="single" w:color="000000" w:sz="12" w:space="0"/>
            </w:tcBorders>
          </w:tcPr>
          <w:p w14:paraId="35D3D6E9">
            <w:pPr>
              <w:pStyle w:val="25"/>
              <w:spacing w:before="120" w:after="120" w:line="231" w:lineRule="auto"/>
              <w:ind w:left="113"/>
              <w:jc w:val="center"/>
              <w:rPr>
                <w:spacing w:val="1"/>
                <w:sz w:val="24"/>
                <w:szCs w:val="24"/>
                <w:lang w:eastAsia="zh-CN"/>
              </w:rPr>
            </w:pPr>
            <w:r>
              <w:rPr>
                <w:rFonts w:hint="eastAsia"/>
                <w:spacing w:val="-2"/>
                <w:sz w:val="24"/>
                <w:szCs w:val="24"/>
                <w:lang w:eastAsia="zh-CN"/>
              </w:rPr>
              <w:t>检测结果</w:t>
            </w:r>
          </w:p>
        </w:tc>
      </w:tr>
      <w:tr w14:paraId="3CFCC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0" w:type="pct"/>
            <w:vMerge w:val="restart"/>
            <w:tcBorders>
              <w:top w:val="single" w:color="000000" w:sz="12" w:space="0"/>
              <w:left w:val="single" w:color="000000" w:sz="12" w:space="0"/>
              <w:bottom w:val="single" w:color="000000" w:sz="12" w:space="0"/>
              <w:right w:val="single" w:color="000000" w:sz="12" w:space="0"/>
            </w:tcBorders>
            <w:vAlign w:val="center"/>
          </w:tcPr>
          <w:p w14:paraId="61450A5C">
            <w:pPr>
              <w:pStyle w:val="25"/>
              <w:spacing w:before="120" w:after="120"/>
              <w:ind w:left="214" w:right="63" w:hanging="169"/>
              <w:jc w:val="center"/>
              <w:rPr>
                <w:spacing w:val="-2"/>
                <w:sz w:val="24"/>
                <w:szCs w:val="24"/>
              </w:rPr>
            </w:pPr>
            <w:r>
              <w:rPr>
                <w:spacing w:val="-2"/>
                <w:sz w:val="24"/>
                <w:szCs w:val="24"/>
              </w:rPr>
              <w:t>试件编号</w:t>
            </w:r>
          </w:p>
        </w:tc>
        <w:tc>
          <w:tcPr>
            <w:tcW w:w="595" w:type="pct"/>
            <w:vMerge w:val="restart"/>
            <w:tcBorders>
              <w:top w:val="single" w:color="000000" w:sz="12" w:space="0"/>
              <w:left w:val="single" w:color="000000" w:sz="12" w:space="0"/>
              <w:bottom w:val="single" w:color="000000" w:sz="12" w:space="0"/>
              <w:right w:val="single" w:color="000000" w:sz="12" w:space="0"/>
            </w:tcBorders>
            <w:vAlign w:val="center"/>
          </w:tcPr>
          <w:p w14:paraId="30AB5B71">
            <w:pPr>
              <w:pStyle w:val="25"/>
              <w:spacing w:before="120" w:after="120"/>
              <w:ind w:left="214" w:right="63" w:hanging="169"/>
              <w:jc w:val="center"/>
              <w:rPr>
                <w:spacing w:val="-2"/>
                <w:sz w:val="24"/>
                <w:szCs w:val="24"/>
              </w:rPr>
            </w:pPr>
            <w:r>
              <w:rPr>
                <w:spacing w:val="-2"/>
                <w:sz w:val="24"/>
                <w:szCs w:val="24"/>
              </w:rPr>
              <w:t>日期</w:t>
            </w:r>
          </w:p>
        </w:tc>
        <w:tc>
          <w:tcPr>
            <w:tcW w:w="262" w:type="pct"/>
            <w:vMerge w:val="restart"/>
            <w:tcBorders>
              <w:top w:val="single" w:color="000000" w:sz="12" w:space="0"/>
              <w:left w:val="single" w:color="000000" w:sz="12" w:space="0"/>
              <w:bottom w:val="single" w:color="000000" w:sz="12" w:space="0"/>
              <w:right w:val="single" w:color="000000" w:sz="12" w:space="0"/>
            </w:tcBorders>
            <w:vAlign w:val="center"/>
          </w:tcPr>
          <w:p w14:paraId="38DFC6BB">
            <w:pPr>
              <w:pStyle w:val="25"/>
              <w:spacing w:before="120" w:after="120"/>
              <w:ind w:left="214" w:right="63" w:hanging="169"/>
              <w:jc w:val="center"/>
              <w:rPr>
                <w:spacing w:val="-2"/>
                <w:sz w:val="24"/>
                <w:szCs w:val="24"/>
              </w:rPr>
            </w:pPr>
            <w:r>
              <w:rPr>
                <w:spacing w:val="-2"/>
                <w:sz w:val="24"/>
                <w:szCs w:val="24"/>
              </w:rPr>
              <w:t>时间</w:t>
            </w:r>
          </w:p>
        </w:tc>
        <w:tc>
          <w:tcPr>
            <w:tcW w:w="423" w:type="pct"/>
            <w:vMerge w:val="restart"/>
            <w:tcBorders>
              <w:top w:val="single" w:color="000000" w:sz="12" w:space="0"/>
              <w:left w:val="single" w:color="000000" w:sz="12" w:space="0"/>
              <w:bottom w:val="single" w:color="000000" w:sz="12" w:space="0"/>
              <w:right w:val="single" w:color="000000" w:sz="12" w:space="0"/>
            </w:tcBorders>
            <w:vAlign w:val="center"/>
          </w:tcPr>
          <w:p w14:paraId="7BD7D51D">
            <w:pPr>
              <w:pStyle w:val="25"/>
              <w:spacing w:before="120" w:after="120"/>
              <w:ind w:left="214" w:right="63" w:hanging="169"/>
              <w:jc w:val="center"/>
              <w:rPr>
                <w:spacing w:val="-2"/>
                <w:sz w:val="24"/>
                <w:szCs w:val="24"/>
              </w:rPr>
            </w:pPr>
            <w:r>
              <w:rPr>
                <w:spacing w:val="-2"/>
                <w:sz w:val="24"/>
                <w:szCs w:val="24"/>
              </w:rPr>
              <w:t>设备编号</w:t>
            </w:r>
          </w:p>
        </w:tc>
        <w:tc>
          <w:tcPr>
            <w:tcW w:w="423" w:type="pct"/>
            <w:vMerge w:val="restart"/>
            <w:tcBorders>
              <w:top w:val="single" w:color="000000" w:sz="12" w:space="0"/>
              <w:left w:val="single" w:color="000000" w:sz="12" w:space="0"/>
              <w:bottom w:val="single" w:color="000000" w:sz="12" w:space="0"/>
              <w:right w:val="single" w:color="000000" w:sz="12" w:space="0"/>
            </w:tcBorders>
            <w:vAlign w:val="center"/>
          </w:tcPr>
          <w:p w14:paraId="2217A9EE">
            <w:pPr>
              <w:pStyle w:val="25"/>
              <w:spacing w:before="120" w:after="120"/>
              <w:ind w:left="214" w:right="63" w:hanging="169"/>
              <w:jc w:val="center"/>
              <w:rPr>
                <w:spacing w:val="-2"/>
                <w:sz w:val="24"/>
                <w:szCs w:val="24"/>
              </w:rPr>
            </w:pPr>
            <w:r>
              <w:rPr>
                <w:spacing w:val="-2"/>
                <w:sz w:val="24"/>
                <w:szCs w:val="24"/>
              </w:rPr>
              <w:t>技工编号</w:t>
            </w:r>
          </w:p>
        </w:tc>
        <w:tc>
          <w:tcPr>
            <w:tcW w:w="428" w:type="pct"/>
            <w:vMerge w:val="restart"/>
            <w:tcBorders>
              <w:top w:val="single" w:color="000000" w:sz="12" w:space="0"/>
              <w:left w:val="single" w:color="000000" w:sz="12" w:space="0"/>
              <w:bottom w:val="single" w:color="000000" w:sz="12" w:space="0"/>
              <w:right w:val="single" w:color="000000" w:sz="12" w:space="0"/>
            </w:tcBorders>
            <w:vAlign w:val="center"/>
          </w:tcPr>
          <w:p w14:paraId="00DED4A0">
            <w:pPr>
              <w:pStyle w:val="25"/>
              <w:spacing w:before="120" w:after="120"/>
              <w:ind w:left="214" w:right="63" w:hanging="169"/>
              <w:jc w:val="center"/>
              <w:rPr>
                <w:spacing w:val="-2"/>
                <w:sz w:val="24"/>
                <w:szCs w:val="24"/>
              </w:rPr>
            </w:pPr>
            <w:r>
              <w:rPr>
                <w:spacing w:val="-2"/>
                <w:sz w:val="24"/>
                <w:szCs w:val="24"/>
              </w:rPr>
              <w:t>环境温度 (℃)</w:t>
            </w:r>
          </w:p>
        </w:tc>
        <w:tc>
          <w:tcPr>
            <w:tcW w:w="423" w:type="pct"/>
            <w:vMerge w:val="restart"/>
            <w:tcBorders>
              <w:top w:val="single" w:color="000000" w:sz="12" w:space="0"/>
              <w:left w:val="single" w:color="000000" w:sz="12" w:space="0"/>
              <w:bottom w:val="single" w:color="000000" w:sz="12" w:space="0"/>
              <w:right w:val="single" w:color="000000" w:sz="12" w:space="0"/>
            </w:tcBorders>
            <w:vAlign w:val="center"/>
          </w:tcPr>
          <w:p w14:paraId="7F8FA456">
            <w:pPr>
              <w:pStyle w:val="25"/>
              <w:spacing w:before="120" w:after="120"/>
              <w:ind w:left="214" w:right="63" w:hanging="169"/>
              <w:jc w:val="center"/>
              <w:rPr>
                <w:spacing w:val="-2"/>
                <w:sz w:val="24"/>
                <w:szCs w:val="24"/>
              </w:rPr>
            </w:pPr>
            <w:r>
              <w:rPr>
                <w:spacing w:val="-2"/>
                <w:sz w:val="24"/>
                <w:szCs w:val="24"/>
              </w:rPr>
              <w:t>焊接温度 (℃)</w:t>
            </w:r>
          </w:p>
        </w:tc>
        <w:tc>
          <w:tcPr>
            <w:tcW w:w="435" w:type="pct"/>
            <w:vMerge w:val="restart"/>
            <w:tcBorders>
              <w:top w:val="single" w:color="000000" w:sz="12" w:space="0"/>
              <w:left w:val="single" w:color="000000" w:sz="12" w:space="0"/>
              <w:bottom w:val="single" w:color="000000" w:sz="12" w:space="0"/>
              <w:right w:val="single" w:color="000000" w:sz="12" w:space="0"/>
            </w:tcBorders>
            <w:vAlign w:val="center"/>
          </w:tcPr>
          <w:p w14:paraId="44A06982">
            <w:pPr>
              <w:pStyle w:val="25"/>
              <w:spacing w:before="120" w:after="120"/>
              <w:ind w:left="214" w:right="63" w:hanging="169"/>
              <w:jc w:val="center"/>
              <w:rPr>
                <w:spacing w:val="-2"/>
                <w:sz w:val="24"/>
                <w:szCs w:val="24"/>
              </w:rPr>
            </w:pPr>
            <w:r>
              <w:rPr>
                <w:spacing w:val="-2"/>
                <w:sz w:val="24"/>
                <w:szCs w:val="24"/>
              </w:rPr>
              <w:t>预热温度 (℃)</w:t>
            </w:r>
          </w:p>
        </w:tc>
        <w:tc>
          <w:tcPr>
            <w:tcW w:w="251" w:type="pct"/>
            <w:vMerge w:val="restart"/>
            <w:tcBorders>
              <w:top w:val="single" w:color="000000" w:sz="12" w:space="0"/>
              <w:left w:val="single" w:color="000000" w:sz="12" w:space="0"/>
              <w:bottom w:val="single" w:color="000000" w:sz="12" w:space="0"/>
              <w:right w:val="single" w:color="000000" w:sz="12" w:space="0"/>
            </w:tcBorders>
            <w:vAlign w:val="center"/>
          </w:tcPr>
          <w:p w14:paraId="58FC85C1">
            <w:pPr>
              <w:pStyle w:val="25"/>
              <w:spacing w:before="120" w:after="120"/>
              <w:ind w:left="214" w:right="63" w:hanging="169"/>
              <w:jc w:val="center"/>
              <w:rPr>
                <w:spacing w:val="-2"/>
                <w:sz w:val="24"/>
                <w:szCs w:val="24"/>
              </w:rPr>
            </w:pPr>
            <w:r>
              <w:rPr>
                <w:spacing w:val="-2"/>
                <w:sz w:val="24"/>
                <w:szCs w:val="24"/>
              </w:rPr>
              <w:t>时间</w:t>
            </w:r>
          </w:p>
        </w:tc>
        <w:tc>
          <w:tcPr>
            <w:tcW w:w="675" w:type="pct"/>
            <w:gridSpan w:val="2"/>
            <w:tcBorders>
              <w:top w:val="single" w:color="000000" w:sz="12" w:space="0"/>
              <w:left w:val="single" w:color="000000" w:sz="12" w:space="0"/>
              <w:bottom w:val="single" w:color="000000" w:sz="12" w:space="0"/>
              <w:right w:val="single" w:color="000000" w:sz="12" w:space="0"/>
            </w:tcBorders>
            <w:vAlign w:val="center"/>
          </w:tcPr>
          <w:p w14:paraId="6AA41BAC">
            <w:pPr>
              <w:pStyle w:val="25"/>
              <w:spacing w:before="120" w:after="120"/>
              <w:ind w:left="214" w:right="63" w:hanging="169"/>
              <w:jc w:val="center"/>
              <w:rPr>
                <w:spacing w:val="-2"/>
                <w:sz w:val="24"/>
                <w:szCs w:val="24"/>
              </w:rPr>
            </w:pPr>
            <w:r>
              <w:rPr>
                <w:spacing w:val="-2"/>
                <w:sz w:val="24"/>
                <w:szCs w:val="24"/>
              </w:rPr>
              <w:t>撕裂</w:t>
            </w:r>
            <w:r>
              <w:rPr>
                <w:rFonts w:hint="eastAsia"/>
                <w:spacing w:val="-2"/>
                <w:sz w:val="24"/>
                <w:szCs w:val="24"/>
              </w:rPr>
              <w:t>剥离</w:t>
            </w:r>
          </w:p>
        </w:tc>
        <w:tc>
          <w:tcPr>
            <w:tcW w:w="662" w:type="pct"/>
            <w:gridSpan w:val="2"/>
            <w:tcBorders>
              <w:top w:val="single" w:color="000000" w:sz="12" w:space="0"/>
              <w:left w:val="single" w:color="000000" w:sz="12" w:space="0"/>
              <w:bottom w:val="single" w:color="000000" w:sz="12" w:space="0"/>
              <w:right w:val="single" w:color="000000" w:sz="12" w:space="0"/>
            </w:tcBorders>
            <w:vAlign w:val="center"/>
          </w:tcPr>
          <w:p w14:paraId="34C6782A">
            <w:pPr>
              <w:pStyle w:val="25"/>
              <w:spacing w:before="120" w:after="120"/>
              <w:ind w:left="214" w:right="63" w:hanging="169"/>
              <w:jc w:val="center"/>
              <w:rPr>
                <w:spacing w:val="-2"/>
                <w:sz w:val="24"/>
                <w:szCs w:val="24"/>
              </w:rPr>
            </w:pPr>
            <w:r>
              <w:rPr>
                <w:spacing w:val="-2"/>
                <w:sz w:val="24"/>
                <w:szCs w:val="24"/>
              </w:rPr>
              <w:t>剪切</w:t>
            </w:r>
          </w:p>
        </w:tc>
      </w:tr>
      <w:tr w14:paraId="21B78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0" w:type="pct"/>
            <w:vMerge w:val="continue"/>
            <w:tcBorders>
              <w:top w:val="single" w:color="000000" w:sz="12" w:space="0"/>
              <w:left w:val="single" w:color="000000" w:sz="12" w:space="0"/>
              <w:bottom w:val="single" w:color="000000" w:sz="12" w:space="0"/>
              <w:right w:val="single" w:color="000000" w:sz="12" w:space="0"/>
            </w:tcBorders>
            <w:vAlign w:val="center"/>
          </w:tcPr>
          <w:p w14:paraId="48340B24">
            <w:pPr>
              <w:pStyle w:val="25"/>
              <w:spacing w:before="120" w:after="120"/>
              <w:ind w:left="214" w:right="63" w:hanging="169"/>
              <w:jc w:val="center"/>
              <w:rPr>
                <w:spacing w:val="-2"/>
                <w:sz w:val="24"/>
                <w:szCs w:val="24"/>
              </w:rPr>
            </w:pPr>
          </w:p>
        </w:tc>
        <w:tc>
          <w:tcPr>
            <w:tcW w:w="595" w:type="pct"/>
            <w:vMerge w:val="continue"/>
            <w:tcBorders>
              <w:top w:val="single" w:color="000000" w:sz="12" w:space="0"/>
              <w:left w:val="single" w:color="000000" w:sz="12" w:space="0"/>
              <w:bottom w:val="single" w:color="000000" w:sz="12" w:space="0"/>
              <w:right w:val="single" w:color="000000" w:sz="12" w:space="0"/>
            </w:tcBorders>
            <w:vAlign w:val="center"/>
          </w:tcPr>
          <w:p w14:paraId="0F9C3827">
            <w:pPr>
              <w:pStyle w:val="25"/>
              <w:spacing w:before="120" w:after="120"/>
              <w:ind w:left="214" w:right="63" w:hanging="169"/>
              <w:jc w:val="center"/>
              <w:rPr>
                <w:spacing w:val="-2"/>
                <w:sz w:val="24"/>
                <w:szCs w:val="24"/>
              </w:rPr>
            </w:pPr>
          </w:p>
        </w:tc>
        <w:tc>
          <w:tcPr>
            <w:tcW w:w="262" w:type="pct"/>
            <w:vMerge w:val="continue"/>
            <w:tcBorders>
              <w:top w:val="single" w:color="000000" w:sz="12" w:space="0"/>
              <w:left w:val="single" w:color="000000" w:sz="12" w:space="0"/>
              <w:bottom w:val="single" w:color="000000" w:sz="12" w:space="0"/>
              <w:right w:val="single" w:color="000000" w:sz="12" w:space="0"/>
            </w:tcBorders>
            <w:vAlign w:val="center"/>
          </w:tcPr>
          <w:p w14:paraId="7722DBFF">
            <w:pPr>
              <w:pStyle w:val="25"/>
              <w:spacing w:before="120" w:after="120"/>
              <w:ind w:left="214" w:right="63" w:hanging="169"/>
              <w:jc w:val="center"/>
              <w:rPr>
                <w:spacing w:val="-2"/>
                <w:sz w:val="24"/>
                <w:szCs w:val="24"/>
              </w:rPr>
            </w:pPr>
          </w:p>
        </w:tc>
        <w:tc>
          <w:tcPr>
            <w:tcW w:w="423" w:type="pct"/>
            <w:vMerge w:val="continue"/>
            <w:tcBorders>
              <w:top w:val="single" w:color="000000" w:sz="12" w:space="0"/>
              <w:left w:val="single" w:color="000000" w:sz="12" w:space="0"/>
              <w:bottom w:val="single" w:color="000000" w:sz="12" w:space="0"/>
              <w:right w:val="single" w:color="000000" w:sz="12" w:space="0"/>
            </w:tcBorders>
            <w:vAlign w:val="center"/>
          </w:tcPr>
          <w:p w14:paraId="0F5ECFCF">
            <w:pPr>
              <w:pStyle w:val="25"/>
              <w:spacing w:before="120" w:after="120"/>
              <w:ind w:left="214" w:right="63" w:hanging="169"/>
              <w:jc w:val="center"/>
              <w:rPr>
                <w:spacing w:val="-2"/>
                <w:sz w:val="24"/>
                <w:szCs w:val="24"/>
              </w:rPr>
            </w:pPr>
          </w:p>
        </w:tc>
        <w:tc>
          <w:tcPr>
            <w:tcW w:w="423" w:type="pct"/>
            <w:vMerge w:val="continue"/>
            <w:tcBorders>
              <w:top w:val="single" w:color="000000" w:sz="12" w:space="0"/>
              <w:left w:val="single" w:color="000000" w:sz="12" w:space="0"/>
              <w:bottom w:val="single" w:color="000000" w:sz="12" w:space="0"/>
              <w:right w:val="single" w:color="000000" w:sz="12" w:space="0"/>
            </w:tcBorders>
            <w:vAlign w:val="center"/>
          </w:tcPr>
          <w:p w14:paraId="4356E994">
            <w:pPr>
              <w:pStyle w:val="25"/>
              <w:spacing w:before="120" w:after="120"/>
              <w:ind w:left="214" w:right="63" w:hanging="169"/>
              <w:jc w:val="center"/>
              <w:rPr>
                <w:spacing w:val="-2"/>
                <w:sz w:val="24"/>
                <w:szCs w:val="24"/>
              </w:rPr>
            </w:pPr>
          </w:p>
        </w:tc>
        <w:tc>
          <w:tcPr>
            <w:tcW w:w="428" w:type="pct"/>
            <w:vMerge w:val="continue"/>
            <w:tcBorders>
              <w:top w:val="single" w:color="000000" w:sz="12" w:space="0"/>
              <w:left w:val="single" w:color="000000" w:sz="12" w:space="0"/>
              <w:bottom w:val="single" w:color="000000" w:sz="12" w:space="0"/>
              <w:right w:val="single" w:color="000000" w:sz="12" w:space="0"/>
            </w:tcBorders>
            <w:vAlign w:val="center"/>
          </w:tcPr>
          <w:p w14:paraId="784BA123">
            <w:pPr>
              <w:pStyle w:val="25"/>
              <w:spacing w:before="120" w:after="120"/>
              <w:ind w:left="214" w:right="63" w:hanging="169"/>
              <w:jc w:val="center"/>
              <w:rPr>
                <w:spacing w:val="-2"/>
                <w:sz w:val="24"/>
                <w:szCs w:val="24"/>
              </w:rPr>
            </w:pPr>
          </w:p>
        </w:tc>
        <w:tc>
          <w:tcPr>
            <w:tcW w:w="423" w:type="pct"/>
            <w:vMerge w:val="continue"/>
            <w:tcBorders>
              <w:top w:val="single" w:color="000000" w:sz="12" w:space="0"/>
              <w:left w:val="single" w:color="000000" w:sz="12" w:space="0"/>
              <w:bottom w:val="single" w:color="000000" w:sz="12" w:space="0"/>
              <w:right w:val="single" w:color="000000" w:sz="12" w:space="0"/>
            </w:tcBorders>
            <w:vAlign w:val="center"/>
          </w:tcPr>
          <w:p w14:paraId="0871BBC5">
            <w:pPr>
              <w:pStyle w:val="25"/>
              <w:spacing w:before="120" w:after="120"/>
              <w:ind w:left="214" w:right="63" w:hanging="169"/>
              <w:jc w:val="center"/>
              <w:rPr>
                <w:spacing w:val="-2"/>
                <w:sz w:val="24"/>
                <w:szCs w:val="24"/>
              </w:rPr>
            </w:pPr>
          </w:p>
        </w:tc>
        <w:tc>
          <w:tcPr>
            <w:tcW w:w="435" w:type="pct"/>
            <w:vMerge w:val="continue"/>
            <w:tcBorders>
              <w:top w:val="single" w:color="000000" w:sz="12" w:space="0"/>
              <w:left w:val="single" w:color="000000" w:sz="12" w:space="0"/>
              <w:bottom w:val="single" w:color="000000" w:sz="12" w:space="0"/>
              <w:right w:val="single" w:color="000000" w:sz="12" w:space="0"/>
            </w:tcBorders>
            <w:vAlign w:val="center"/>
          </w:tcPr>
          <w:p w14:paraId="0E3D3861">
            <w:pPr>
              <w:pStyle w:val="25"/>
              <w:spacing w:before="120" w:after="120"/>
              <w:ind w:left="214" w:right="63" w:hanging="169"/>
              <w:jc w:val="center"/>
              <w:rPr>
                <w:spacing w:val="-2"/>
                <w:sz w:val="24"/>
                <w:szCs w:val="24"/>
              </w:rPr>
            </w:pPr>
          </w:p>
        </w:tc>
        <w:tc>
          <w:tcPr>
            <w:tcW w:w="251" w:type="pct"/>
            <w:vMerge w:val="continue"/>
            <w:tcBorders>
              <w:top w:val="single" w:color="000000" w:sz="12" w:space="0"/>
              <w:left w:val="single" w:color="000000" w:sz="12" w:space="0"/>
              <w:bottom w:val="single" w:color="000000" w:sz="12" w:space="0"/>
              <w:right w:val="single" w:color="000000" w:sz="12" w:space="0"/>
            </w:tcBorders>
            <w:vAlign w:val="center"/>
          </w:tcPr>
          <w:p w14:paraId="5DA8A379">
            <w:pPr>
              <w:pStyle w:val="25"/>
              <w:spacing w:before="120" w:after="120"/>
              <w:ind w:left="214" w:right="63" w:hanging="169"/>
              <w:jc w:val="center"/>
              <w:rPr>
                <w:spacing w:val="-2"/>
                <w:sz w:val="24"/>
                <w:szCs w:val="24"/>
              </w:rPr>
            </w:pPr>
          </w:p>
        </w:tc>
        <w:tc>
          <w:tcPr>
            <w:tcW w:w="251" w:type="pct"/>
            <w:tcBorders>
              <w:top w:val="single" w:color="000000" w:sz="12" w:space="0"/>
              <w:left w:val="single" w:color="000000" w:sz="12" w:space="0"/>
              <w:bottom w:val="single" w:color="000000" w:sz="12" w:space="0"/>
              <w:right w:val="single" w:color="000000" w:sz="12" w:space="0"/>
            </w:tcBorders>
            <w:vAlign w:val="center"/>
          </w:tcPr>
          <w:p w14:paraId="299448AD">
            <w:pPr>
              <w:pStyle w:val="25"/>
              <w:spacing w:before="120" w:after="120"/>
              <w:ind w:left="214" w:right="63" w:hanging="169"/>
              <w:jc w:val="center"/>
              <w:rPr>
                <w:spacing w:val="-2"/>
                <w:sz w:val="24"/>
                <w:szCs w:val="24"/>
              </w:rPr>
            </w:pPr>
            <w:r>
              <w:rPr>
                <w:spacing w:val="-2"/>
                <w:sz w:val="24"/>
                <w:szCs w:val="24"/>
              </w:rPr>
              <w:t>断裂</w:t>
            </w:r>
          </w:p>
        </w:tc>
        <w:tc>
          <w:tcPr>
            <w:tcW w:w="423" w:type="pct"/>
            <w:tcBorders>
              <w:top w:val="single" w:color="000000" w:sz="12" w:space="0"/>
              <w:left w:val="single" w:color="000000" w:sz="12" w:space="0"/>
              <w:bottom w:val="single" w:color="000000" w:sz="12" w:space="0"/>
              <w:right w:val="single" w:color="000000" w:sz="12" w:space="0"/>
            </w:tcBorders>
            <w:vAlign w:val="center"/>
          </w:tcPr>
          <w:p w14:paraId="38B4E805">
            <w:pPr>
              <w:pStyle w:val="25"/>
              <w:spacing w:before="120" w:after="120"/>
              <w:ind w:left="214" w:right="63" w:hanging="169"/>
              <w:jc w:val="center"/>
              <w:rPr>
                <w:spacing w:val="-2"/>
                <w:sz w:val="24"/>
                <w:szCs w:val="24"/>
              </w:rPr>
            </w:pPr>
            <w:r>
              <w:rPr>
                <w:spacing w:val="-2"/>
                <w:sz w:val="24"/>
                <w:szCs w:val="24"/>
              </w:rPr>
              <w:t>是否通过</w:t>
            </w:r>
          </w:p>
        </w:tc>
        <w:tc>
          <w:tcPr>
            <w:tcW w:w="262" w:type="pct"/>
            <w:tcBorders>
              <w:top w:val="single" w:color="000000" w:sz="12" w:space="0"/>
              <w:left w:val="single" w:color="000000" w:sz="12" w:space="0"/>
              <w:bottom w:val="single" w:color="000000" w:sz="12" w:space="0"/>
              <w:right w:val="single" w:color="000000" w:sz="12" w:space="0"/>
            </w:tcBorders>
            <w:vAlign w:val="center"/>
          </w:tcPr>
          <w:p w14:paraId="0F35D31F">
            <w:pPr>
              <w:pStyle w:val="25"/>
              <w:spacing w:before="120" w:after="120"/>
              <w:ind w:left="214" w:right="63" w:hanging="169"/>
              <w:jc w:val="center"/>
              <w:rPr>
                <w:spacing w:val="-2"/>
                <w:sz w:val="24"/>
                <w:szCs w:val="24"/>
              </w:rPr>
            </w:pPr>
            <w:r>
              <w:rPr>
                <w:spacing w:val="-2"/>
                <w:sz w:val="24"/>
                <w:szCs w:val="24"/>
              </w:rPr>
              <w:t>断裂</w:t>
            </w:r>
          </w:p>
        </w:tc>
        <w:tc>
          <w:tcPr>
            <w:tcW w:w="399" w:type="pct"/>
            <w:tcBorders>
              <w:top w:val="single" w:color="000000" w:sz="12" w:space="0"/>
              <w:left w:val="single" w:color="000000" w:sz="12" w:space="0"/>
              <w:bottom w:val="single" w:color="000000" w:sz="12" w:space="0"/>
              <w:right w:val="single" w:color="000000" w:sz="12" w:space="0"/>
            </w:tcBorders>
            <w:vAlign w:val="center"/>
          </w:tcPr>
          <w:p w14:paraId="1EF114CB">
            <w:pPr>
              <w:pStyle w:val="25"/>
              <w:spacing w:before="120" w:after="120"/>
              <w:ind w:left="214" w:right="63" w:hanging="169"/>
              <w:jc w:val="center"/>
              <w:rPr>
                <w:spacing w:val="-2"/>
                <w:sz w:val="24"/>
                <w:szCs w:val="24"/>
              </w:rPr>
            </w:pPr>
            <w:r>
              <w:rPr>
                <w:spacing w:val="-2"/>
                <w:sz w:val="24"/>
                <w:szCs w:val="24"/>
              </w:rPr>
              <w:t>是否通过</w:t>
            </w:r>
          </w:p>
        </w:tc>
      </w:tr>
      <w:tr w14:paraId="14B73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420" w:type="pct"/>
            <w:tcBorders>
              <w:top w:val="single" w:color="000000" w:sz="12" w:space="0"/>
              <w:left w:val="single" w:color="000000" w:sz="12" w:space="0"/>
              <w:bottom w:val="single" w:color="000000" w:sz="12" w:space="0"/>
              <w:right w:val="single" w:color="000000" w:sz="12" w:space="0"/>
            </w:tcBorders>
          </w:tcPr>
          <w:p w14:paraId="18291C8C">
            <w:pPr>
              <w:spacing w:before="60" w:line="21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7C38EB44">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2EA689B0">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5FCF3B0">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41D7D1C">
            <w:pPr>
              <w:spacing w:before="60" w:line="21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A554A4D">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5104F7A">
            <w:pPr>
              <w:spacing w:before="60" w:line="21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1DC5DD8E">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4AD14915">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59ED82D1">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07C0841D">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7F990D7F">
            <w:pPr>
              <w:spacing w:before="60" w:line="21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2DA7AD7C">
            <w:pPr>
              <w:spacing w:before="60" w:line="218" w:lineRule="exact"/>
              <w:rPr>
                <w:rFonts w:ascii="Arial"/>
                <w:sz w:val="24"/>
              </w:rPr>
            </w:pPr>
          </w:p>
        </w:tc>
      </w:tr>
      <w:tr w14:paraId="252B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420" w:type="pct"/>
            <w:tcBorders>
              <w:top w:val="single" w:color="000000" w:sz="12" w:space="0"/>
              <w:left w:val="single" w:color="000000" w:sz="12" w:space="0"/>
              <w:bottom w:val="single" w:color="000000" w:sz="12" w:space="0"/>
              <w:right w:val="single" w:color="000000" w:sz="12" w:space="0"/>
            </w:tcBorders>
          </w:tcPr>
          <w:p w14:paraId="5453B7E6">
            <w:pPr>
              <w:spacing w:before="60" w:line="20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2AC2C859">
            <w:pPr>
              <w:spacing w:before="60" w:line="20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0D8CD75A">
            <w:pPr>
              <w:spacing w:before="60" w:line="20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6F2E4314">
            <w:pPr>
              <w:spacing w:before="60" w:line="20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CD0369F">
            <w:pPr>
              <w:spacing w:before="60" w:line="20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3ACC6261">
            <w:pPr>
              <w:spacing w:before="60" w:line="20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DE6FD4D">
            <w:pPr>
              <w:spacing w:before="60" w:line="20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3190598D">
            <w:pPr>
              <w:spacing w:before="60" w:line="20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9C84341">
            <w:pPr>
              <w:spacing w:before="60" w:line="20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62C8BD99">
            <w:pPr>
              <w:spacing w:before="60" w:line="20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A1E7E22">
            <w:pPr>
              <w:spacing w:before="60" w:line="20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0ED9B93E">
            <w:pPr>
              <w:spacing w:before="60" w:line="20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51A43FA9">
            <w:pPr>
              <w:spacing w:before="60" w:line="208" w:lineRule="exact"/>
              <w:rPr>
                <w:rFonts w:ascii="Arial"/>
                <w:sz w:val="24"/>
              </w:rPr>
            </w:pPr>
          </w:p>
        </w:tc>
      </w:tr>
      <w:tr w14:paraId="630E6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420" w:type="pct"/>
            <w:tcBorders>
              <w:top w:val="single" w:color="000000" w:sz="12" w:space="0"/>
              <w:left w:val="single" w:color="000000" w:sz="12" w:space="0"/>
              <w:bottom w:val="single" w:color="000000" w:sz="12" w:space="0"/>
              <w:right w:val="single" w:color="000000" w:sz="12" w:space="0"/>
            </w:tcBorders>
          </w:tcPr>
          <w:p w14:paraId="02E37F66">
            <w:pPr>
              <w:spacing w:before="60" w:line="21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6C9B2CDE">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8151F10">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D556E45">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1743584">
            <w:pPr>
              <w:spacing w:before="60" w:line="21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7235EAE2">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980C974">
            <w:pPr>
              <w:spacing w:before="60" w:line="21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7CBD2999">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7FF1D734">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7BD9D335">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6E88990E">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09649138">
            <w:pPr>
              <w:spacing w:before="60" w:line="21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7223D0CE">
            <w:pPr>
              <w:spacing w:before="60" w:line="218" w:lineRule="exact"/>
              <w:rPr>
                <w:rFonts w:ascii="Arial"/>
                <w:sz w:val="24"/>
              </w:rPr>
            </w:pPr>
          </w:p>
        </w:tc>
      </w:tr>
      <w:tr w14:paraId="6F707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0" w:type="pct"/>
            <w:tcBorders>
              <w:top w:val="single" w:color="000000" w:sz="12" w:space="0"/>
              <w:left w:val="single" w:color="000000" w:sz="12" w:space="0"/>
              <w:bottom w:val="single" w:color="000000" w:sz="12" w:space="0"/>
              <w:right w:val="single" w:color="000000" w:sz="12" w:space="0"/>
            </w:tcBorders>
          </w:tcPr>
          <w:p w14:paraId="3AE94E6A">
            <w:pPr>
              <w:spacing w:before="60" w:line="22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237203E3">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680BEAF6">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2C41D4DB">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48FA834">
            <w:pPr>
              <w:spacing w:before="60" w:line="22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634BA24">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6FD5DC9A">
            <w:pPr>
              <w:spacing w:before="60" w:line="22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7A7D04DD">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9309B7B">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48C987A3">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6655CC4">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29A4C244">
            <w:pPr>
              <w:spacing w:before="60" w:line="22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30BD764F">
            <w:pPr>
              <w:spacing w:before="60" w:line="228" w:lineRule="exact"/>
              <w:rPr>
                <w:rFonts w:ascii="Arial"/>
                <w:sz w:val="24"/>
              </w:rPr>
            </w:pPr>
          </w:p>
        </w:tc>
      </w:tr>
      <w:tr w14:paraId="03C95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420" w:type="pct"/>
            <w:tcBorders>
              <w:top w:val="single" w:color="000000" w:sz="12" w:space="0"/>
              <w:left w:val="single" w:color="000000" w:sz="12" w:space="0"/>
              <w:bottom w:val="single" w:color="000000" w:sz="12" w:space="0"/>
              <w:right w:val="single" w:color="000000" w:sz="12" w:space="0"/>
            </w:tcBorders>
          </w:tcPr>
          <w:p w14:paraId="47EEA5C9">
            <w:pPr>
              <w:spacing w:before="60" w:line="200"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295AE3DE">
            <w:pPr>
              <w:spacing w:before="60" w:line="200"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EE478F1">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E007F5B">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4229CAD">
            <w:pPr>
              <w:spacing w:before="60" w:line="200"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2EE171CA">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9D71D2A">
            <w:pPr>
              <w:spacing w:before="60" w:line="200"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6C86925F">
            <w:pPr>
              <w:spacing w:before="60" w:line="200"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1AA369C">
            <w:pPr>
              <w:spacing w:before="60" w:line="200"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79FDA7F4">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3213F12">
            <w:pPr>
              <w:spacing w:before="60" w:line="200"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7D7D451D">
            <w:pPr>
              <w:spacing w:before="60" w:line="200"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49D176DA">
            <w:pPr>
              <w:spacing w:before="60" w:line="200" w:lineRule="exact"/>
              <w:rPr>
                <w:rFonts w:ascii="Arial"/>
                <w:sz w:val="24"/>
              </w:rPr>
            </w:pPr>
          </w:p>
        </w:tc>
      </w:tr>
      <w:tr w14:paraId="3E221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0" w:type="pct"/>
            <w:tcBorders>
              <w:top w:val="single" w:color="000000" w:sz="12" w:space="0"/>
              <w:left w:val="single" w:color="000000" w:sz="12" w:space="0"/>
              <w:bottom w:val="single" w:color="000000" w:sz="12" w:space="0"/>
              <w:right w:val="single" w:color="000000" w:sz="12" w:space="0"/>
            </w:tcBorders>
          </w:tcPr>
          <w:p w14:paraId="5D7C3DE0">
            <w:pPr>
              <w:spacing w:before="60" w:line="22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025E9B90">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028286FC">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64811058">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65CE38B">
            <w:pPr>
              <w:spacing w:before="60" w:line="22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74922D0D">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26D73898">
            <w:pPr>
              <w:spacing w:before="60" w:line="22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29A2F636">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6BCC4B08">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176774CF">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6F8E943">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461994CB">
            <w:pPr>
              <w:spacing w:before="60" w:line="22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5E6E077C">
            <w:pPr>
              <w:spacing w:before="60" w:line="228" w:lineRule="exact"/>
              <w:rPr>
                <w:rFonts w:ascii="Arial"/>
                <w:sz w:val="24"/>
              </w:rPr>
            </w:pPr>
          </w:p>
        </w:tc>
      </w:tr>
      <w:tr w14:paraId="3CE0B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420" w:type="pct"/>
            <w:tcBorders>
              <w:top w:val="single" w:color="000000" w:sz="12" w:space="0"/>
              <w:left w:val="single" w:color="000000" w:sz="12" w:space="0"/>
              <w:bottom w:val="single" w:color="000000" w:sz="12" w:space="0"/>
              <w:right w:val="single" w:color="000000" w:sz="12" w:space="0"/>
            </w:tcBorders>
          </w:tcPr>
          <w:p w14:paraId="3C843CB6">
            <w:pPr>
              <w:spacing w:before="60" w:line="21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3819D5DA">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522DEDD3">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709AB7E">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904D391">
            <w:pPr>
              <w:spacing w:before="60" w:line="21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293556DE">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E52396B">
            <w:pPr>
              <w:spacing w:before="60" w:line="21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3371B59C">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C50DF57">
            <w:pPr>
              <w:spacing w:before="60" w:line="21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3594D2E4">
            <w:pPr>
              <w:spacing w:before="60" w:line="21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296B36D7">
            <w:pPr>
              <w:spacing w:before="60" w:line="21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123B0EC">
            <w:pPr>
              <w:spacing w:before="60" w:line="21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214706E8">
            <w:pPr>
              <w:spacing w:before="60" w:line="218" w:lineRule="exact"/>
              <w:rPr>
                <w:rFonts w:ascii="Arial"/>
                <w:sz w:val="24"/>
              </w:rPr>
            </w:pPr>
          </w:p>
        </w:tc>
      </w:tr>
      <w:tr w14:paraId="2B1F0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0" w:type="pct"/>
            <w:tcBorders>
              <w:top w:val="single" w:color="000000" w:sz="12" w:space="0"/>
              <w:left w:val="single" w:color="000000" w:sz="12" w:space="0"/>
              <w:bottom w:val="single" w:color="000000" w:sz="12" w:space="0"/>
              <w:right w:val="single" w:color="000000" w:sz="12" w:space="0"/>
            </w:tcBorders>
          </w:tcPr>
          <w:p w14:paraId="14AACDF7">
            <w:pPr>
              <w:spacing w:before="60" w:line="228"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77AC4110">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2648F5D4">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80B98F6">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4FF7F221">
            <w:pPr>
              <w:spacing w:before="60" w:line="228"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7610B0E1">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95EA038">
            <w:pPr>
              <w:spacing w:before="60" w:line="228"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3E35878B">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69DBB6F">
            <w:pPr>
              <w:spacing w:before="60" w:line="228"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C2C664C">
            <w:pPr>
              <w:spacing w:before="60" w:line="228"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E5D2457">
            <w:pPr>
              <w:spacing w:before="60" w:line="228"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7647CFF4">
            <w:pPr>
              <w:spacing w:before="60" w:line="228"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3C01C63E">
            <w:pPr>
              <w:spacing w:before="60" w:line="228" w:lineRule="exact"/>
              <w:rPr>
                <w:rFonts w:ascii="Arial"/>
                <w:sz w:val="24"/>
              </w:rPr>
            </w:pPr>
          </w:p>
        </w:tc>
      </w:tr>
      <w:tr w14:paraId="20965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420" w:type="pct"/>
            <w:tcBorders>
              <w:top w:val="single" w:color="000000" w:sz="12" w:space="0"/>
              <w:left w:val="single" w:color="000000" w:sz="12" w:space="0"/>
              <w:bottom w:val="single" w:color="000000" w:sz="12" w:space="0"/>
              <w:right w:val="single" w:color="000000" w:sz="12" w:space="0"/>
            </w:tcBorders>
          </w:tcPr>
          <w:p w14:paraId="5FC5E5D6">
            <w:pPr>
              <w:spacing w:before="60" w:line="200" w:lineRule="exact"/>
              <w:rPr>
                <w:rFonts w:ascii="Arial"/>
                <w:sz w:val="24"/>
              </w:rPr>
            </w:pPr>
          </w:p>
        </w:tc>
        <w:tc>
          <w:tcPr>
            <w:tcW w:w="595" w:type="pct"/>
            <w:tcBorders>
              <w:top w:val="single" w:color="000000" w:sz="12" w:space="0"/>
              <w:left w:val="single" w:color="000000" w:sz="12" w:space="0"/>
              <w:bottom w:val="single" w:color="000000" w:sz="12" w:space="0"/>
              <w:right w:val="single" w:color="000000" w:sz="12" w:space="0"/>
            </w:tcBorders>
          </w:tcPr>
          <w:p w14:paraId="460F3F33">
            <w:pPr>
              <w:spacing w:before="60" w:line="200"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51F8560D">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F0A1859">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0154F031">
            <w:pPr>
              <w:spacing w:before="60" w:line="200" w:lineRule="exact"/>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328F43D2">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D2995B9">
            <w:pPr>
              <w:spacing w:before="60" w:line="200" w:lineRule="exact"/>
              <w:rPr>
                <w:rFonts w:ascii="Arial"/>
                <w:sz w:val="24"/>
              </w:rPr>
            </w:pPr>
          </w:p>
        </w:tc>
        <w:tc>
          <w:tcPr>
            <w:tcW w:w="435" w:type="pct"/>
            <w:tcBorders>
              <w:top w:val="single" w:color="000000" w:sz="12" w:space="0"/>
              <w:left w:val="single" w:color="000000" w:sz="12" w:space="0"/>
              <w:bottom w:val="single" w:color="000000" w:sz="12" w:space="0"/>
              <w:right w:val="single" w:color="000000" w:sz="12" w:space="0"/>
            </w:tcBorders>
          </w:tcPr>
          <w:p w14:paraId="7F61B5A7">
            <w:pPr>
              <w:spacing w:before="60" w:line="200"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6282CF49">
            <w:pPr>
              <w:spacing w:before="60" w:line="200" w:lineRule="exact"/>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4F571B08">
            <w:pPr>
              <w:spacing w:before="60" w:line="200" w:lineRule="exact"/>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BB4D0E1">
            <w:pPr>
              <w:spacing w:before="60" w:line="200" w:lineRule="exact"/>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42BE32D0">
            <w:pPr>
              <w:spacing w:before="60" w:line="200" w:lineRule="exact"/>
              <w:rPr>
                <w:rFonts w:ascii="Arial"/>
                <w:sz w:val="24"/>
              </w:rPr>
            </w:pPr>
          </w:p>
        </w:tc>
        <w:tc>
          <w:tcPr>
            <w:tcW w:w="399" w:type="pct"/>
            <w:tcBorders>
              <w:top w:val="single" w:color="000000" w:sz="12" w:space="0"/>
              <w:left w:val="single" w:color="000000" w:sz="12" w:space="0"/>
              <w:bottom w:val="single" w:color="000000" w:sz="12" w:space="0"/>
              <w:right w:val="single" w:color="000000" w:sz="12" w:space="0"/>
            </w:tcBorders>
          </w:tcPr>
          <w:p w14:paraId="15B01EB2">
            <w:pPr>
              <w:spacing w:before="60" w:line="200" w:lineRule="exact"/>
              <w:rPr>
                <w:rFonts w:ascii="Arial"/>
                <w:sz w:val="24"/>
              </w:rPr>
            </w:pPr>
          </w:p>
        </w:tc>
      </w:tr>
      <w:tr w14:paraId="6E11C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000" w:type="pct"/>
            <w:gridSpan w:val="13"/>
            <w:tcBorders>
              <w:top w:val="single" w:color="000000" w:sz="12" w:space="0"/>
              <w:left w:val="single" w:color="000000" w:sz="12" w:space="0"/>
              <w:bottom w:val="single" w:color="000000" w:sz="12" w:space="0"/>
              <w:right w:val="single" w:color="000000" w:sz="12" w:space="0"/>
            </w:tcBorders>
          </w:tcPr>
          <w:p w14:paraId="41AB9221">
            <w:pPr>
              <w:pStyle w:val="25"/>
              <w:spacing w:before="60" w:after="60" w:line="226" w:lineRule="auto"/>
              <w:ind w:left="74"/>
              <w:rPr>
                <w:sz w:val="24"/>
                <w:szCs w:val="24"/>
                <w:lang w:eastAsia="zh-CN"/>
              </w:rPr>
            </w:pPr>
            <w:r>
              <w:rPr>
                <w:snapToGrid w:val="0"/>
                <w:color w:val="000000"/>
                <w:spacing w:val="2"/>
                <w:kern w:val="0"/>
                <w:sz w:val="24"/>
                <w:szCs w:val="24"/>
                <w:lang w:eastAsia="zh-CN"/>
              </w:rPr>
              <w:t xml:space="preserve">现场监理(签章):              技术负责人(签章):              记录(签章):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填 报 日 期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年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月  日</w:t>
            </w:r>
          </w:p>
        </w:tc>
      </w:tr>
    </w:tbl>
    <w:p w14:paraId="3A81D781">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2235333A">
      <w:pPr>
        <w:pStyle w:val="4"/>
        <w:spacing w:line="360" w:lineRule="auto"/>
        <w:rPr>
          <w:rFonts w:ascii="Times New Roman" w:hAnsi="Times New Roman" w:eastAsia="Times New Roman" w:cs="Times New Roman"/>
          <w:b/>
          <w:bCs/>
          <w:spacing w:val="-5"/>
          <w:sz w:val="28"/>
          <w:szCs w:val="28"/>
          <w:lang w:eastAsia="zh-CN"/>
        </w:rPr>
      </w:pPr>
      <w:r>
        <w:rPr>
          <w:rFonts w:ascii="Times New Roman" w:hAnsi="Times New Roman" w:eastAsia="Times New Roman" w:cs="Times New Roman"/>
          <w:b/>
          <w:bCs/>
          <w:spacing w:val="-5"/>
          <w:sz w:val="28"/>
          <w:szCs w:val="28"/>
          <w:lang w:eastAsia="zh-CN"/>
        </w:rPr>
        <w:drawing>
          <wp:anchor distT="0" distB="0" distL="0" distR="0" simplePos="0" relativeHeight="251661312" behindDoc="0" locked="0" layoutInCell="1" allowOverlap="1">
            <wp:simplePos x="0" y="0"/>
            <wp:positionH relativeFrom="column">
              <wp:posOffset>0</wp:posOffset>
            </wp:positionH>
            <wp:positionV relativeFrom="paragraph">
              <wp:posOffset>231775</wp:posOffset>
            </wp:positionV>
            <wp:extent cx="120650" cy="133350"/>
            <wp:effectExtent l="0" t="0" r="1270" b="3810"/>
            <wp:wrapNone/>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9"/>
                    <a:stretch>
                      <a:fillRect/>
                    </a:stretch>
                  </pic:blipFill>
                  <pic:spPr>
                    <a:xfrm>
                      <a:off x="0" y="0"/>
                      <a:ext cx="120637" cy="133358"/>
                    </a:xfrm>
                    <a:prstGeom prst="rect">
                      <a:avLst/>
                    </a:prstGeom>
                  </pic:spPr>
                </pic:pic>
              </a:graphicData>
            </a:graphic>
          </wp:anchor>
        </w:drawing>
      </w:r>
      <w:r>
        <w:rPr>
          <w:rFonts w:ascii="Times New Roman" w:hAnsi="Times New Roman" w:eastAsia="Times New Roman" w:cs="Times New Roman"/>
          <w:b/>
          <w:bCs/>
          <w:spacing w:val="-5"/>
          <w:sz w:val="28"/>
          <w:szCs w:val="28"/>
          <w:lang w:eastAsia="zh-CN"/>
        </w:rPr>
        <w:t xml:space="preserve">B.0.2 </w:t>
      </w:r>
      <w:r>
        <w:rPr>
          <w:rFonts w:ascii="Times New Roman" w:hAnsi="Times New Roman" w:eastAsia="Times New Roman" w:cs="Times New Roman"/>
          <w:spacing w:val="-5"/>
          <w:sz w:val="28"/>
          <w:szCs w:val="28"/>
          <w:lang w:eastAsia="zh-CN"/>
        </w:rPr>
        <w:t>高密度聚乙烯土工膜热熔焊接检测记录可按表B.0.2填写。</w:t>
      </w:r>
    </w:p>
    <w:p w14:paraId="6DFAF6DC">
      <w:pPr>
        <w:pStyle w:val="4"/>
        <w:spacing w:before="60"/>
        <w:jc w:val="center"/>
        <w:rPr>
          <w:b/>
          <w:bCs/>
          <w:spacing w:val="-3"/>
          <w:sz w:val="24"/>
          <w:szCs w:val="24"/>
          <w:lang w:eastAsia="zh-CN"/>
        </w:rPr>
      </w:pPr>
      <w:r>
        <w:rPr>
          <w:b/>
          <w:bCs/>
          <w:spacing w:val="-3"/>
          <w:sz w:val="24"/>
          <w:szCs w:val="24"/>
          <w:lang w:eastAsia="zh-CN"/>
        </w:rPr>
        <w:t>表B.0.2高密度聚乙烯土工膜热熔焊接检测记录表</w:t>
      </w:r>
    </w:p>
    <w:p w14:paraId="4FDD3801">
      <w:pPr>
        <w:spacing w:line="64" w:lineRule="exact"/>
      </w:pPr>
    </w:p>
    <w:tbl>
      <w:tblPr>
        <w:tblStyle w:val="26"/>
        <w:tblW w:w="503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86"/>
        <w:gridCol w:w="1063"/>
        <w:gridCol w:w="728"/>
        <w:gridCol w:w="1080"/>
        <w:gridCol w:w="1129"/>
        <w:gridCol w:w="833"/>
        <w:gridCol w:w="1098"/>
        <w:gridCol w:w="1143"/>
        <w:gridCol w:w="1133"/>
        <w:gridCol w:w="703"/>
        <w:gridCol w:w="684"/>
        <w:gridCol w:w="1163"/>
        <w:gridCol w:w="1188"/>
        <w:gridCol w:w="1058"/>
      </w:tblGrid>
      <w:tr w14:paraId="2A836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74BA4F5C">
            <w:pPr>
              <w:pStyle w:val="25"/>
              <w:spacing w:before="120" w:after="120" w:line="231" w:lineRule="auto"/>
              <w:ind w:left="62"/>
            </w:pPr>
            <w:r>
              <w:rPr>
                <w:rFonts w:hint="eastAsia"/>
                <w:spacing w:val="1"/>
                <w:sz w:val="24"/>
                <w:szCs w:val="24"/>
                <w:lang w:eastAsia="zh-CN"/>
              </w:rPr>
              <w:t xml:space="preserve">工程名称：                                                                                          </w:t>
            </w:r>
            <w:bookmarkStart w:id="247" w:name="OLE_LINK27"/>
            <w:r>
              <w:rPr>
                <w:rFonts w:hint="eastAsia"/>
                <w:spacing w:val="1"/>
                <w:sz w:val="24"/>
                <w:szCs w:val="24"/>
                <w:lang w:eastAsia="zh-CN"/>
              </w:rPr>
              <w:t>第 页 共 页</w:t>
            </w:r>
            <w:bookmarkEnd w:id="247"/>
          </w:p>
        </w:tc>
      </w:tr>
      <w:tr w14:paraId="6D1CF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86" w:type="pct"/>
            <w:vMerge w:val="restart"/>
            <w:tcBorders>
              <w:top w:val="single" w:color="000000" w:sz="12" w:space="0"/>
              <w:left w:val="single" w:color="000000" w:sz="12" w:space="0"/>
              <w:bottom w:val="single" w:color="000000" w:sz="12" w:space="0"/>
              <w:right w:val="single" w:color="000000" w:sz="12" w:space="0"/>
            </w:tcBorders>
          </w:tcPr>
          <w:p w14:paraId="0D99629B">
            <w:pPr>
              <w:pStyle w:val="25"/>
              <w:spacing w:before="120" w:after="120"/>
              <w:ind w:left="214" w:right="63" w:hanging="169"/>
              <w:jc w:val="center"/>
              <w:rPr>
                <w:spacing w:val="-2"/>
                <w:sz w:val="24"/>
                <w:szCs w:val="24"/>
              </w:rPr>
            </w:pPr>
          </w:p>
          <w:p w14:paraId="50689CB0">
            <w:pPr>
              <w:pStyle w:val="25"/>
              <w:spacing w:before="120" w:after="120"/>
              <w:ind w:left="214" w:right="63" w:hanging="169"/>
              <w:jc w:val="center"/>
              <w:rPr>
                <w:spacing w:val="-2"/>
                <w:sz w:val="24"/>
                <w:szCs w:val="24"/>
              </w:rPr>
            </w:pPr>
            <w:r>
              <w:rPr>
                <w:spacing w:val="-2"/>
                <w:sz w:val="24"/>
                <w:szCs w:val="24"/>
              </w:rPr>
              <w:t>焊缝编号</w:t>
            </w:r>
          </w:p>
        </w:tc>
        <w:tc>
          <w:tcPr>
            <w:tcW w:w="378" w:type="pct"/>
            <w:vMerge w:val="restart"/>
            <w:tcBorders>
              <w:top w:val="single" w:color="000000" w:sz="12" w:space="0"/>
              <w:left w:val="single" w:color="000000" w:sz="12" w:space="0"/>
              <w:bottom w:val="single" w:color="000000" w:sz="12" w:space="0"/>
              <w:right w:val="single" w:color="000000" w:sz="12" w:space="0"/>
            </w:tcBorders>
          </w:tcPr>
          <w:p w14:paraId="584FF79C">
            <w:pPr>
              <w:pStyle w:val="25"/>
              <w:spacing w:before="120" w:after="120"/>
              <w:ind w:left="214" w:right="63" w:hanging="169"/>
              <w:jc w:val="center"/>
              <w:rPr>
                <w:spacing w:val="-2"/>
                <w:sz w:val="24"/>
                <w:szCs w:val="24"/>
              </w:rPr>
            </w:pPr>
          </w:p>
          <w:p w14:paraId="0EDAF630">
            <w:pPr>
              <w:pStyle w:val="25"/>
              <w:spacing w:before="120" w:after="120"/>
              <w:ind w:left="214" w:right="63" w:hanging="169"/>
              <w:jc w:val="center"/>
              <w:rPr>
                <w:spacing w:val="-2"/>
                <w:sz w:val="24"/>
                <w:szCs w:val="24"/>
              </w:rPr>
            </w:pPr>
            <w:r>
              <w:rPr>
                <w:spacing w:val="-2"/>
                <w:sz w:val="24"/>
                <w:szCs w:val="24"/>
              </w:rPr>
              <w:t>日期</w:t>
            </w:r>
          </w:p>
        </w:tc>
        <w:tc>
          <w:tcPr>
            <w:tcW w:w="259" w:type="pct"/>
            <w:vMerge w:val="restart"/>
            <w:tcBorders>
              <w:top w:val="single" w:color="000000" w:sz="12" w:space="0"/>
              <w:left w:val="single" w:color="000000" w:sz="12" w:space="0"/>
              <w:bottom w:val="single" w:color="000000" w:sz="12" w:space="0"/>
              <w:right w:val="single" w:color="000000" w:sz="12" w:space="0"/>
            </w:tcBorders>
          </w:tcPr>
          <w:p w14:paraId="0123531A">
            <w:pPr>
              <w:pStyle w:val="25"/>
              <w:spacing w:before="120" w:after="120"/>
              <w:ind w:left="214" w:right="63" w:hanging="169"/>
              <w:jc w:val="center"/>
              <w:rPr>
                <w:spacing w:val="-2"/>
                <w:sz w:val="24"/>
                <w:szCs w:val="24"/>
              </w:rPr>
            </w:pPr>
          </w:p>
          <w:p w14:paraId="4337C0BF">
            <w:pPr>
              <w:pStyle w:val="25"/>
              <w:spacing w:before="120" w:after="120"/>
              <w:ind w:left="214" w:right="63" w:hanging="169"/>
              <w:jc w:val="center"/>
              <w:rPr>
                <w:spacing w:val="-2"/>
                <w:sz w:val="24"/>
                <w:szCs w:val="24"/>
              </w:rPr>
            </w:pPr>
            <w:r>
              <w:rPr>
                <w:spacing w:val="-2"/>
                <w:sz w:val="24"/>
                <w:szCs w:val="24"/>
              </w:rPr>
              <w:t>时间</w:t>
            </w:r>
          </w:p>
        </w:tc>
        <w:tc>
          <w:tcPr>
            <w:tcW w:w="384" w:type="pct"/>
            <w:vMerge w:val="restart"/>
            <w:tcBorders>
              <w:top w:val="single" w:color="000000" w:sz="12" w:space="0"/>
              <w:left w:val="single" w:color="000000" w:sz="12" w:space="0"/>
              <w:bottom w:val="single" w:color="000000" w:sz="12" w:space="0"/>
              <w:right w:val="single" w:color="000000" w:sz="12" w:space="0"/>
            </w:tcBorders>
          </w:tcPr>
          <w:p w14:paraId="4CEA30FC">
            <w:pPr>
              <w:pStyle w:val="25"/>
              <w:spacing w:before="120" w:after="120"/>
              <w:ind w:left="214" w:right="63" w:hanging="169"/>
              <w:jc w:val="center"/>
              <w:rPr>
                <w:spacing w:val="-2"/>
                <w:sz w:val="24"/>
                <w:szCs w:val="24"/>
              </w:rPr>
            </w:pPr>
          </w:p>
          <w:p w14:paraId="4F66116E">
            <w:pPr>
              <w:pStyle w:val="25"/>
              <w:spacing w:before="120" w:after="120"/>
              <w:ind w:left="214" w:right="63" w:hanging="169"/>
              <w:jc w:val="center"/>
              <w:rPr>
                <w:spacing w:val="-2"/>
                <w:sz w:val="24"/>
                <w:szCs w:val="24"/>
              </w:rPr>
            </w:pPr>
            <w:r>
              <w:rPr>
                <w:spacing w:val="-2"/>
                <w:sz w:val="24"/>
                <w:szCs w:val="24"/>
              </w:rPr>
              <w:t>设备编号</w:t>
            </w:r>
          </w:p>
        </w:tc>
        <w:tc>
          <w:tcPr>
            <w:tcW w:w="401" w:type="pct"/>
            <w:vMerge w:val="restart"/>
            <w:tcBorders>
              <w:top w:val="single" w:color="000000" w:sz="12" w:space="0"/>
              <w:left w:val="single" w:color="000000" w:sz="12" w:space="0"/>
              <w:bottom w:val="single" w:color="000000" w:sz="12" w:space="0"/>
              <w:right w:val="single" w:color="000000" w:sz="12" w:space="0"/>
            </w:tcBorders>
          </w:tcPr>
          <w:p w14:paraId="19B799A8">
            <w:pPr>
              <w:pStyle w:val="25"/>
              <w:spacing w:before="120" w:after="120"/>
              <w:ind w:left="214" w:right="63" w:hanging="169"/>
              <w:jc w:val="center"/>
              <w:rPr>
                <w:spacing w:val="-2"/>
                <w:sz w:val="24"/>
                <w:szCs w:val="24"/>
              </w:rPr>
            </w:pPr>
          </w:p>
          <w:p w14:paraId="338E7CB4">
            <w:pPr>
              <w:pStyle w:val="25"/>
              <w:spacing w:before="120" w:after="120"/>
              <w:ind w:left="214" w:right="63" w:hanging="169"/>
              <w:jc w:val="center"/>
              <w:rPr>
                <w:spacing w:val="-2"/>
                <w:sz w:val="24"/>
                <w:szCs w:val="24"/>
              </w:rPr>
            </w:pPr>
            <w:r>
              <w:rPr>
                <w:spacing w:val="-2"/>
                <w:sz w:val="24"/>
                <w:szCs w:val="24"/>
              </w:rPr>
              <w:t>技工编号</w:t>
            </w:r>
          </w:p>
        </w:tc>
        <w:tc>
          <w:tcPr>
            <w:tcW w:w="296" w:type="pct"/>
            <w:vMerge w:val="restart"/>
            <w:tcBorders>
              <w:top w:val="single" w:color="000000" w:sz="12" w:space="0"/>
              <w:left w:val="single" w:color="000000" w:sz="12" w:space="0"/>
              <w:bottom w:val="single" w:color="000000" w:sz="12" w:space="0"/>
              <w:right w:val="single" w:color="000000" w:sz="12" w:space="0"/>
            </w:tcBorders>
          </w:tcPr>
          <w:p w14:paraId="7C52C17B">
            <w:pPr>
              <w:pStyle w:val="25"/>
              <w:spacing w:before="120" w:after="120"/>
              <w:ind w:left="214" w:right="63" w:hanging="169"/>
              <w:jc w:val="center"/>
              <w:rPr>
                <w:spacing w:val="-2"/>
                <w:sz w:val="24"/>
                <w:szCs w:val="24"/>
              </w:rPr>
            </w:pPr>
          </w:p>
          <w:p w14:paraId="0DD57F74">
            <w:pPr>
              <w:pStyle w:val="25"/>
              <w:spacing w:before="120" w:after="120"/>
              <w:ind w:left="214" w:right="63" w:hanging="169"/>
              <w:jc w:val="center"/>
              <w:rPr>
                <w:spacing w:val="-2"/>
                <w:sz w:val="24"/>
                <w:szCs w:val="24"/>
              </w:rPr>
            </w:pPr>
            <w:r>
              <w:rPr>
                <w:spacing w:val="-2"/>
                <w:sz w:val="24"/>
                <w:szCs w:val="24"/>
              </w:rPr>
              <w:t>长度 (m)</w:t>
            </w:r>
          </w:p>
        </w:tc>
        <w:tc>
          <w:tcPr>
            <w:tcW w:w="390" w:type="pct"/>
            <w:vMerge w:val="restart"/>
            <w:tcBorders>
              <w:top w:val="single" w:color="000000" w:sz="12" w:space="0"/>
              <w:left w:val="single" w:color="000000" w:sz="12" w:space="0"/>
              <w:bottom w:val="single" w:color="000000" w:sz="12" w:space="0"/>
              <w:right w:val="single" w:color="000000" w:sz="12" w:space="0"/>
            </w:tcBorders>
          </w:tcPr>
          <w:p w14:paraId="52872AAE">
            <w:pPr>
              <w:pStyle w:val="25"/>
              <w:spacing w:before="120" w:after="120"/>
              <w:ind w:left="214" w:right="63" w:hanging="169"/>
              <w:jc w:val="center"/>
              <w:rPr>
                <w:spacing w:val="-2"/>
                <w:sz w:val="24"/>
                <w:szCs w:val="24"/>
              </w:rPr>
            </w:pPr>
          </w:p>
          <w:p w14:paraId="267D2F20">
            <w:pPr>
              <w:pStyle w:val="25"/>
              <w:spacing w:before="120" w:after="120"/>
              <w:ind w:left="214" w:right="63" w:hanging="169"/>
              <w:jc w:val="center"/>
              <w:rPr>
                <w:spacing w:val="-2"/>
                <w:sz w:val="24"/>
                <w:szCs w:val="24"/>
              </w:rPr>
            </w:pPr>
            <w:r>
              <w:rPr>
                <w:spacing w:val="-2"/>
                <w:sz w:val="24"/>
                <w:szCs w:val="24"/>
              </w:rPr>
              <w:t>环境温度 (℃)</w:t>
            </w:r>
          </w:p>
        </w:tc>
        <w:tc>
          <w:tcPr>
            <w:tcW w:w="406" w:type="pct"/>
            <w:vMerge w:val="restart"/>
            <w:tcBorders>
              <w:top w:val="single" w:color="000000" w:sz="12" w:space="0"/>
              <w:left w:val="single" w:color="000000" w:sz="12" w:space="0"/>
              <w:bottom w:val="single" w:color="000000" w:sz="12" w:space="0"/>
              <w:right w:val="single" w:color="000000" w:sz="12" w:space="0"/>
            </w:tcBorders>
          </w:tcPr>
          <w:p w14:paraId="2B85B744">
            <w:pPr>
              <w:pStyle w:val="25"/>
              <w:spacing w:before="120" w:after="120"/>
              <w:ind w:left="214" w:right="63" w:hanging="169"/>
              <w:jc w:val="center"/>
              <w:rPr>
                <w:spacing w:val="-2"/>
                <w:sz w:val="24"/>
                <w:szCs w:val="24"/>
              </w:rPr>
            </w:pPr>
          </w:p>
          <w:p w14:paraId="43D480F9">
            <w:pPr>
              <w:pStyle w:val="25"/>
              <w:spacing w:before="120" w:after="120"/>
              <w:ind w:left="214" w:right="63" w:hanging="169"/>
              <w:jc w:val="center"/>
              <w:rPr>
                <w:spacing w:val="-2"/>
                <w:sz w:val="24"/>
                <w:szCs w:val="24"/>
              </w:rPr>
            </w:pPr>
            <w:r>
              <w:rPr>
                <w:spacing w:val="-2"/>
                <w:sz w:val="24"/>
                <w:szCs w:val="24"/>
              </w:rPr>
              <w:t>焊接温度 (℃)</w:t>
            </w:r>
          </w:p>
        </w:tc>
        <w:tc>
          <w:tcPr>
            <w:tcW w:w="396" w:type="pct"/>
            <w:vMerge w:val="restart"/>
            <w:tcBorders>
              <w:top w:val="single" w:color="000000" w:sz="12" w:space="0"/>
              <w:left w:val="single" w:color="000000" w:sz="12" w:space="0"/>
              <w:bottom w:val="single" w:color="000000" w:sz="12" w:space="0"/>
              <w:right w:val="single" w:color="000000" w:sz="12" w:space="0"/>
            </w:tcBorders>
          </w:tcPr>
          <w:p w14:paraId="4A649F0E">
            <w:pPr>
              <w:pStyle w:val="25"/>
              <w:spacing w:before="120" w:after="120"/>
              <w:ind w:left="214" w:right="63" w:hanging="169"/>
              <w:jc w:val="center"/>
              <w:rPr>
                <w:spacing w:val="-2"/>
                <w:sz w:val="24"/>
                <w:szCs w:val="24"/>
              </w:rPr>
            </w:pPr>
          </w:p>
          <w:p w14:paraId="1136CAAF">
            <w:pPr>
              <w:pStyle w:val="25"/>
              <w:spacing w:before="120" w:after="120"/>
              <w:ind w:left="214" w:right="63" w:hanging="169"/>
              <w:jc w:val="center"/>
              <w:rPr>
                <w:spacing w:val="-2"/>
                <w:sz w:val="24"/>
                <w:szCs w:val="24"/>
              </w:rPr>
            </w:pPr>
            <w:r>
              <w:rPr>
                <w:spacing w:val="-2"/>
                <w:sz w:val="24"/>
                <w:szCs w:val="24"/>
              </w:rPr>
              <w:t>焊接速度 (m/min)</w:t>
            </w:r>
          </w:p>
        </w:tc>
        <w:tc>
          <w:tcPr>
            <w:tcW w:w="1699" w:type="pct"/>
            <w:gridSpan w:val="5"/>
            <w:tcBorders>
              <w:top w:val="single" w:color="000000" w:sz="12" w:space="0"/>
              <w:left w:val="single" w:color="000000" w:sz="12" w:space="0"/>
              <w:bottom w:val="single" w:color="000000" w:sz="12" w:space="0"/>
              <w:right w:val="single" w:color="000000" w:sz="12" w:space="0"/>
            </w:tcBorders>
          </w:tcPr>
          <w:p w14:paraId="7E0A52F1">
            <w:pPr>
              <w:pStyle w:val="25"/>
              <w:spacing w:before="120" w:after="120"/>
              <w:ind w:left="214" w:right="63" w:hanging="169"/>
              <w:jc w:val="center"/>
              <w:rPr>
                <w:spacing w:val="-2"/>
                <w:sz w:val="24"/>
                <w:szCs w:val="24"/>
              </w:rPr>
            </w:pPr>
            <w:r>
              <w:rPr>
                <w:spacing w:val="-2"/>
                <w:sz w:val="24"/>
                <w:szCs w:val="24"/>
              </w:rPr>
              <w:t>气压检测</w:t>
            </w:r>
          </w:p>
        </w:tc>
      </w:tr>
      <w:tr w14:paraId="1F977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86" w:type="pct"/>
            <w:vMerge w:val="continue"/>
            <w:tcBorders>
              <w:top w:val="single" w:color="000000" w:sz="12" w:space="0"/>
              <w:left w:val="single" w:color="000000" w:sz="12" w:space="0"/>
              <w:bottom w:val="single" w:color="000000" w:sz="12" w:space="0"/>
              <w:right w:val="single" w:color="000000" w:sz="12" w:space="0"/>
            </w:tcBorders>
          </w:tcPr>
          <w:p w14:paraId="0A49B98C">
            <w:pPr>
              <w:pStyle w:val="25"/>
              <w:spacing w:before="120" w:after="120"/>
              <w:ind w:left="214" w:right="63" w:hanging="169"/>
              <w:jc w:val="center"/>
              <w:rPr>
                <w:spacing w:val="-2"/>
                <w:sz w:val="24"/>
                <w:szCs w:val="24"/>
              </w:rPr>
            </w:pPr>
          </w:p>
        </w:tc>
        <w:tc>
          <w:tcPr>
            <w:tcW w:w="378" w:type="pct"/>
            <w:vMerge w:val="continue"/>
            <w:tcBorders>
              <w:top w:val="single" w:color="000000" w:sz="12" w:space="0"/>
              <w:left w:val="single" w:color="000000" w:sz="12" w:space="0"/>
              <w:bottom w:val="single" w:color="000000" w:sz="12" w:space="0"/>
              <w:right w:val="single" w:color="000000" w:sz="12" w:space="0"/>
            </w:tcBorders>
          </w:tcPr>
          <w:p w14:paraId="495FF937">
            <w:pPr>
              <w:pStyle w:val="25"/>
              <w:spacing w:before="120" w:after="120"/>
              <w:ind w:left="214" w:right="63" w:hanging="169"/>
              <w:jc w:val="center"/>
              <w:rPr>
                <w:spacing w:val="-2"/>
                <w:sz w:val="24"/>
                <w:szCs w:val="24"/>
              </w:rPr>
            </w:pPr>
          </w:p>
        </w:tc>
        <w:tc>
          <w:tcPr>
            <w:tcW w:w="259" w:type="pct"/>
            <w:vMerge w:val="continue"/>
            <w:tcBorders>
              <w:top w:val="single" w:color="000000" w:sz="12" w:space="0"/>
              <w:left w:val="single" w:color="000000" w:sz="12" w:space="0"/>
              <w:bottom w:val="single" w:color="000000" w:sz="12" w:space="0"/>
              <w:right w:val="single" w:color="000000" w:sz="12" w:space="0"/>
            </w:tcBorders>
          </w:tcPr>
          <w:p w14:paraId="01E88628">
            <w:pPr>
              <w:pStyle w:val="25"/>
              <w:spacing w:before="120" w:after="120"/>
              <w:ind w:left="214" w:right="63" w:hanging="169"/>
              <w:jc w:val="center"/>
              <w:rPr>
                <w:spacing w:val="-2"/>
                <w:sz w:val="24"/>
                <w:szCs w:val="24"/>
              </w:rPr>
            </w:pPr>
          </w:p>
        </w:tc>
        <w:tc>
          <w:tcPr>
            <w:tcW w:w="384" w:type="pct"/>
            <w:vMerge w:val="continue"/>
            <w:tcBorders>
              <w:top w:val="single" w:color="000000" w:sz="12" w:space="0"/>
              <w:left w:val="single" w:color="000000" w:sz="12" w:space="0"/>
              <w:bottom w:val="single" w:color="000000" w:sz="12" w:space="0"/>
              <w:right w:val="single" w:color="000000" w:sz="12" w:space="0"/>
            </w:tcBorders>
          </w:tcPr>
          <w:p w14:paraId="506F5178">
            <w:pPr>
              <w:pStyle w:val="25"/>
              <w:spacing w:before="120" w:after="120"/>
              <w:ind w:left="214" w:right="63" w:hanging="169"/>
              <w:jc w:val="center"/>
              <w:rPr>
                <w:spacing w:val="-2"/>
                <w:sz w:val="24"/>
                <w:szCs w:val="24"/>
              </w:rPr>
            </w:pPr>
          </w:p>
        </w:tc>
        <w:tc>
          <w:tcPr>
            <w:tcW w:w="401" w:type="pct"/>
            <w:vMerge w:val="continue"/>
            <w:tcBorders>
              <w:top w:val="single" w:color="000000" w:sz="12" w:space="0"/>
              <w:left w:val="single" w:color="000000" w:sz="12" w:space="0"/>
              <w:bottom w:val="single" w:color="000000" w:sz="12" w:space="0"/>
              <w:right w:val="single" w:color="000000" w:sz="12" w:space="0"/>
            </w:tcBorders>
          </w:tcPr>
          <w:p w14:paraId="5995577D">
            <w:pPr>
              <w:pStyle w:val="25"/>
              <w:spacing w:before="120" w:after="120"/>
              <w:ind w:left="214" w:right="63" w:hanging="169"/>
              <w:jc w:val="center"/>
              <w:rPr>
                <w:spacing w:val="-2"/>
                <w:sz w:val="24"/>
                <w:szCs w:val="24"/>
              </w:rPr>
            </w:pPr>
          </w:p>
        </w:tc>
        <w:tc>
          <w:tcPr>
            <w:tcW w:w="296" w:type="pct"/>
            <w:vMerge w:val="continue"/>
            <w:tcBorders>
              <w:top w:val="single" w:color="000000" w:sz="12" w:space="0"/>
              <w:left w:val="single" w:color="000000" w:sz="12" w:space="0"/>
              <w:bottom w:val="single" w:color="000000" w:sz="12" w:space="0"/>
              <w:right w:val="single" w:color="000000" w:sz="12" w:space="0"/>
            </w:tcBorders>
          </w:tcPr>
          <w:p w14:paraId="514A40A8">
            <w:pPr>
              <w:pStyle w:val="25"/>
              <w:spacing w:before="120" w:after="120"/>
              <w:ind w:left="214" w:right="63" w:hanging="169"/>
              <w:jc w:val="center"/>
              <w:rPr>
                <w:spacing w:val="-2"/>
                <w:sz w:val="24"/>
                <w:szCs w:val="24"/>
              </w:rPr>
            </w:pPr>
          </w:p>
        </w:tc>
        <w:tc>
          <w:tcPr>
            <w:tcW w:w="390" w:type="pct"/>
            <w:vMerge w:val="continue"/>
            <w:tcBorders>
              <w:top w:val="single" w:color="000000" w:sz="12" w:space="0"/>
              <w:left w:val="single" w:color="000000" w:sz="12" w:space="0"/>
              <w:bottom w:val="single" w:color="000000" w:sz="12" w:space="0"/>
              <w:right w:val="single" w:color="000000" w:sz="12" w:space="0"/>
            </w:tcBorders>
          </w:tcPr>
          <w:p w14:paraId="289F5C9A">
            <w:pPr>
              <w:pStyle w:val="25"/>
              <w:spacing w:before="120" w:after="120"/>
              <w:ind w:left="214" w:right="63" w:hanging="169"/>
              <w:jc w:val="center"/>
              <w:rPr>
                <w:spacing w:val="-2"/>
                <w:sz w:val="24"/>
                <w:szCs w:val="24"/>
              </w:rPr>
            </w:pPr>
          </w:p>
        </w:tc>
        <w:tc>
          <w:tcPr>
            <w:tcW w:w="406" w:type="pct"/>
            <w:vMerge w:val="continue"/>
            <w:tcBorders>
              <w:top w:val="single" w:color="000000" w:sz="12" w:space="0"/>
              <w:left w:val="single" w:color="000000" w:sz="12" w:space="0"/>
              <w:bottom w:val="single" w:color="000000" w:sz="12" w:space="0"/>
              <w:right w:val="single" w:color="000000" w:sz="12" w:space="0"/>
            </w:tcBorders>
          </w:tcPr>
          <w:p w14:paraId="04B0452F">
            <w:pPr>
              <w:pStyle w:val="25"/>
              <w:spacing w:before="120" w:after="120"/>
              <w:ind w:left="214" w:right="63" w:hanging="169"/>
              <w:jc w:val="center"/>
              <w:rPr>
                <w:spacing w:val="-2"/>
                <w:sz w:val="24"/>
                <w:szCs w:val="24"/>
              </w:rPr>
            </w:pPr>
          </w:p>
        </w:tc>
        <w:tc>
          <w:tcPr>
            <w:tcW w:w="396" w:type="pct"/>
            <w:vMerge w:val="continue"/>
            <w:tcBorders>
              <w:top w:val="single" w:color="000000" w:sz="12" w:space="0"/>
              <w:left w:val="single" w:color="000000" w:sz="12" w:space="0"/>
              <w:bottom w:val="single" w:color="000000" w:sz="12" w:space="0"/>
              <w:right w:val="single" w:color="000000" w:sz="12" w:space="0"/>
            </w:tcBorders>
          </w:tcPr>
          <w:p w14:paraId="795AC941">
            <w:pPr>
              <w:pStyle w:val="25"/>
              <w:spacing w:before="120" w:after="120"/>
              <w:ind w:left="214" w:right="63" w:hanging="169"/>
              <w:jc w:val="center"/>
              <w:rPr>
                <w:spacing w:val="-2"/>
                <w:sz w:val="24"/>
                <w:szCs w:val="24"/>
              </w:rPr>
            </w:pPr>
          </w:p>
        </w:tc>
        <w:tc>
          <w:tcPr>
            <w:tcW w:w="250" w:type="pct"/>
            <w:tcBorders>
              <w:top w:val="single" w:color="000000" w:sz="12" w:space="0"/>
              <w:left w:val="single" w:color="000000" w:sz="12" w:space="0"/>
              <w:bottom w:val="single" w:color="000000" w:sz="12" w:space="0"/>
              <w:right w:val="single" w:color="000000" w:sz="12" w:space="0"/>
            </w:tcBorders>
            <w:vAlign w:val="center"/>
          </w:tcPr>
          <w:p w14:paraId="2AE7B0C2">
            <w:pPr>
              <w:pStyle w:val="25"/>
              <w:spacing w:before="120" w:after="120"/>
              <w:ind w:left="214" w:right="63" w:hanging="169"/>
              <w:jc w:val="center"/>
              <w:rPr>
                <w:spacing w:val="-2"/>
                <w:sz w:val="24"/>
                <w:szCs w:val="24"/>
              </w:rPr>
            </w:pPr>
            <w:r>
              <w:rPr>
                <w:spacing w:val="-2"/>
                <w:sz w:val="24"/>
                <w:szCs w:val="24"/>
              </w:rPr>
              <w:t>日期</w:t>
            </w:r>
          </w:p>
        </w:tc>
        <w:tc>
          <w:tcPr>
            <w:tcW w:w="243" w:type="pct"/>
            <w:tcBorders>
              <w:top w:val="single" w:color="000000" w:sz="12" w:space="0"/>
              <w:left w:val="single" w:color="000000" w:sz="12" w:space="0"/>
              <w:bottom w:val="single" w:color="000000" w:sz="12" w:space="0"/>
              <w:right w:val="single" w:color="000000" w:sz="12" w:space="0"/>
            </w:tcBorders>
            <w:vAlign w:val="center"/>
          </w:tcPr>
          <w:p w14:paraId="1574DCEB">
            <w:pPr>
              <w:pStyle w:val="25"/>
              <w:spacing w:before="120" w:after="120"/>
              <w:ind w:left="214" w:right="63" w:hanging="169"/>
              <w:jc w:val="center"/>
              <w:rPr>
                <w:spacing w:val="-2"/>
                <w:sz w:val="24"/>
                <w:szCs w:val="24"/>
              </w:rPr>
            </w:pPr>
            <w:r>
              <w:rPr>
                <w:spacing w:val="-2"/>
                <w:sz w:val="24"/>
                <w:szCs w:val="24"/>
              </w:rPr>
              <w:t>时间</w:t>
            </w:r>
          </w:p>
        </w:tc>
        <w:tc>
          <w:tcPr>
            <w:tcW w:w="413" w:type="pct"/>
            <w:tcBorders>
              <w:top w:val="single" w:color="000000" w:sz="12" w:space="0"/>
              <w:left w:val="single" w:color="000000" w:sz="12" w:space="0"/>
              <w:bottom w:val="single" w:color="000000" w:sz="12" w:space="0"/>
              <w:right w:val="single" w:color="000000" w:sz="12" w:space="0"/>
            </w:tcBorders>
            <w:vAlign w:val="center"/>
          </w:tcPr>
          <w:p w14:paraId="3F4BE010">
            <w:pPr>
              <w:pStyle w:val="25"/>
              <w:spacing w:before="120" w:after="120"/>
              <w:ind w:left="214" w:right="63" w:hanging="169"/>
              <w:jc w:val="center"/>
              <w:rPr>
                <w:spacing w:val="-2"/>
                <w:sz w:val="24"/>
                <w:szCs w:val="24"/>
              </w:rPr>
            </w:pPr>
            <w:r>
              <w:rPr>
                <w:spacing w:val="-2"/>
                <w:sz w:val="24"/>
                <w:szCs w:val="24"/>
              </w:rPr>
              <w:t>开始压强 (kPa)</w:t>
            </w:r>
          </w:p>
        </w:tc>
        <w:tc>
          <w:tcPr>
            <w:tcW w:w="422" w:type="pct"/>
            <w:tcBorders>
              <w:top w:val="single" w:color="000000" w:sz="12" w:space="0"/>
              <w:left w:val="single" w:color="000000" w:sz="12" w:space="0"/>
              <w:bottom w:val="single" w:color="000000" w:sz="12" w:space="0"/>
              <w:right w:val="single" w:color="000000" w:sz="12" w:space="0"/>
            </w:tcBorders>
            <w:vAlign w:val="center"/>
          </w:tcPr>
          <w:p w14:paraId="5CDFA498">
            <w:pPr>
              <w:pStyle w:val="25"/>
              <w:spacing w:before="120" w:after="120"/>
              <w:ind w:left="214" w:right="63" w:hanging="169"/>
              <w:jc w:val="center"/>
              <w:rPr>
                <w:spacing w:val="-2"/>
                <w:sz w:val="24"/>
                <w:szCs w:val="24"/>
              </w:rPr>
            </w:pPr>
            <w:r>
              <w:rPr>
                <w:spacing w:val="-2"/>
                <w:sz w:val="24"/>
                <w:szCs w:val="24"/>
              </w:rPr>
              <w:t>结束压强 (kPa)</w:t>
            </w:r>
          </w:p>
        </w:tc>
        <w:tc>
          <w:tcPr>
            <w:tcW w:w="369" w:type="pct"/>
            <w:tcBorders>
              <w:top w:val="single" w:color="000000" w:sz="12" w:space="0"/>
              <w:left w:val="single" w:color="000000" w:sz="12" w:space="0"/>
              <w:bottom w:val="single" w:color="000000" w:sz="12" w:space="0"/>
              <w:right w:val="single" w:color="000000" w:sz="12" w:space="0"/>
            </w:tcBorders>
            <w:vAlign w:val="center"/>
          </w:tcPr>
          <w:p w14:paraId="0ABA52CF">
            <w:pPr>
              <w:pStyle w:val="25"/>
              <w:spacing w:before="120" w:after="120"/>
              <w:ind w:left="214" w:right="63" w:hanging="169"/>
              <w:jc w:val="center"/>
              <w:rPr>
                <w:spacing w:val="-2"/>
                <w:sz w:val="24"/>
                <w:szCs w:val="24"/>
              </w:rPr>
            </w:pPr>
            <w:r>
              <w:rPr>
                <w:spacing w:val="-2"/>
                <w:sz w:val="24"/>
                <w:szCs w:val="24"/>
              </w:rPr>
              <w:t>是否</w:t>
            </w:r>
          </w:p>
          <w:p w14:paraId="29077EC8">
            <w:pPr>
              <w:pStyle w:val="25"/>
              <w:spacing w:before="120" w:after="120"/>
              <w:ind w:left="214" w:right="63" w:hanging="169"/>
              <w:jc w:val="center"/>
              <w:rPr>
                <w:spacing w:val="-2"/>
                <w:sz w:val="24"/>
                <w:szCs w:val="24"/>
              </w:rPr>
            </w:pPr>
            <w:r>
              <w:rPr>
                <w:spacing w:val="-2"/>
                <w:sz w:val="24"/>
                <w:szCs w:val="24"/>
              </w:rPr>
              <w:t>通过</w:t>
            </w:r>
          </w:p>
        </w:tc>
      </w:tr>
      <w:tr w14:paraId="0213A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6" w:type="pct"/>
            <w:tcBorders>
              <w:top w:val="single" w:color="000000" w:sz="12" w:space="0"/>
              <w:left w:val="single" w:color="000000" w:sz="12" w:space="0"/>
              <w:bottom w:val="single" w:color="000000" w:sz="12" w:space="0"/>
              <w:right w:val="single" w:color="000000" w:sz="12" w:space="0"/>
            </w:tcBorders>
          </w:tcPr>
          <w:p w14:paraId="11F95D65">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2680A670">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307DD9C0">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67176407">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0765531D">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55322898">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004C3DBE">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07E9526E">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1D0C067A">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7161473B">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3BF699FB">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7E7E17DC">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46663F6B">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5B9BC64F">
            <w:pPr>
              <w:spacing w:before="60" w:line="200" w:lineRule="exact"/>
              <w:rPr>
                <w:rFonts w:ascii="Arial"/>
                <w:sz w:val="24"/>
              </w:rPr>
            </w:pPr>
          </w:p>
        </w:tc>
      </w:tr>
      <w:tr w14:paraId="2DEFD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6" w:type="pct"/>
            <w:tcBorders>
              <w:top w:val="single" w:color="000000" w:sz="12" w:space="0"/>
              <w:left w:val="single" w:color="000000" w:sz="12" w:space="0"/>
              <w:bottom w:val="single" w:color="000000" w:sz="12" w:space="0"/>
              <w:right w:val="single" w:color="000000" w:sz="12" w:space="0"/>
            </w:tcBorders>
          </w:tcPr>
          <w:p w14:paraId="471775E6">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6A12C9C7">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6DD3C43C">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701C360B">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055234C4">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3DBF04EA">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642C6A4F">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16F748B8">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27AD8387">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469B8CDD">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5877C450">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05B31C97">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435C7312">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4CB74571">
            <w:pPr>
              <w:spacing w:before="60" w:line="200" w:lineRule="exact"/>
              <w:rPr>
                <w:rFonts w:ascii="Arial"/>
                <w:sz w:val="24"/>
              </w:rPr>
            </w:pPr>
          </w:p>
        </w:tc>
      </w:tr>
      <w:tr w14:paraId="66C72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6" w:type="pct"/>
            <w:tcBorders>
              <w:top w:val="single" w:color="000000" w:sz="12" w:space="0"/>
              <w:left w:val="single" w:color="000000" w:sz="12" w:space="0"/>
              <w:bottom w:val="single" w:color="000000" w:sz="12" w:space="0"/>
              <w:right w:val="single" w:color="000000" w:sz="12" w:space="0"/>
            </w:tcBorders>
          </w:tcPr>
          <w:p w14:paraId="6589B15E">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6E665EC7">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684EED41">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36F0C549">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4DCD3FDC">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5617B98E">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6736663C">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2CFCE9FC">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7DA92862">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5D7F2E83">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73283B9E">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6984090B">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095BD386">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22CE7E11">
            <w:pPr>
              <w:spacing w:before="60" w:line="200" w:lineRule="exact"/>
              <w:rPr>
                <w:rFonts w:ascii="Arial"/>
                <w:sz w:val="24"/>
              </w:rPr>
            </w:pPr>
          </w:p>
        </w:tc>
      </w:tr>
      <w:tr w14:paraId="4C92F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6" w:type="pct"/>
            <w:tcBorders>
              <w:top w:val="single" w:color="000000" w:sz="12" w:space="0"/>
              <w:left w:val="single" w:color="000000" w:sz="12" w:space="0"/>
              <w:bottom w:val="single" w:color="000000" w:sz="12" w:space="0"/>
              <w:right w:val="single" w:color="000000" w:sz="12" w:space="0"/>
            </w:tcBorders>
          </w:tcPr>
          <w:p w14:paraId="018EAB87">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5956FFBB">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799D90C8">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2CC84AE2">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1AED8E41">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26771866">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41EFD127">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2837A5AD">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79DBB5E3">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7CDDAFB6">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5FAAC8D5">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35E78CFD">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0F18982F">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3D93077C">
            <w:pPr>
              <w:spacing w:before="60" w:line="200" w:lineRule="exact"/>
              <w:rPr>
                <w:rFonts w:ascii="Arial"/>
                <w:sz w:val="24"/>
              </w:rPr>
            </w:pPr>
          </w:p>
        </w:tc>
      </w:tr>
      <w:tr w14:paraId="674C4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6" w:type="pct"/>
            <w:tcBorders>
              <w:top w:val="single" w:color="000000" w:sz="12" w:space="0"/>
              <w:left w:val="single" w:color="000000" w:sz="12" w:space="0"/>
              <w:bottom w:val="single" w:color="000000" w:sz="12" w:space="0"/>
              <w:right w:val="single" w:color="000000" w:sz="12" w:space="0"/>
            </w:tcBorders>
          </w:tcPr>
          <w:p w14:paraId="3C9AB5DF">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1640022F">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30A07435">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1696D266">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33124EEC">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606A9298">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7386A968">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101DF2F8">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67FED50E">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3640666F">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5FA67CD3">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110F95F4">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1DF86951">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5DECFA54">
            <w:pPr>
              <w:spacing w:before="60" w:line="200" w:lineRule="exact"/>
              <w:rPr>
                <w:rFonts w:ascii="Arial"/>
                <w:sz w:val="24"/>
              </w:rPr>
            </w:pPr>
          </w:p>
        </w:tc>
      </w:tr>
      <w:tr w14:paraId="66A97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6" w:type="pct"/>
            <w:tcBorders>
              <w:top w:val="single" w:color="000000" w:sz="12" w:space="0"/>
              <w:left w:val="single" w:color="000000" w:sz="12" w:space="0"/>
              <w:bottom w:val="single" w:color="000000" w:sz="12" w:space="0"/>
              <w:right w:val="single" w:color="000000" w:sz="12" w:space="0"/>
            </w:tcBorders>
          </w:tcPr>
          <w:p w14:paraId="7372308A">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7EBD0ADA">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35563C9D">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486030C5">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2D3BD853">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6BE6AB10">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0B3D6686">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4D92D0C3">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145F9784">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32447227">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06DC1BC9">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4522AAC9">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5DFEC6C5">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121C6709">
            <w:pPr>
              <w:spacing w:before="60" w:line="200" w:lineRule="exact"/>
              <w:rPr>
                <w:rFonts w:ascii="Arial"/>
                <w:sz w:val="24"/>
              </w:rPr>
            </w:pPr>
          </w:p>
        </w:tc>
      </w:tr>
      <w:tr w14:paraId="7DD47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86" w:type="pct"/>
            <w:tcBorders>
              <w:top w:val="single" w:color="000000" w:sz="12" w:space="0"/>
              <w:left w:val="single" w:color="000000" w:sz="12" w:space="0"/>
              <w:bottom w:val="single" w:color="000000" w:sz="12" w:space="0"/>
              <w:right w:val="single" w:color="000000" w:sz="12" w:space="0"/>
            </w:tcBorders>
          </w:tcPr>
          <w:p w14:paraId="0DDC9224">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61DF23FA">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487410CD">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27B5604A">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743BCC39">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3516A2A4">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406A31D7">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4506CACA">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309E7E60">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4B62FE4B">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2FC25FC9">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4EE16202">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3779C536">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558F8454">
            <w:pPr>
              <w:spacing w:before="60" w:line="200" w:lineRule="exact"/>
              <w:rPr>
                <w:rFonts w:ascii="Arial"/>
                <w:sz w:val="24"/>
              </w:rPr>
            </w:pPr>
          </w:p>
        </w:tc>
      </w:tr>
      <w:tr w14:paraId="5449E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6" w:type="pct"/>
            <w:tcBorders>
              <w:top w:val="single" w:color="000000" w:sz="12" w:space="0"/>
              <w:left w:val="single" w:color="000000" w:sz="12" w:space="0"/>
              <w:bottom w:val="single" w:color="000000" w:sz="12" w:space="0"/>
              <w:right w:val="single" w:color="000000" w:sz="12" w:space="0"/>
            </w:tcBorders>
          </w:tcPr>
          <w:p w14:paraId="59FDB301">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74C9051A">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5ED5AB2F">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461503EA">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2F43F9AE">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5DCE6199">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51831F2B">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2E4FA6BD">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40BC6CA3">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17A08A1A">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04DEB59B">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6EE9AA96">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15422DF0">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26E903F7">
            <w:pPr>
              <w:spacing w:before="60" w:line="200" w:lineRule="exact"/>
              <w:rPr>
                <w:rFonts w:ascii="Arial"/>
                <w:sz w:val="24"/>
              </w:rPr>
            </w:pPr>
          </w:p>
        </w:tc>
      </w:tr>
      <w:tr w14:paraId="644FB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6" w:type="pct"/>
            <w:tcBorders>
              <w:top w:val="single" w:color="000000" w:sz="12" w:space="0"/>
              <w:left w:val="single" w:color="000000" w:sz="12" w:space="0"/>
              <w:bottom w:val="single" w:color="000000" w:sz="12" w:space="0"/>
              <w:right w:val="single" w:color="000000" w:sz="12" w:space="0"/>
            </w:tcBorders>
          </w:tcPr>
          <w:p w14:paraId="316C96EA">
            <w:pPr>
              <w:spacing w:before="60" w:line="200" w:lineRule="exact"/>
              <w:rPr>
                <w:rFonts w:ascii="Arial"/>
                <w:sz w:val="24"/>
              </w:rPr>
            </w:pPr>
          </w:p>
        </w:tc>
        <w:tc>
          <w:tcPr>
            <w:tcW w:w="378" w:type="pct"/>
            <w:tcBorders>
              <w:top w:val="single" w:color="000000" w:sz="12" w:space="0"/>
              <w:left w:val="single" w:color="000000" w:sz="12" w:space="0"/>
              <w:bottom w:val="single" w:color="000000" w:sz="12" w:space="0"/>
              <w:right w:val="single" w:color="000000" w:sz="12" w:space="0"/>
            </w:tcBorders>
          </w:tcPr>
          <w:p w14:paraId="2DE65EBC">
            <w:pPr>
              <w:spacing w:before="60" w:line="200" w:lineRule="exact"/>
              <w:rPr>
                <w:rFonts w:ascii="Arial"/>
                <w:sz w:val="24"/>
              </w:rPr>
            </w:pPr>
          </w:p>
        </w:tc>
        <w:tc>
          <w:tcPr>
            <w:tcW w:w="259" w:type="pct"/>
            <w:tcBorders>
              <w:top w:val="single" w:color="000000" w:sz="12" w:space="0"/>
              <w:left w:val="single" w:color="000000" w:sz="12" w:space="0"/>
              <w:bottom w:val="single" w:color="000000" w:sz="12" w:space="0"/>
              <w:right w:val="single" w:color="000000" w:sz="12" w:space="0"/>
            </w:tcBorders>
          </w:tcPr>
          <w:p w14:paraId="79CD0FF6">
            <w:pPr>
              <w:spacing w:before="60" w:line="200" w:lineRule="exact"/>
              <w:rPr>
                <w:rFonts w:ascii="Arial"/>
                <w:sz w:val="24"/>
              </w:rPr>
            </w:pPr>
          </w:p>
        </w:tc>
        <w:tc>
          <w:tcPr>
            <w:tcW w:w="384" w:type="pct"/>
            <w:tcBorders>
              <w:top w:val="single" w:color="000000" w:sz="12" w:space="0"/>
              <w:left w:val="single" w:color="000000" w:sz="12" w:space="0"/>
              <w:bottom w:val="single" w:color="000000" w:sz="12" w:space="0"/>
              <w:right w:val="single" w:color="000000" w:sz="12" w:space="0"/>
            </w:tcBorders>
          </w:tcPr>
          <w:p w14:paraId="4AEA3D03">
            <w:pPr>
              <w:spacing w:before="60" w:line="200" w:lineRule="exact"/>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1733849E">
            <w:pPr>
              <w:spacing w:before="60" w:line="200" w:lineRule="exact"/>
              <w:rPr>
                <w:rFonts w:ascii="Arial"/>
                <w:sz w:val="24"/>
              </w:rPr>
            </w:pPr>
          </w:p>
        </w:tc>
        <w:tc>
          <w:tcPr>
            <w:tcW w:w="296" w:type="pct"/>
            <w:tcBorders>
              <w:top w:val="single" w:color="000000" w:sz="12" w:space="0"/>
              <w:left w:val="single" w:color="000000" w:sz="12" w:space="0"/>
              <w:bottom w:val="single" w:color="000000" w:sz="12" w:space="0"/>
              <w:right w:val="single" w:color="000000" w:sz="12" w:space="0"/>
            </w:tcBorders>
          </w:tcPr>
          <w:p w14:paraId="2E7363C9">
            <w:pPr>
              <w:spacing w:before="60" w:line="200" w:lineRule="exact"/>
              <w:rPr>
                <w:rFonts w:ascii="Arial"/>
                <w:sz w:val="24"/>
              </w:rPr>
            </w:pPr>
          </w:p>
        </w:tc>
        <w:tc>
          <w:tcPr>
            <w:tcW w:w="390" w:type="pct"/>
            <w:tcBorders>
              <w:top w:val="single" w:color="000000" w:sz="12" w:space="0"/>
              <w:left w:val="single" w:color="000000" w:sz="12" w:space="0"/>
              <w:bottom w:val="single" w:color="000000" w:sz="12" w:space="0"/>
              <w:right w:val="single" w:color="000000" w:sz="12" w:space="0"/>
            </w:tcBorders>
          </w:tcPr>
          <w:p w14:paraId="1BC7ED50">
            <w:pPr>
              <w:spacing w:before="60" w:line="200" w:lineRule="exact"/>
              <w:rPr>
                <w:rFonts w:ascii="Arial"/>
                <w:sz w:val="24"/>
              </w:rPr>
            </w:pPr>
          </w:p>
        </w:tc>
        <w:tc>
          <w:tcPr>
            <w:tcW w:w="406" w:type="pct"/>
            <w:tcBorders>
              <w:top w:val="single" w:color="000000" w:sz="12" w:space="0"/>
              <w:left w:val="single" w:color="000000" w:sz="12" w:space="0"/>
              <w:bottom w:val="single" w:color="000000" w:sz="12" w:space="0"/>
              <w:right w:val="single" w:color="000000" w:sz="12" w:space="0"/>
            </w:tcBorders>
          </w:tcPr>
          <w:p w14:paraId="5FE7E0FD">
            <w:pPr>
              <w:spacing w:before="60" w:line="200" w:lineRule="exact"/>
              <w:rPr>
                <w:rFonts w:ascii="Arial"/>
                <w:sz w:val="24"/>
              </w:rPr>
            </w:pPr>
          </w:p>
        </w:tc>
        <w:tc>
          <w:tcPr>
            <w:tcW w:w="396" w:type="pct"/>
            <w:tcBorders>
              <w:top w:val="single" w:color="000000" w:sz="12" w:space="0"/>
              <w:left w:val="single" w:color="000000" w:sz="12" w:space="0"/>
              <w:bottom w:val="single" w:color="000000" w:sz="12" w:space="0"/>
              <w:right w:val="single" w:color="000000" w:sz="12" w:space="0"/>
            </w:tcBorders>
          </w:tcPr>
          <w:p w14:paraId="5DAF3C53">
            <w:pPr>
              <w:spacing w:before="60" w:line="200" w:lineRule="exact"/>
              <w:rPr>
                <w:rFonts w:ascii="Arial"/>
                <w:sz w:val="24"/>
              </w:rPr>
            </w:pPr>
          </w:p>
        </w:tc>
        <w:tc>
          <w:tcPr>
            <w:tcW w:w="250" w:type="pct"/>
            <w:tcBorders>
              <w:top w:val="single" w:color="000000" w:sz="12" w:space="0"/>
              <w:left w:val="single" w:color="000000" w:sz="12" w:space="0"/>
              <w:bottom w:val="single" w:color="000000" w:sz="12" w:space="0"/>
              <w:right w:val="single" w:color="000000" w:sz="12" w:space="0"/>
            </w:tcBorders>
          </w:tcPr>
          <w:p w14:paraId="26AA2401">
            <w:pPr>
              <w:spacing w:before="60" w:line="200" w:lineRule="exact"/>
              <w:rPr>
                <w:rFonts w:ascii="Arial"/>
                <w:sz w:val="24"/>
              </w:rPr>
            </w:pPr>
          </w:p>
        </w:tc>
        <w:tc>
          <w:tcPr>
            <w:tcW w:w="243" w:type="pct"/>
            <w:tcBorders>
              <w:top w:val="single" w:color="000000" w:sz="12" w:space="0"/>
              <w:left w:val="single" w:color="000000" w:sz="12" w:space="0"/>
              <w:bottom w:val="single" w:color="000000" w:sz="12" w:space="0"/>
              <w:right w:val="single" w:color="000000" w:sz="12" w:space="0"/>
            </w:tcBorders>
          </w:tcPr>
          <w:p w14:paraId="68340AC2">
            <w:pPr>
              <w:spacing w:before="60" w:line="200" w:lineRule="exact"/>
              <w:rPr>
                <w:rFonts w:ascii="Arial"/>
                <w:sz w:val="24"/>
              </w:rPr>
            </w:pPr>
          </w:p>
        </w:tc>
        <w:tc>
          <w:tcPr>
            <w:tcW w:w="413" w:type="pct"/>
            <w:tcBorders>
              <w:top w:val="single" w:color="000000" w:sz="12" w:space="0"/>
              <w:left w:val="single" w:color="000000" w:sz="12" w:space="0"/>
              <w:bottom w:val="single" w:color="000000" w:sz="12" w:space="0"/>
              <w:right w:val="single" w:color="000000" w:sz="12" w:space="0"/>
            </w:tcBorders>
          </w:tcPr>
          <w:p w14:paraId="2F8DB0DC">
            <w:pPr>
              <w:spacing w:before="60" w:line="200" w:lineRule="exact"/>
              <w:rPr>
                <w:rFonts w:ascii="Arial"/>
                <w:sz w:val="24"/>
              </w:rPr>
            </w:pPr>
          </w:p>
        </w:tc>
        <w:tc>
          <w:tcPr>
            <w:tcW w:w="422" w:type="pct"/>
            <w:tcBorders>
              <w:top w:val="single" w:color="000000" w:sz="12" w:space="0"/>
              <w:left w:val="single" w:color="000000" w:sz="12" w:space="0"/>
              <w:bottom w:val="single" w:color="000000" w:sz="12" w:space="0"/>
              <w:right w:val="single" w:color="000000" w:sz="12" w:space="0"/>
            </w:tcBorders>
          </w:tcPr>
          <w:p w14:paraId="69C6AF7A">
            <w:pPr>
              <w:spacing w:before="60" w:line="200" w:lineRule="exact"/>
              <w:rPr>
                <w:rFonts w:ascii="Arial"/>
                <w:sz w:val="24"/>
              </w:rPr>
            </w:pPr>
          </w:p>
        </w:tc>
        <w:tc>
          <w:tcPr>
            <w:tcW w:w="369" w:type="pct"/>
            <w:tcBorders>
              <w:top w:val="single" w:color="000000" w:sz="12" w:space="0"/>
              <w:left w:val="single" w:color="000000" w:sz="12" w:space="0"/>
              <w:bottom w:val="single" w:color="000000" w:sz="12" w:space="0"/>
              <w:right w:val="single" w:color="000000" w:sz="12" w:space="0"/>
            </w:tcBorders>
          </w:tcPr>
          <w:p w14:paraId="0646C712">
            <w:pPr>
              <w:spacing w:before="60" w:line="200" w:lineRule="exact"/>
              <w:rPr>
                <w:rFonts w:ascii="Arial"/>
                <w:sz w:val="24"/>
              </w:rPr>
            </w:pPr>
          </w:p>
        </w:tc>
      </w:tr>
      <w:tr w14:paraId="0420A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616BEAEF">
            <w:pPr>
              <w:pStyle w:val="25"/>
              <w:spacing w:before="60" w:after="60"/>
              <w:ind w:left="74"/>
              <w:rPr>
                <w:snapToGrid w:val="0"/>
                <w:color w:val="000000"/>
                <w:spacing w:val="2"/>
                <w:kern w:val="0"/>
                <w:sz w:val="24"/>
                <w:szCs w:val="24"/>
                <w:lang w:eastAsia="zh-CN"/>
              </w:rPr>
            </w:pPr>
            <w:r>
              <w:rPr>
                <w:snapToGrid w:val="0"/>
                <w:color w:val="000000"/>
                <w:spacing w:val="2"/>
                <w:kern w:val="0"/>
                <w:sz w:val="24"/>
                <w:szCs w:val="24"/>
                <w:lang w:eastAsia="zh-CN"/>
              </w:rPr>
              <w:t>施工单位：                                      检测单位：</w:t>
            </w:r>
          </w:p>
        </w:tc>
      </w:tr>
      <w:tr w14:paraId="3C323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74BAC55C">
            <w:pPr>
              <w:pStyle w:val="25"/>
              <w:spacing w:before="60" w:after="60"/>
              <w:ind w:left="74"/>
              <w:rPr>
                <w:snapToGrid w:val="0"/>
                <w:color w:val="000000"/>
                <w:spacing w:val="2"/>
                <w:kern w:val="0"/>
                <w:sz w:val="24"/>
                <w:szCs w:val="24"/>
                <w:lang w:eastAsia="zh-CN"/>
              </w:rPr>
            </w:pPr>
            <w:r>
              <w:rPr>
                <w:snapToGrid w:val="0"/>
                <w:color w:val="000000"/>
                <w:spacing w:val="2"/>
                <w:kern w:val="0"/>
                <w:sz w:val="24"/>
                <w:szCs w:val="24"/>
                <w:lang w:eastAsia="zh-CN"/>
              </w:rPr>
              <w:t xml:space="preserve">现场监理(签章)                 技术负责人(签章):                 记录(签章):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填报日期：</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年</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月   日</w:t>
            </w:r>
          </w:p>
        </w:tc>
      </w:tr>
    </w:tbl>
    <w:p w14:paraId="6E986E3D">
      <w:pPr>
        <w:pStyle w:val="4"/>
        <w:spacing w:before="224" w:line="219" w:lineRule="auto"/>
        <w:rPr>
          <w:rFonts w:ascii="Times New Roman" w:hAnsi="Times New Roman" w:cs="Times New Roman"/>
          <w:sz w:val="24"/>
          <w:szCs w:val="21"/>
          <w:lang w:eastAsia="zh-CN"/>
        </w:rPr>
      </w:pPr>
    </w:p>
    <w:p w14:paraId="68CA0142">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289F3EC8">
      <w:pPr>
        <w:pStyle w:val="4"/>
        <w:spacing w:line="360" w:lineRule="auto"/>
        <w:rPr>
          <w:rFonts w:ascii="Times New Roman" w:hAnsi="Times New Roman" w:eastAsia="Times New Roman" w:cs="Times New Roman"/>
          <w:b/>
          <w:bCs/>
          <w:spacing w:val="-5"/>
          <w:sz w:val="28"/>
          <w:szCs w:val="28"/>
          <w:lang w:eastAsia="zh-CN"/>
        </w:rPr>
      </w:pPr>
      <w:r>
        <w:rPr>
          <w:rFonts w:ascii="Times New Roman" w:hAnsi="Times New Roman" w:eastAsia="Times New Roman" w:cs="Times New Roman"/>
          <w:b/>
          <w:bCs/>
          <w:spacing w:val="-5"/>
          <w:sz w:val="28"/>
          <w:szCs w:val="28"/>
          <w:lang w:eastAsia="zh-CN"/>
        </w:rPr>
        <w:t xml:space="preserve">B.0.3 </w:t>
      </w:r>
      <w:r>
        <w:rPr>
          <w:rFonts w:ascii="Times New Roman" w:hAnsi="Times New Roman" w:eastAsia="Times New Roman" w:cs="Times New Roman"/>
          <w:spacing w:val="-5"/>
          <w:sz w:val="28"/>
          <w:szCs w:val="28"/>
          <w:lang w:eastAsia="zh-CN"/>
        </w:rPr>
        <w:t>高密度聚乙烯土工膜挤压焊接检测记录可按表B.0.3填写。</w:t>
      </w:r>
    </w:p>
    <w:p w14:paraId="00385787">
      <w:pPr>
        <w:pStyle w:val="4"/>
        <w:spacing w:before="60"/>
        <w:jc w:val="center"/>
        <w:rPr>
          <w:b/>
          <w:bCs/>
          <w:spacing w:val="-3"/>
          <w:sz w:val="24"/>
          <w:szCs w:val="24"/>
          <w:lang w:eastAsia="zh-CN"/>
        </w:rPr>
      </w:pPr>
      <w:r>
        <w:rPr>
          <w:b/>
          <w:bCs/>
          <w:spacing w:val="-3"/>
          <w:sz w:val="24"/>
          <w:szCs w:val="24"/>
          <w:lang w:eastAsia="zh-CN"/>
        </w:rPr>
        <w:drawing>
          <wp:anchor distT="0" distB="0" distL="0" distR="0" simplePos="0" relativeHeight="251662336" behindDoc="0" locked="0" layoutInCell="1" allowOverlap="1">
            <wp:simplePos x="0" y="0"/>
            <wp:positionH relativeFrom="column">
              <wp:posOffset>0</wp:posOffset>
            </wp:positionH>
            <wp:positionV relativeFrom="paragraph">
              <wp:posOffset>3327400</wp:posOffset>
            </wp:positionV>
            <wp:extent cx="120650" cy="139700"/>
            <wp:effectExtent l="0" t="0" r="1270" b="1270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
                    <a:stretch>
                      <a:fillRect/>
                    </a:stretch>
                  </pic:blipFill>
                  <pic:spPr>
                    <a:xfrm>
                      <a:off x="0" y="0"/>
                      <a:ext cx="120637" cy="139711"/>
                    </a:xfrm>
                    <a:prstGeom prst="rect">
                      <a:avLst/>
                    </a:prstGeom>
                  </pic:spPr>
                </pic:pic>
              </a:graphicData>
            </a:graphic>
          </wp:anchor>
        </w:drawing>
      </w:r>
      <w:r>
        <w:rPr>
          <w:b/>
          <w:bCs/>
          <w:spacing w:val="-3"/>
          <w:sz w:val="24"/>
          <w:szCs w:val="24"/>
          <w:lang w:eastAsia="zh-CN"/>
        </w:rPr>
        <w:t>表B.0.3</w:t>
      </w:r>
      <w:r>
        <w:rPr>
          <w:rFonts w:hint="eastAsia"/>
          <w:b/>
          <w:bCs/>
          <w:spacing w:val="-3"/>
          <w:sz w:val="24"/>
          <w:szCs w:val="24"/>
          <w:lang w:eastAsia="zh-CN"/>
        </w:rPr>
        <w:t xml:space="preserve"> </w:t>
      </w:r>
      <w:r>
        <w:rPr>
          <w:b/>
          <w:bCs/>
          <w:spacing w:val="-3"/>
          <w:sz w:val="24"/>
          <w:szCs w:val="24"/>
          <w:lang w:eastAsia="zh-CN"/>
        </w:rPr>
        <w:t>高密度聚乙烯土工膜挤压焊接检测记录表</w:t>
      </w:r>
    </w:p>
    <w:p w14:paraId="0C82737E">
      <w:pPr>
        <w:spacing w:line="24" w:lineRule="exact"/>
      </w:pP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5"/>
        <w:gridCol w:w="733"/>
        <w:gridCol w:w="702"/>
        <w:gridCol w:w="1183"/>
        <w:gridCol w:w="1197"/>
        <w:gridCol w:w="702"/>
        <w:gridCol w:w="1211"/>
        <w:gridCol w:w="1167"/>
        <w:gridCol w:w="1197"/>
        <w:gridCol w:w="1211"/>
        <w:gridCol w:w="674"/>
        <w:gridCol w:w="733"/>
        <w:gridCol w:w="958"/>
        <w:gridCol w:w="1145"/>
      </w:tblGrid>
      <w:tr w14:paraId="1637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03956B04">
            <w:pPr>
              <w:pStyle w:val="25"/>
              <w:spacing w:before="60" w:after="60" w:line="221" w:lineRule="auto"/>
              <w:ind w:left="57"/>
            </w:pPr>
            <w:r>
              <w:rPr>
                <w:rFonts w:hint="eastAsia"/>
                <w:spacing w:val="1"/>
                <w:sz w:val="24"/>
                <w:szCs w:val="24"/>
                <w:lang w:eastAsia="zh-CN"/>
              </w:rPr>
              <w:t>项目名称：                                                                                         第 页 共 页</w:t>
            </w:r>
          </w:p>
        </w:tc>
      </w:tr>
      <w:tr w14:paraId="7424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vMerge w:val="restart"/>
            <w:tcBorders>
              <w:top w:val="single" w:color="000000" w:sz="12" w:space="0"/>
              <w:left w:val="single" w:color="000000" w:sz="12" w:space="0"/>
              <w:bottom w:val="single" w:color="000000" w:sz="12" w:space="0"/>
              <w:right w:val="single" w:color="000000" w:sz="12" w:space="0"/>
            </w:tcBorders>
          </w:tcPr>
          <w:p w14:paraId="5D4C42C5">
            <w:pPr>
              <w:pStyle w:val="25"/>
              <w:spacing w:before="120" w:after="120"/>
              <w:ind w:left="214" w:right="63" w:hanging="169"/>
              <w:jc w:val="center"/>
              <w:rPr>
                <w:spacing w:val="-2"/>
                <w:sz w:val="24"/>
                <w:szCs w:val="24"/>
              </w:rPr>
            </w:pPr>
          </w:p>
          <w:p w14:paraId="51AA5E93">
            <w:pPr>
              <w:pStyle w:val="25"/>
              <w:spacing w:before="120" w:after="120"/>
              <w:ind w:left="214" w:right="63" w:hanging="169"/>
              <w:jc w:val="center"/>
              <w:rPr>
                <w:spacing w:val="-2"/>
                <w:sz w:val="24"/>
                <w:szCs w:val="24"/>
              </w:rPr>
            </w:pPr>
            <w:r>
              <w:rPr>
                <w:spacing w:val="-2"/>
                <w:sz w:val="24"/>
                <w:szCs w:val="24"/>
              </w:rPr>
              <w:t>焊缝编号</w:t>
            </w:r>
          </w:p>
        </w:tc>
        <w:tc>
          <w:tcPr>
            <w:tcW w:w="262" w:type="pct"/>
            <w:vMerge w:val="restart"/>
            <w:tcBorders>
              <w:top w:val="single" w:color="000000" w:sz="12" w:space="0"/>
              <w:left w:val="single" w:color="000000" w:sz="12" w:space="0"/>
              <w:bottom w:val="single" w:color="000000" w:sz="12" w:space="0"/>
              <w:right w:val="single" w:color="000000" w:sz="12" w:space="0"/>
            </w:tcBorders>
          </w:tcPr>
          <w:p w14:paraId="0FFB1388">
            <w:pPr>
              <w:pStyle w:val="25"/>
              <w:spacing w:before="120" w:after="120"/>
              <w:ind w:left="214" w:right="63" w:hanging="169"/>
              <w:jc w:val="center"/>
              <w:rPr>
                <w:spacing w:val="-2"/>
                <w:sz w:val="24"/>
                <w:szCs w:val="24"/>
              </w:rPr>
            </w:pPr>
          </w:p>
          <w:p w14:paraId="2E2911FD">
            <w:pPr>
              <w:pStyle w:val="25"/>
              <w:spacing w:before="120" w:after="120"/>
              <w:ind w:left="214" w:right="63" w:hanging="169"/>
              <w:jc w:val="center"/>
              <w:rPr>
                <w:spacing w:val="-2"/>
                <w:sz w:val="24"/>
                <w:szCs w:val="24"/>
              </w:rPr>
            </w:pPr>
            <w:r>
              <w:rPr>
                <w:spacing w:val="-2"/>
                <w:sz w:val="24"/>
                <w:szCs w:val="24"/>
              </w:rPr>
              <w:t>日期</w:t>
            </w:r>
          </w:p>
        </w:tc>
        <w:tc>
          <w:tcPr>
            <w:tcW w:w="251" w:type="pct"/>
            <w:vMerge w:val="restart"/>
            <w:tcBorders>
              <w:top w:val="single" w:color="000000" w:sz="12" w:space="0"/>
              <w:left w:val="single" w:color="000000" w:sz="12" w:space="0"/>
              <w:bottom w:val="single" w:color="000000" w:sz="12" w:space="0"/>
              <w:right w:val="single" w:color="000000" w:sz="12" w:space="0"/>
            </w:tcBorders>
          </w:tcPr>
          <w:p w14:paraId="78A3D89E">
            <w:pPr>
              <w:pStyle w:val="25"/>
              <w:spacing w:before="120" w:after="120"/>
              <w:ind w:left="214" w:right="63" w:hanging="169"/>
              <w:jc w:val="center"/>
              <w:rPr>
                <w:spacing w:val="-2"/>
                <w:sz w:val="24"/>
                <w:szCs w:val="24"/>
              </w:rPr>
            </w:pPr>
          </w:p>
          <w:p w14:paraId="40BA3111">
            <w:pPr>
              <w:pStyle w:val="25"/>
              <w:spacing w:before="120" w:after="120"/>
              <w:ind w:left="214" w:right="63" w:hanging="169"/>
              <w:jc w:val="center"/>
              <w:rPr>
                <w:spacing w:val="-2"/>
                <w:sz w:val="24"/>
                <w:szCs w:val="24"/>
              </w:rPr>
            </w:pPr>
            <w:r>
              <w:rPr>
                <w:spacing w:val="-2"/>
                <w:sz w:val="24"/>
                <w:szCs w:val="24"/>
              </w:rPr>
              <w:t>时间</w:t>
            </w:r>
          </w:p>
        </w:tc>
        <w:tc>
          <w:tcPr>
            <w:tcW w:w="423" w:type="pct"/>
            <w:vMerge w:val="restart"/>
            <w:tcBorders>
              <w:top w:val="single" w:color="000000" w:sz="12" w:space="0"/>
              <w:left w:val="single" w:color="000000" w:sz="12" w:space="0"/>
              <w:bottom w:val="single" w:color="000000" w:sz="12" w:space="0"/>
              <w:right w:val="single" w:color="000000" w:sz="12" w:space="0"/>
            </w:tcBorders>
          </w:tcPr>
          <w:p w14:paraId="41F922D5">
            <w:pPr>
              <w:pStyle w:val="25"/>
              <w:spacing w:before="120" w:after="120"/>
              <w:ind w:left="214" w:right="63" w:hanging="169"/>
              <w:jc w:val="center"/>
              <w:rPr>
                <w:spacing w:val="-2"/>
                <w:sz w:val="24"/>
                <w:szCs w:val="24"/>
              </w:rPr>
            </w:pPr>
          </w:p>
          <w:p w14:paraId="0DBA0E10">
            <w:pPr>
              <w:pStyle w:val="25"/>
              <w:spacing w:before="120" w:after="120"/>
              <w:ind w:left="214" w:right="63" w:hanging="169"/>
              <w:jc w:val="center"/>
              <w:rPr>
                <w:spacing w:val="-2"/>
                <w:sz w:val="24"/>
                <w:szCs w:val="24"/>
              </w:rPr>
            </w:pPr>
            <w:r>
              <w:rPr>
                <w:spacing w:val="-2"/>
                <w:sz w:val="24"/>
                <w:szCs w:val="24"/>
              </w:rPr>
              <w:t>设备编号</w:t>
            </w:r>
          </w:p>
        </w:tc>
        <w:tc>
          <w:tcPr>
            <w:tcW w:w="428" w:type="pct"/>
            <w:vMerge w:val="restart"/>
            <w:tcBorders>
              <w:top w:val="single" w:color="000000" w:sz="12" w:space="0"/>
              <w:left w:val="single" w:color="000000" w:sz="12" w:space="0"/>
              <w:bottom w:val="single" w:color="000000" w:sz="12" w:space="0"/>
              <w:right w:val="single" w:color="000000" w:sz="12" w:space="0"/>
            </w:tcBorders>
          </w:tcPr>
          <w:p w14:paraId="35BA36A2">
            <w:pPr>
              <w:pStyle w:val="25"/>
              <w:spacing w:before="120" w:after="120"/>
              <w:ind w:left="214" w:right="63" w:hanging="169"/>
              <w:jc w:val="center"/>
              <w:rPr>
                <w:spacing w:val="-2"/>
                <w:sz w:val="24"/>
                <w:szCs w:val="24"/>
              </w:rPr>
            </w:pPr>
          </w:p>
          <w:p w14:paraId="43CEAEE1">
            <w:pPr>
              <w:pStyle w:val="25"/>
              <w:spacing w:before="120" w:after="120"/>
              <w:ind w:left="214" w:right="63" w:hanging="169"/>
              <w:jc w:val="center"/>
              <w:rPr>
                <w:spacing w:val="-2"/>
                <w:sz w:val="24"/>
                <w:szCs w:val="24"/>
              </w:rPr>
            </w:pPr>
            <w:r>
              <w:rPr>
                <w:spacing w:val="-2"/>
                <w:sz w:val="24"/>
                <w:szCs w:val="24"/>
              </w:rPr>
              <w:t>技工编号</w:t>
            </w:r>
          </w:p>
        </w:tc>
        <w:tc>
          <w:tcPr>
            <w:tcW w:w="251" w:type="pct"/>
            <w:vMerge w:val="restart"/>
            <w:tcBorders>
              <w:top w:val="single" w:color="000000" w:sz="12" w:space="0"/>
              <w:left w:val="single" w:color="000000" w:sz="12" w:space="0"/>
              <w:bottom w:val="single" w:color="000000" w:sz="12" w:space="0"/>
              <w:right w:val="single" w:color="000000" w:sz="12" w:space="0"/>
            </w:tcBorders>
            <w:vAlign w:val="center"/>
          </w:tcPr>
          <w:p w14:paraId="6B17D942">
            <w:pPr>
              <w:pStyle w:val="25"/>
              <w:spacing w:before="120" w:after="120"/>
              <w:ind w:left="214" w:right="63" w:hanging="169"/>
              <w:jc w:val="center"/>
              <w:rPr>
                <w:spacing w:val="-2"/>
                <w:sz w:val="24"/>
                <w:szCs w:val="24"/>
              </w:rPr>
            </w:pPr>
            <w:r>
              <w:rPr>
                <w:spacing w:val="-2"/>
                <w:sz w:val="24"/>
                <w:szCs w:val="24"/>
              </w:rPr>
              <w:t>长度 (m)</w:t>
            </w:r>
          </w:p>
        </w:tc>
        <w:tc>
          <w:tcPr>
            <w:tcW w:w="433" w:type="pct"/>
            <w:vMerge w:val="restart"/>
            <w:tcBorders>
              <w:top w:val="single" w:color="000000" w:sz="12" w:space="0"/>
              <w:left w:val="single" w:color="000000" w:sz="12" w:space="0"/>
              <w:bottom w:val="single" w:color="000000" w:sz="12" w:space="0"/>
              <w:right w:val="single" w:color="000000" w:sz="12" w:space="0"/>
            </w:tcBorders>
            <w:vAlign w:val="center"/>
          </w:tcPr>
          <w:p w14:paraId="0CF6ABEC">
            <w:pPr>
              <w:pStyle w:val="25"/>
              <w:spacing w:before="120" w:after="120"/>
              <w:ind w:left="214" w:right="63" w:hanging="169"/>
              <w:jc w:val="center"/>
              <w:rPr>
                <w:spacing w:val="-2"/>
                <w:sz w:val="24"/>
                <w:szCs w:val="24"/>
              </w:rPr>
            </w:pPr>
            <w:r>
              <w:rPr>
                <w:spacing w:val="-2"/>
                <w:sz w:val="24"/>
                <w:szCs w:val="24"/>
              </w:rPr>
              <w:t>环境温度 (℃)</w:t>
            </w:r>
          </w:p>
        </w:tc>
        <w:tc>
          <w:tcPr>
            <w:tcW w:w="417" w:type="pct"/>
            <w:vMerge w:val="restart"/>
            <w:tcBorders>
              <w:top w:val="single" w:color="000000" w:sz="12" w:space="0"/>
              <w:left w:val="single" w:color="000000" w:sz="12" w:space="0"/>
              <w:bottom w:val="single" w:color="000000" w:sz="12" w:space="0"/>
              <w:right w:val="single" w:color="000000" w:sz="12" w:space="0"/>
            </w:tcBorders>
            <w:vAlign w:val="center"/>
          </w:tcPr>
          <w:p w14:paraId="6E2E226C">
            <w:pPr>
              <w:pStyle w:val="25"/>
              <w:spacing w:before="120" w:after="120"/>
              <w:ind w:left="214" w:right="63" w:hanging="169"/>
              <w:jc w:val="center"/>
              <w:rPr>
                <w:spacing w:val="-2"/>
                <w:sz w:val="24"/>
                <w:szCs w:val="24"/>
              </w:rPr>
            </w:pPr>
            <w:r>
              <w:rPr>
                <w:spacing w:val="-2"/>
                <w:sz w:val="24"/>
                <w:szCs w:val="24"/>
              </w:rPr>
              <w:t>预热温度 (℃)</w:t>
            </w:r>
          </w:p>
        </w:tc>
        <w:tc>
          <w:tcPr>
            <w:tcW w:w="428" w:type="pct"/>
            <w:vMerge w:val="restart"/>
            <w:tcBorders>
              <w:top w:val="single" w:color="000000" w:sz="12" w:space="0"/>
              <w:left w:val="single" w:color="000000" w:sz="12" w:space="0"/>
              <w:bottom w:val="single" w:color="000000" w:sz="12" w:space="0"/>
              <w:right w:val="single" w:color="000000" w:sz="12" w:space="0"/>
            </w:tcBorders>
            <w:vAlign w:val="center"/>
          </w:tcPr>
          <w:p w14:paraId="7AEB7115">
            <w:pPr>
              <w:pStyle w:val="25"/>
              <w:spacing w:before="120" w:after="120"/>
              <w:ind w:left="214" w:right="63" w:hanging="169"/>
              <w:jc w:val="center"/>
              <w:rPr>
                <w:spacing w:val="-2"/>
                <w:sz w:val="24"/>
                <w:szCs w:val="24"/>
              </w:rPr>
            </w:pPr>
            <w:r>
              <w:rPr>
                <w:spacing w:val="-2"/>
                <w:sz w:val="24"/>
                <w:szCs w:val="24"/>
              </w:rPr>
              <w:t>焊接温度 (℃)</w:t>
            </w:r>
          </w:p>
        </w:tc>
        <w:tc>
          <w:tcPr>
            <w:tcW w:w="433" w:type="pct"/>
            <w:vMerge w:val="restart"/>
            <w:tcBorders>
              <w:top w:val="single" w:color="000000" w:sz="12" w:space="0"/>
              <w:left w:val="single" w:color="000000" w:sz="12" w:space="0"/>
              <w:bottom w:val="single" w:color="000000" w:sz="12" w:space="0"/>
              <w:right w:val="single" w:color="000000" w:sz="12" w:space="0"/>
            </w:tcBorders>
            <w:vAlign w:val="center"/>
          </w:tcPr>
          <w:p w14:paraId="355E298B">
            <w:pPr>
              <w:pStyle w:val="25"/>
              <w:spacing w:before="120" w:after="120"/>
              <w:ind w:left="214" w:right="63" w:hanging="169"/>
              <w:jc w:val="center"/>
              <w:rPr>
                <w:spacing w:val="-2"/>
                <w:sz w:val="24"/>
                <w:szCs w:val="24"/>
              </w:rPr>
            </w:pPr>
            <w:r>
              <w:rPr>
                <w:spacing w:val="-2"/>
                <w:sz w:val="24"/>
                <w:szCs w:val="24"/>
              </w:rPr>
              <w:t>焊接速度 (m/min)</w:t>
            </w:r>
          </w:p>
        </w:tc>
        <w:tc>
          <w:tcPr>
            <w:tcW w:w="1248" w:type="pct"/>
            <w:gridSpan w:val="4"/>
            <w:tcBorders>
              <w:top w:val="single" w:color="000000" w:sz="12" w:space="0"/>
              <w:left w:val="single" w:color="000000" w:sz="12" w:space="0"/>
              <w:bottom w:val="single" w:color="000000" w:sz="12" w:space="0"/>
              <w:right w:val="single" w:color="000000" w:sz="12" w:space="0"/>
            </w:tcBorders>
            <w:vAlign w:val="center"/>
          </w:tcPr>
          <w:p w14:paraId="786C7729">
            <w:pPr>
              <w:pStyle w:val="25"/>
              <w:spacing w:before="120" w:after="120"/>
              <w:ind w:left="214" w:right="63" w:hanging="169"/>
              <w:jc w:val="center"/>
              <w:rPr>
                <w:spacing w:val="-2"/>
                <w:sz w:val="24"/>
                <w:szCs w:val="24"/>
              </w:rPr>
            </w:pPr>
            <w:r>
              <w:rPr>
                <w:spacing w:val="-2"/>
                <w:sz w:val="24"/>
                <w:szCs w:val="24"/>
              </w:rPr>
              <w:t>真空检测</w:t>
            </w:r>
          </w:p>
        </w:tc>
      </w:tr>
      <w:tr w14:paraId="261D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20" w:type="pct"/>
            <w:vMerge w:val="continue"/>
            <w:tcBorders>
              <w:top w:val="single" w:color="000000" w:sz="12" w:space="0"/>
              <w:left w:val="single" w:color="000000" w:sz="12" w:space="0"/>
              <w:bottom w:val="single" w:color="000000" w:sz="12" w:space="0"/>
              <w:right w:val="single" w:color="000000" w:sz="12" w:space="0"/>
            </w:tcBorders>
          </w:tcPr>
          <w:p w14:paraId="2F9932A9">
            <w:pPr>
              <w:pStyle w:val="25"/>
              <w:spacing w:before="120" w:after="120"/>
              <w:ind w:left="214" w:right="63" w:hanging="169"/>
              <w:jc w:val="center"/>
              <w:rPr>
                <w:spacing w:val="-2"/>
                <w:sz w:val="24"/>
                <w:szCs w:val="24"/>
              </w:rPr>
            </w:pPr>
          </w:p>
        </w:tc>
        <w:tc>
          <w:tcPr>
            <w:tcW w:w="262" w:type="pct"/>
            <w:vMerge w:val="continue"/>
            <w:tcBorders>
              <w:top w:val="single" w:color="000000" w:sz="12" w:space="0"/>
              <w:left w:val="single" w:color="000000" w:sz="12" w:space="0"/>
              <w:bottom w:val="single" w:color="000000" w:sz="12" w:space="0"/>
              <w:right w:val="single" w:color="000000" w:sz="12" w:space="0"/>
            </w:tcBorders>
          </w:tcPr>
          <w:p w14:paraId="23393FDC">
            <w:pPr>
              <w:pStyle w:val="25"/>
              <w:spacing w:before="120" w:after="120"/>
              <w:ind w:left="214" w:right="63" w:hanging="169"/>
              <w:jc w:val="center"/>
              <w:rPr>
                <w:spacing w:val="-2"/>
                <w:sz w:val="24"/>
                <w:szCs w:val="24"/>
              </w:rPr>
            </w:pPr>
          </w:p>
        </w:tc>
        <w:tc>
          <w:tcPr>
            <w:tcW w:w="251" w:type="pct"/>
            <w:vMerge w:val="continue"/>
            <w:tcBorders>
              <w:top w:val="single" w:color="000000" w:sz="12" w:space="0"/>
              <w:left w:val="single" w:color="000000" w:sz="12" w:space="0"/>
              <w:bottom w:val="single" w:color="000000" w:sz="12" w:space="0"/>
              <w:right w:val="single" w:color="000000" w:sz="12" w:space="0"/>
            </w:tcBorders>
          </w:tcPr>
          <w:p w14:paraId="665392D1">
            <w:pPr>
              <w:pStyle w:val="25"/>
              <w:spacing w:before="120" w:after="120"/>
              <w:ind w:left="214" w:right="63" w:hanging="169"/>
              <w:jc w:val="center"/>
              <w:rPr>
                <w:spacing w:val="-2"/>
                <w:sz w:val="24"/>
                <w:szCs w:val="24"/>
              </w:rPr>
            </w:pPr>
          </w:p>
        </w:tc>
        <w:tc>
          <w:tcPr>
            <w:tcW w:w="423" w:type="pct"/>
            <w:vMerge w:val="continue"/>
            <w:tcBorders>
              <w:top w:val="single" w:color="000000" w:sz="12" w:space="0"/>
              <w:left w:val="single" w:color="000000" w:sz="12" w:space="0"/>
              <w:bottom w:val="single" w:color="000000" w:sz="12" w:space="0"/>
              <w:right w:val="single" w:color="000000" w:sz="12" w:space="0"/>
            </w:tcBorders>
          </w:tcPr>
          <w:p w14:paraId="2F344919">
            <w:pPr>
              <w:pStyle w:val="25"/>
              <w:spacing w:before="120" w:after="120"/>
              <w:ind w:left="214" w:right="63" w:hanging="169"/>
              <w:jc w:val="center"/>
              <w:rPr>
                <w:spacing w:val="-2"/>
                <w:sz w:val="24"/>
                <w:szCs w:val="24"/>
              </w:rPr>
            </w:pPr>
          </w:p>
        </w:tc>
        <w:tc>
          <w:tcPr>
            <w:tcW w:w="428" w:type="pct"/>
            <w:vMerge w:val="continue"/>
            <w:tcBorders>
              <w:top w:val="single" w:color="000000" w:sz="12" w:space="0"/>
              <w:left w:val="single" w:color="000000" w:sz="12" w:space="0"/>
              <w:bottom w:val="single" w:color="000000" w:sz="12" w:space="0"/>
              <w:right w:val="single" w:color="000000" w:sz="12" w:space="0"/>
            </w:tcBorders>
          </w:tcPr>
          <w:p w14:paraId="03E51083">
            <w:pPr>
              <w:pStyle w:val="25"/>
              <w:spacing w:before="120" w:after="120"/>
              <w:ind w:left="214" w:right="63" w:hanging="169"/>
              <w:jc w:val="center"/>
              <w:rPr>
                <w:spacing w:val="-2"/>
                <w:sz w:val="24"/>
                <w:szCs w:val="24"/>
              </w:rPr>
            </w:pPr>
          </w:p>
        </w:tc>
        <w:tc>
          <w:tcPr>
            <w:tcW w:w="251" w:type="pct"/>
            <w:vMerge w:val="continue"/>
            <w:tcBorders>
              <w:top w:val="single" w:color="000000" w:sz="12" w:space="0"/>
              <w:left w:val="single" w:color="000000" w:sz="12" w:space="0"/>
              <w:bottom w:val="single" w:color="000000" w:sz="12" w:space="0"/>
              <w:right w:val="single" w:color="000000" w:sz="12" w:space="0"/>
            </w:tcBorders>
            <w:vAlign w:val="center"/>
          </w:tcPr>
          <w:p w14:paraId="05B72F8F">
            <w:pPr>
              <w:pStyle w:val="25"/>
              <w:spacing w:before="120" w:after="120"/>
              <w:ind w:left="214" w:right="63" w:hanging="169"/>
              <w:jc w:val="center"/>
              <w:rPr>
                <w:spacing w:val="-2"/>
                <w:sz w:val="24"/>
                <w:szCs w:val="24"/>
              </w:rPr>
            </w:pPr>
          </w:p>
        </w:tc>
        <w:tc>
          <w:tcPr>
            <w:tcW w:w="433" w:type="pct"/>
            <w:vMerge w:val="continue"/>
            <w:tcBorders>
              <w:top w:val="single" w:color="000000" w:sz="12" w:space="0"/>
              <w:left w:val="single" w:color="000000" w:sz="12" w:space="0"/>
              <w:bottom w:val="single" w:color="000000" w:sz="12" w:space="0"/>
              <w:right w:val="single" w:color="000000" w:sz="12" w:space="0"/>
            </w:tcBorders>
            <w:vAlign w:val="center"/>
          </w:tcPr>
          <w:p w14:paraId="5FA83CBE">
            <w:pPr>
              <w:pStyle w:val="25"/>
              <w:spacing w:before="120" w:after="120"/>
              <w:ind w:left="214" w:right="63" w:hanging="169"/>
              <w:jc w:val="center"/>
              <w:rPr>
                <w:spacing w:val="-2"/>
                <w:sz w:val="24"/>
                <w:szCs w:val="24"/>
              </w:rPr>
            </w:pPr>
          </w:p>
        </w:tc>
        <w:tc>
          <w:tcPr>
            <w:tcW w:w="417" w:type="pct"/>
            <w:vMerge w:val="continue"/>
            <w:tcBorders>
              <w:top w:val="single" w:color="000000" w:sz="12" w:space="0"/>
              <w:left w:val="single" w:color="000000" w:sz="12" w:space="0"/>
              <w:bottom w:val="single" w:color="000000" w:sz="12" w:space="0"/>
              <w:right w:val="single" w:color="000000" w:sz="12" w:space="0"/>
            </w:tcBorders>
            <w:vAlign w:val="center"/>
          </w:tcPr>
          <w:p w14:paraId="542F1CEA">
            <w:pPr>
              <w:pStyle w:val="25"/>
              <w:spacing w:before="120" w:after="120"/>
              <w:ind w:left="214" w:right="63" w:hanging="169"/>
              <w:jc w:val="center"/>
              <w:rPr>
                <w:spacing w:val="-2"/>
                <w:sz w:val="24"/>
                <w:szCs w:val="24"/>
              </w:rPr>
            </w:pPr>
          </w:p>
        </w:tc>
        <w:tc>
          <w:tcPr>
            <w:tcW w:w="428" w:type="pct"/>
            <w:vMerge w:val="continue"/>
            <w:tcBorders>
              <w:top w:val="single" w:color="000000" w:sz="12" w:space="0"/>
              <w:left w:val="single" w:color="000000" w:sz="12" w:space="0"/>
              <w:bottom w:val="single" w:color="000000" w:sz="12" w:space="0"/>
              <w:right w:val="single" w:color="000000" w:sz="12" w:space="0"/>
            </w:tcBorders>
            <w:vAlign w:val="center"/>
          </w:tcPr>
          <w:p w14:paraId="2E751952">
            <w:pPr>
              <w:pStyle w:val="25"/>
              <w:spacing w:before="120" w:after="120"/>
              <w:ind w:left="214" w:right="63" w:hanging="169"/>
              <w:jc w:val="center"/>
              <w:rPr>
                <w:spacing w:val="-2"/>
                <w:sz w:val="24"/>
                <w:szCs w:val="24"/>
              </w:rPr>
            </w:pPr>
          </w:p>
        </w:tc>
        <w:tc>
          <w:tcPr>
            <w:tcW w:w="433" w:type="pct"/>
            <w:vMerge w:val="continue"/>
            <w:tcBorders>
              <w:top w:val="single" w:color="000000" w:sz="12" w:space="0"/>
              <w:left w:val="single" w:color="000000" w:sz="12" w:space="0"/>
              <w:bottom w:val="single" w:color="000000" w:sz="12" w:space="0"/>
              <w:right w:val="single" w:color="000000" w:sz="12" w:space="0"/>
            </w:tcBorders>
            <w:vAlign w:val="center"/>
          </w:tcPr>
          <w:p w14:paraId="5D59303C">
            <w:pPr>
              <w:pStyle w:val="25"/>
              <w:spacing w:before="120" w:after="120"/>
              <w:ind w:left="214" w:right="63" w:hanging="169"/>
              <w:jc w:val="center"/>
              <w:rPr>
                <w:spacing w:val="-2"/>
                <w:sz w:val="24"/>
                <w:szCs w:val="24"/>
              </w:rPr>
            </w:pPr>
          </w:p>
        </w:tc>
        <w:tc>
          <w:tcPr>
            <w:tcW w:w="241" w:type="pct"/>
            <w:tcBorders>
              <w:top w:val="single" w:color="000000" w:sz="12" w:space="0"/>
              <w:left w:val="single" w:color="000000" w:sz="12" w:space="0"/>
              <w:bottom w:val="single" w:color="000000" w:sz="12" w:space="0"/>
              <w:right w:val="single" w:color="000000" w:sz="12" w:space="0"/>
            </w:tcBorders>
            <w:vAlign w:val="center"/>
          </w:tcPr>
          <w:p w14:paraId="419C58A5">
            <w:pPr>
              <w:pStyle w:val="25"/>
              <w:spacing w:before="120" w:after="120"/>
              <w:ind w:left="214" w:right="63" w:hanging="169"/>
              <w:jc w:val="center"/>
              <w:rPr>
                <w:spacing w:val="-2"/>
                <w:sz w:val="24"/>
                <w:szCs w:val="24"/>
              </w:rPr>
            </w:pPr>
            <w:r>
              <w:rPr>
                <w:spacing w:val="-2"/>
                <w:sz w:val="24"/>
                <w:szCs w:val="24"/>
              </w:rPr>
              <w:t>日期</w:t>
            </w:r>
          </w:p>
        </w:tc>
        <w:tc>
          <w:tcPr>
            <w:tcW w:w="262" w:type="pct"/>
            <w:tcBorders>
              <w:top w:val="single" w:color="000000" w:sz="12" w:space="0"/>
              <w:left w:val="single" w:color="000000" w:sz="12" w:space="0"/>
              <w:bottom w:val="single" w:color="000000" w:sz="12" w:space="0"/>
              <w:right w:val="single" w:color="000000" w:sz="12" w:space="0"/>
            </w:tcBorders>
            <w:vAlign w:val="center"/>
          </w:tcPr>
          <w:p w14:paraId="26018C88">
            <w:pPr>
              <w:pStyle w:val="25"/>
              <w:spacing w:before="120" w:after="120"/>
              <w:ind w:left="214" w:right="63" w:hanging="169"/>
              <w:jc w:val="center"/>
              <w:rPr>
                <w:spacing w:val="-2"/>
                <w:sz w:val="24"/>
                <w:szCs w:val="24"/>
              </w:rPr>
            </w:pPr>
            <w:r>
              <w:rPr>
                <w:spacing w:val="-2"/>
                <w:sz w:val="24"/>
                <w:szCs w:val="24"/>
              </w:rPr>
              <w:t>时间</w:t>
            </w:r>
          </w:p>
        </w:tc>
        <w:tc>
          <w:tcPr>
            <w:tcW w:w="342" w:type="pct"/>
            <w:tcBorders>
              <w:top w:val="single" w:color="000000" w:sz="12" w:space="0"/>
              <w:left w:val="single" w:color="000000" w:sz="12" w:space="0"/>
              <w:bottom w:val="single" w:color="000000" w:sz="12" w:space="0"/>
              <w:right w:val="single" w:color="000000" w:sz="12" w:space="0"/>
            </w:tcBorders>
            <w:vAlign w:val="center"/>
          </w:tcPr>
          <w:p w14:paraId="24790809">
            <w:pPr>
              <w:pStyle w:val="25"/>
              <w:spacing w:before="120" w:after="120"/>
              <w:ind w:left="214" w:right="63" w:hanging="169"/>
              <w:jc w:val="center"/>
              <w:rPr>
                <w:spacing w:val="-2"/>
                <w:sz w:val="24"/>
                <w:szCs w:val="24"/>
              </w:rPr>
            </w:pPr>
            <w:r>
              <w:rPr>
                <w:spacing w:val="-2"/>
                <w:sz w:val="24"/>
                <w:szCs w:val="24"/>
              </w:rPr>
              <w:t>压强 (kPa)</w:t>
            </w:r>
          </w:p>
        </w:tc>
        <w:tc>
          <w:tcPr>
            <w:tcW w:w="401" w:type="pct"/>
            <w:tcBorders>
              <w:top w:val="single" w:color="000000" w:sz="12" w:space="0"/>
              <w:left w:val="single" w:color="000000" w:sz="12" w:space="0"/>
              <w:bottom w:val="single" w:color="000000" w:sz="12" w:space="0"/>
              <w:right w:val="single" w:color="000000" w:sz="12" w:space="0"/>
            </w:tcBorders>
            <w:vAlign w:val="center"/>
          </w:tcPr>
          <w:p w14:paraId="523617D0">
            <w:pPr>
              <w:pStyle w:val="25"/>
              <w:spacing w:before="120" w:after="120"/>
              <w:ind w:left="214" w:right="63" w:hanging="169"/>
              <w:jc w:val="center"/>
              <w:rPr>
                <w:spacing w:val="-2"/>
                <w:sz w:val="24"/>
                <w:szCs w:val="24"/>
              </w:rPr>
            </w:pPr>
            <w:r>
              <w:rPr>
                <w:spacing w:val="-2"/>
                <w:sz w:val="24"/>
                <w:szCs w:val="24"/>
              </w:rPr>
              <w:t>是否</w:t>
            </w:r>
          </w:p>
          <w:p w14:paraId="003C588A">
            <w:pPr>
              <w:pStyle w:val="25"/>
              <w:spacing w:before="120" w:after="120"/>
              <w:ind w:left="214" w:right="63" w:hanging="169"/>
              <w:jc w:val="center"/>
              <w:rPr>
                <w:spacing w:val="-2"/>
                <w:sz w:val="24"/>
                <w:szCs w:val="24"/>
              </w:rPr>
            </w:pPr>
            <w:r>
              <w:rPr>
                <w:spacing w:val="-2"/>
                <w:sz w:val="24"/>
                <w:szCs w:val="24"/>
              </w:rPr>
              <w:t>通过</w:t>
            </w:r>
          </w:p>
        </w:tc>
      </w:tr>
      <w:tr w14:paraId="13BDC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0" w:type="pct"/>
            <w:tcBorders>
              <w:top w:val="single" w:color="000000" w:sz="12" w:space="0"/>
              <w:left w:val="single" w:color="000000" w:sz="12" w:space="0"/>
              <w:bottom w:val="single" w:color="000000" w:sz="12" w:space="0"/>
              <w:right w:val="single" w:color="000000" w:sz="12" w:space="0"/>
            </w:tcBorders>
          </w:tcPr>
          <w:p w14:paraId="4D5FDA3A">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7143BEB4">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4EF80536">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BECD258">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674E38C2">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3EE44C8F">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5759DADF">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2D2E7D72">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6B8F4F7C">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3E9366A">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54D96FC6">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34A1F518">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44445E5A">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0DE48B39">
            <w:pPr>
              <w:spacing w:before="60"/>
              <w:rPr>
                <w:rFonts w:ascii="Arial"/>
                <w:sz w:val="24"/>
              </w:rPr>
            </w:pPr>
          </w:p>
        </w:tc>
      </w:tr>
      <w:tr w14:paraId="35B05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734B8C02">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34471A05">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6BDFDDF">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61C1157F">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7629FE6">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D9D1093">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D919EF5">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568C08C0">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55388F61">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5E17013">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6495820F">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56AB6EB6">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09C3203A">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1DB7F7F6">
            <w:pPr>
              <w:spacing w:before="60"/>
              <w:rPr>
                <w:rFonts w:ascii="Arial"/>
                <w:sz w:val="24"/>
              </w:rPr>
            </w:pPr>
          </w:p>
        </w:tc>
      </w:tr>
      <w:tr w14:paraId="66D46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0" w:type="pct"/>
            <w:tcBorders>
              <w:top w:val="single" w:color="000000" w:sz="12" w:space="0"/>
              <w:left w:val="single" w:color="000000" w:sz="12" w:space="0"/>
              <w:bottom w:val="single" w:color="000000" w:sz="12" w:space="0"/>
              <w:right w:val="single" w:color="000000" w:sz="12" w:space="0"/>
            </w:tcBorders>
          </w:tcPr>
          <w:p w14:paraId="48E9FD2A">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53A21045">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B570302">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241B1256">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3D9B1FF8">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32645D0">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6E50F26F">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32717D2B">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6DBBA4E">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6871A73">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380E9EFF">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23F661CC">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3E129BB0">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6AEB7AD6">
            <w:pPr>
              <w:spacing w:before="60"/>
              <w:rPr>
                <w:rFonts w:ascii="Arial"/>
                <w:sz w:val="24"/>
              </w:rPr>
            </w:pPr>
          </w:p>
        </w:tc>
      </w:tr>
      <w:tr w14:paraId="7875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7D0DEC74">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A3519C6">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22A8FAF">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5D6DC61">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0ED14ABD">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E2CE272">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6AF7E237">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42AE37AA">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309A4CF3">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2A86D81A">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121D1E69">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02246822">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49BB867D">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3A2354B6">
            <w:pPr>
              <w:spacing w:before="60"/>
              <w:rPr>
                <w:rFonts w:ascii="Arial"/>
                <w:sz w:val="24"/>
              </w:rPr>
            </w:pPr>
          </w:p>
        </w:tc>
      </w:tr>
      <w:tr w14:paraId="61791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527372F2">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320D879B">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4C18090B">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511FCCA0">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BFA09F7">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525D1B87">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58F5D8DE">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6A8D99C8">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55518564">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33773135">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7EA79CF6">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7F3D79FB">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747D92AF">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10713133">
            <w:pPr>
              <w:spacing w:before="60"/>
              <w:rPr>
                <w:rFonts w:ascii="Arial"/>
                <w:sz w:val="24"/>
              </w:rPr>
            </w:pPr>
          </w:p>
        </w:tc>
      </w:tr>
      <w:tr w14:paraId="1473C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7E11FA1A">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2B4BE18">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3AED61EE">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FD2BEAE">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12E9DD2D">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30D6B129">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37573302">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274CA7A6">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2C84F91">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19A1335D">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583C276A">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6C0E2EE">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00CE7AA3">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0C437F35">
            <w:pPr>
              <w:spacing w:before="60"/>
              <w:rPr>
                <w:rFonts w:ascii="Arial"/>
                <w:sz w:val="24"/>
              </w:rPr>
            </w:pPr>
          </w:p>
        </w:tc>
      </w:tr>
      <w:tr w14:paraId="3BA39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0" w:type="pct"/>
            <w:tcBorders>
              <w:top w:val="single" w:color="000000" w:sz="12" w:space="0"/>
              <w:left w:val="single" w:color="000000" w:sz="12" w:space="0"/>
              <w:bottom w:val="single" w:color="000000" w:sz="12" w:space="0"/>
              <w:right w:val="single" w:color="000000" w:sz="12" w:space="0"/>
            </w:tcBorders>
          </w:tcPr>
          <w:p w14:paraId="39746617">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417D4F11">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7F4F2513">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1A4E4B4E">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8ABBD7C">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7F912931">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EE63342">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604971EC">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7CA449D1">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45B0C405">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295CDFA4">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6AFC58AA">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6DE25389">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1EABB09F">
            <w:pPr>
              <w:spacing w:before="60"/>
              <w:rPr>
                <w:rFonts w:ascii="Arial"/>
                <w:sz w:val="24"/>
              </w:rPr>
            </w:pPr>
          </w:p>
        </w:tc>
      </w:tr>
      <w:tr w14:paraId="0AAA5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0DA5BCD9">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2A4A7CD1">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06A3294F">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3C7464D6">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584D34DE">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4F1FB4C">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242537F">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758A1483">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D41DCA7">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72BABE45">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01224179">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A3681B9">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381B439E">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08FDC63A">
            <w:pPr>
              <w:spacing w:before="60"/>
              <w:rPr>
                <w:rFonts w:ascii="Arial"/>
                <w:sz w:val="24"/>
              </w:rPr>
            </w:pPr>
          </w:p>
        </w:tc>
      </w:tr>
      <w:tr w14:paraId="157B7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4397F1BF">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372206C0">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2F69CFD7">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095727A7">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6F98DC26">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56429DA2">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54A62532">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04EDC4BC">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30A12468">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30FE87E4">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2FB01510">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1124DB7C">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4E04E143">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2C42B08A">
            <w:pPr>
              <w:spacing w:before="60"/>
              <w:rPr>
                <w:rFonts w:ascii="Arial"/>
                <w:sz w:val="24"/>
              </w:rPr>
            </w:pPr>
          </w:p>
        </w:tc>
      </w:tr>
      <w:tr w14:paraId="3BC13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20" w:type="pct"/>
            <w:tcBorders>
              <w:top w:val="single" w:color="000000" w:sz="12" w:space="0"/>
              <w:left w:val="single" w:color="000000" w:sz="12" w:space="0"/>
              <w:bottom w:val="single" w:color="000000" w:sz="12" w:space="0"/>
              <w:right w:val="single" w:color="000000" w:sz="12" w:space="0"/>
            </w:tcBorders>
          </w:tcPr>
          <w:p w14:paraId="3CD8DB94">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666C8B10">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6D1FDDE5">
            <w:pPr>
              <w:spacing w:before="60"/>
              <w:rPr>
                <w:rFonts w:ascii="Arial"/>
                <w:sz w:val="24"/>
              </w:rPr>
            </w:pPr>
          </w:p>
        </w:tc>
        <w:tc>
          <w:tcPr>
            <w:tcW w:w="423" w:type="pct"/>
            <w:tcBorders>
              <w:top w:val="single" w:color="000000" w:sz="12" w:space="0"/>
              <w:left w:val="single" w:color="000000" w:sz="12" w:space="0"/>
              <w:bottom w:val="single" w:color="000000" w:sz="12" w:space="0"/>
              <w:right w:val="single" w:color="000000" w:sz="12" w:space="0"/>
            </w:tcBorders>
          </w:tcPr>
          <w:p w14:paraId="7A908868">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15CE057B">
            <w:pPr>
              <w:spacing w:before="60"/>
              <w:rPr>
                <w:rFonts w:ascii="Arial"/>
                <w:sz w:val="24"/>
              </w:rPr>
            </w:pPr>
          </w:p>
        </w:tc>
        <w:tc>
          <w:tcPr>
            <w:tcW w:w="251" w:type="pct"/>
            <w:tcBorders>
              <w:top w:val="single" w:color="000000" w:sz="12" w:space="0"/>
              <w:left w:val="single" w:color="000000" w:sz="12" w:space="0"/>
              <w:bottom w:val="single" w:color="000000" w:sz="12" w:space="0"/>
              <w:right w:val="single" w:color="000000" w:sz="12" w:space="0"/>
            </w:tcBorders>
          </w:tcPr>
          <w:p w14:paraId="1BB4F15D">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079C40AD">
            <w:pPr>
              <w:spacing w:before="60"/>
              <w:rPr>
                <w:rFonts w:ascii="Arial"/>
                <w:sz w:val="24"/>
              </w:rPr>
            </w:pPr>
          </w:p>
        </w:tc>
        <w:tc>
          <w:tcPr>
            <w:tcW w:w="417" w:type="pct"/>
            <w:tcBorders>
              <w:top w:val="single" w:color="000000" w:sz="12" w:space="0"/>
              <w:left w:val="single" w:color="000000" w:sz="12" w:space="0"/>
              <w:bottom w:val="single" w:color="000000" w:sz="12" w:space="0"/>
              <w:right w:val="single" w:color="000000" w:sz="12" w:space="0"/>
            </w:tcBorders>
          </w:tcPr>
          <w:p w14:paraId="1069CFB1">
            <w:pPr>
              <w:spacing w:before="60"/>
              <w:rPr>
                <w:rFonts w:ascii="Arial"/>
                <w:sz w:val="24"/>
              </w:rPr>
            </w:pPr>
          </w:p>
        </w:tc>
        <w:tc>
          <w:tcPr>
            <w:tcW w:w="428" w:type="pct"/>
            <w:tcBorders>
              <w:top w:val="single" w:color="000000" w:sz="12" w:space="0"/>
              <w:left w:val="single" w:color="000000" w:sz="12" w:space="0"/>
              <w:bottom w:val="single" w:color="000000" w:sz="12" w:space="0"/>
              <w:right w:val="single" w:color="000000" w:sz="12" w:space="0"/>
            </w:tcBorders>
          </w:tcPr>
          <w:p w14:paraId="46517E89">
            <w:pPr>
              <w:spacing w:before="60"/>
              <w:rPr>
                <w:rFonts w:ascii="Arial"/>
                <w:sz w:val="24"/>
              </w:rPr>
            </w:pPr>
          </w:p>
        </w:tc>
        <w:tc>
          <w:tcPr>
            <w:tcW w:w="433" w:type="pct"/>
            <w:tcBorders>
              <w:top w:val="single" w:color="000000" w:sz="12" w:space="0"/>
              <w:left w:val="single" w:color="000000" w:sz="12" w:space="0"/>
              <w:bottom w:val="single" w:color="000000" w:sz="12" w:space="0"/>
              <w:right w:val="single" w:color="000000" w:sz="12" w:space="0"/>
            </w:tcBorders>
          </w:tcPr>
          <w:p w14:paraId="3F702151">
            <w:pPr>
              <w:spacing w:before="60"/>
              <w:rPr>
                <w:rFonts w:ascii="Arial"/>
                <w:sz w:val="24"/>
              </w:rPr>
            </w:pPr>
          </w:p>
        </w:tc>
        <w:tc>
          <w:tcPr>
            <w:tcW w:w="241" w:type="pct"/>
            <w:tcBorders>
              <w:top w:val="single" w:color="000000" w:sz="12" w:space="0"/>
              <w:left w:val="single" w:color="000000" w:sz="12" w:space="0"/>
              <w:bottom w:val="single" w:color="000000" w:sz="12" w:space="0"/>
              <w:right w:val="single" w:color="000000" w:sz="12" w:space="0"/>
            </w:tcBorders>
          </w:tcPr>
          <w:p w14:paraId="4BBAE835">
            <w:pPr>
              <w:spacing w:before="60"/>
              <w:rPr>
                <w:rFonts w:ascii="Arial"/>
                <w:sz w:val="24"/>
              </w:rPr>
            </w:pPr>
          </w:p>
        </w:tc>
        <w:tc>
          <w:tcPr>
            <w:tcW w:w="262" w:type="pct"/>
            <w:tcBorders>
              <w:top w:val="single" w:color="000000" w:sz="12" w:space="0"/>
              <w:left w:val="single" w:color="000000" w:sz="12" w:space="0"/>
              <w:bottom w:val="single" w:color="000000" w:sz="12" w:space="0"/>
              <w:right w:val="single" w:color="000000" w:sz="12" w:space="0"/>
            </w:tcBorders>
          </w:tcPr>
          <w:p w14:paraId="5C6B138B">
            <w:pPr>
              <w:spacing w:before="60"/>
              <w:rPr>
                <w:rFonts w:ascii="Arial"/>
                <w:sz w:val="24"/>
              </w:rPr>
            </w:pPr>
          </w:p>
        </w:tc>
        <w:tc>
          <w:tcPr>
            <w:tcW w:w="342" w:type="pct"/>
            <w:tcBorders>
              <w:top w:val="single" w:color="000000" w:sz="12" w:space="0"/>
              <w:left w:val="single" w:color="000000" w:sz="12" w:space="0"/>
              <w:bottom w:val="single" w:color="000000" w:sz="12" w:space="0"/>
              <w:right w:val="single" w:color="000000" w:sz="12" w:space="0"/>
            </w:tcBorders>
          </w:tcPr>
          <w:p w14:paraId="12D9909E">
            <w:pPr>
              <w:spacing w:before="60"/>
              <w:rPr>
                <w:rFonts w:ascii="Arial"/>
                <w:sz w:val="24"/>
              </w:rPr>
            </w:pPr>
          </w:p>
        </w:tc>
        <w:tc>
          <w:tcPr>
            <w:tcW w:w="401" w:type="pct"/>
            <w:tcBorders>
              <w:top w:val="single" w:color="000000" w:sz="12" w:space="0"/>
              <w:left w:val="single" w:color="000000" w:sz="12" w:space="0"/>
              <w:bottom w:val="single" w:color="000000" w:sz="12" w:space="0"/>
              <w:right w:val="single" w:color="000000" w:sz="12" w:space="0"/>
            </w:tcBorders>
          </w:tcPr>
          <w:p w14:paraId="3F8DBE10">
            <w:pPr>
              <w:spacing w:before="60"/>
              <w:rPr>
                <w:rFonts w:ascii="Arial"/>
                <w:sz w:val="24"/>
              </w:rPr>
            </w:pPr>
          </w:p>
        </w:tc>
      </w:tr>
      <w:tr w14:paraId="5337D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0"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7F329981">
            <w:pPr>
              <w:pStyle w:val="25"/>
              <w:spacing w:before="60" w:after="60"/>
              <w:ind w:left="74"/>
              <w:rPr>
                <w:snapToGrid w:val="0"/>
                <w:color w:val="000000"/>
                <w:spacing w:val="2"/>
                <w:kern w:val="0"/>
                <w:sz w:val="24"/>
                <w:szCs w:val="24"/>
                <w:lang w:eastAsia="zh-CN"/>
              </w:rPr>
            </w:pPr>
            <w:r>
              <w:rPr>
                <w:snapToGrid w:val="0"/>
                <w:color w:val="000000"/>
                <w:spacing w:val="2"/>
                <w:kern w:val="0"/>
                <w:sz w:val="24"/>
                <w:szCs w:val="24"/>
                <w:lang w:eastAsia="zh-CN"/>
              </w:rPr>
              <w:t>施工单位：                                   检测单位：</w:t>
            </w:r>
          </w:p>
        </w:tc>
      </w:tr>
      <w:tr w14:paraId="1FFB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000" w:type="pct"/>
            <w:gridSpan w:val="14"/>
            <w:tcBorders>
              <w:top w:val="single" w:color="000000" w:sz="12" w:space="0"/>
              <w:left w:val="single" w:color="000000" w:sz="12" w:space="0"/>
              <w:bottom w:val="single" w:color="000000" w:sz="12" w:space="0"/>
              <w:right w:val="single" w:color="000000" w:sz="12" w:space="0"/>
            </w:tcBorders>
          </w:tcPr>
          <w:p w14:paraId="1FBFE685">
            <w:pPr>
              <w:pStyle w:val="25"/>
              <w:spacing w:before="60" w:after="60"/>
              <w:ind w:left="74"/>
              <w:rPr>
                <w:snapToGrid w:val="0"/>
                <w:color w:val="000000"/>
                <w:spacing w:val="2"/>
                <w:kern w:val="0"/>
                <w:sz w:val="24"/>
                <w:szCs w:val="24"/>
                <w:lang w:eastAsia="zh-CN"/>
              </w:rPr>
            </w:pPr>
            <w:r>
              <w:rPr>
                <w:snapToGrid w:val="0"/>
                <w:color w:val="000000"/>
                <w:spacing w:val="2"/>
                <w:kern w:val="0"/>
                <w:sz w:val="24"/>
                <w:szCs w:val="24"/>
                <w:lang w:eastAsia="zh-CN"/>
              </w:rPr>
              <w:t xml:space="preserve">现场监理(签章):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技术负责人(签章):              记录(签章):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填 报 日 期 ：</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年</w:t>
            </w:r>
            <w:r>
              <w:rPr>
                <w:rFonts w:hint="eastAsia"/>
                <w:snapToGrid w:val="0"/>
                <w:color w:val="000000"/>
                <w:spacing w:val="2"/>
                <w:kern w:val="0"/>
                <w:sz w:val="24"/>
                <w:szCs w:val="24"/>
                <w:lang w:eastAsia="zh-CN"/>
              </w:rPr>
              <w:t xml:space="preserve">  </w:t>
            </w:r>
            <w:r>
              <w:rPr>
                <w:snapToGrid w:val="0"/>
                <w:color w:val="000000"/>
                <w:spacing w:val="2"/>
                <w:kern w:val="0"/>
                <w:sz w:val="24"/>
                <w:szCs w:val="24"/>
                <w:lang w:eastAsia="zh-CN"/>
              </w:rPr>
              <w:t xml:space="preserve"> 月  日</w:t>
            </w:r>
          </w:p>
        </w:tc>
      </w:tr>
    </w:tbl>
    <w:p w14:paraId="0303694F">
      <w:pPr>
        <w:rPr>
          <w:rFonts w:ascii="Times New Roman" w:hAnsi="Times New Roman" w:eastAsia="宋体" w:cs="Times New Roman"/>
          <w:sz w:val="24"/>
          <w:szCs w:val="21"/>
        </w:rPr>
        <w:sectPr>
          <w:pgSz w:w="16838" w:h="11906" w:orient="landscape"/>
          <w:pgMar w:top="1803" w:right="1440" w:bottom="1803" w:left="1440" w:header="851" w:footer="992" w:gutter="0"/>
          <w:cols w:space="0" w:num="1"/>
          <w:docGrid w:type="lines" w:linePitch="319" w:charSpace="0"/>
        </w:sectPr>
      </w:pPr>
    </w:p>
    <w:p w14:paraId="34EBB23F">
      <w:pPr>
        <w:pStyle w:val="4"/>
        <w:spacing w:before="319" w:beforeLines="100" w:after="319" w:afterLines="100"/>
        <w:jc w:val="center"/>
        <w:outlineLvl w:val="0"/>
        <w:rPr>
          <w:b/>
          <w:bCs/>
          <w:spacing w:val="-2"/>
          <w:sz w:val="30"/>
          <w:szCs w:val="30"/>
          <w:lang w:eastAsia="zh-CN"/>
        </w:rPr>
      </w:pPr>
      <w:bookmarkStart w:id="248" w:name="_Toc19107"/>
      <w:r>
        <w:rPr>
          <w:b/>
          <w:bCs/>
          <w:spacing w:val="-2"/>
          <w:sz w:val="30"/>
          <w:szCs w:val="30"/>
          <w:lang w:eastAsia="zh-CN"/>
        </w:rPr>
        <w:t xml:space="preserve">附录C </w:t>
      </w:r>
      <w:r>
        <w:rPr>
          <w:rFonts w:hint="eastAsia"/>
          <w:b/>
          <w:bCs/>
          <w:spacing w:val="-2"/>
          <w:sz w:val="30"/>
          <w:szCs w:val="30"/>
          <w:lang w:eastAsia="zh-CN"/>
        </w:rPr>
        <w:t xml:space="preserve"> </w:t>
      </w:r>
      <w:r>
        <w:rPr>
          <w:b/>
          <w:bCs/>
          <w:spacing w:val="-2"/>
          <w:sz w:val="30"/>
          <w:szCs w:val="30"/>
          <w:lang w:eastAsia="zh-CN"/>
        </w:rPr>
        <w:t>气压、真空和破坏性检测及</w:t>
      </w:r>
      <w:bookmarkStart w:id="249" w:name="bookmark33"/>
      <w:bookmarkEnd w:id="249"/>
      <w:r>
        <w:rPr>
          <w:b/>
          <w:bCs/>
          <w:spacing w:val="-2"/>
          <w:sz w:val="30"/>
          <w:szCs w:val="30"/>
          <w:lang w:eastAsia="zh-CN"/>
        </w:rPr>
        <w:t>电火花测试方法</w:t>
      </w:r>
      <w:bookmarkEnd w:id="248"/>
    </w:p>
    <w:p w14:paraId="5121FDB8">
      <w:pPr>
        <w:pStyle w:val="4"/>
        <w:spacing w:line="500" w:lineRule="exact"/>
        <w:rPr>
          <w:rFonts w:ascii="Times New Roman" w:hAnsi="Times New Roman" w:eastAsia="Times New Roman" w:cs="Times New Roman"/>
          <w:b/>
          <w:bCs/>
          <w:spacing w:val="-5"/>
          <w:sz w:val="28"/>
          <w:szCs w:val="28"/>
          <w:lang w:eastAsia="zh-CN"/>
        </w:rPr>
      </w:pPr>
      <w:r>
        <w:rPr>
          <w:rFonts w:ascii="Times New Roman" w:hAnsi="Times New Roman" w:eastAsia="Times New Roman" w:cs="Times New Roman"/>
          <w:b/>
          <w:bCs/>
          <w:spacing w:val="-5"/>
          <w:sz w:val="28"/>
          <w:szCs w:val="28"/>
          <w:lang w:eastAsia="zh-CN"/>
        </w:rPr>
        <w:t xml:space="preserve">C.0.1 </w:t>
      </w:r>
      <w:r>
        <w:rPr>
          <w:rFonts w:ascii="Times New Roman" w:hAnsi="Times New Roman" w:eastAsia="Times New Roman" w:cs="Times New Roman"/>
          <w:spacing w:val="-5"/>
          <w:sz w:val="28"/>
          <w:szCs w:val="28"/>
          <w:lang w:eastAsia="zh-CN"/>
        </w:rPr>
        <w:t>高密度聚乙烯土工膜热熔焊接的气压检测：针对热熔焊接形成双轨焊缝，焊缝中间预留气腔的特点，应采用气压检测设备检测焊缝的强度和气密性。一条焊缝施工完毕后，将焊缝气腔两端封堵，用气压检测设备对焊缝气腔加压至250kPa,  维持3min～5min</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气压不应低于240kPa</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然后在焊缝的另一端开孔放气</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气压表指针能够迅速归零应视为合格。</w:t>
      </w:r>
    </w:p>
    <w:p w14:paraId="200F5CBA">
      <w:pPr>
        <w:pStyle w:val="4"/>
        <w:spacing w:line="500" w:lineRule="exact"/>
        <w:rPr>
          <w:rFonts w:ascii="Times New Roman" w:hAnsi="Times New Roman" w:eastAsia="Times New Roman" w:cs="Times New Roman"/>
          <w:spacing w:val="-5"/>
          <w:sz w:val="28"/>
          <w:szCs w:val="28"/>
          <w:lang w:eastAsia="zh-CN"/>
        </w:rPr>
      </w:pPr>
      <w:r>
        <w:rPr>
          <w:rFonts w:ascii="Times New Roman" w:hAnsi="Times New Roman" w:eastAsia="Times New Roman" w:cs="Times New Roman"/>
          <w:b/>
          <w:bCs/>
          <w:spacing w:val="-5"/>
          <w:sz w:val="28"/>
          <w:szCs w:val="28"/>
          <w:lang w:eastAsia="zh-CN"/>
        </w:rPr>
        <w:t xml:space="preserve">C.0.2 </w:t>
      </w:r>
      <w:r>
        <w:rPr>
          <w:rFonts w:ascii="Times New Roman" w:hAnsi="Times New Roman" w:eastAsia="Times New Roman" w:cs="Times New Roman"/>
          <w:spacing w:val="-5"/>
          <w:sz w:val="28"/>
          <w:szCs w:val="28"/>
          <w:lang w:eastAsia="zh-CN"/>
        </w:rPr>
        <w:t>高密度聚乙烯土工膜挤压焊接的真空检测</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挤压焊接所形成的单轨焊缝，应采用真空检测方法检测。用真空检测设备直接对焊缝待检部位施加负压，当真空罩内气压达到25kPa~ 35kPa时焊缝无任何泄漏应视为合格。</w:t>
      </w:r>
    </w:p>
    <w:p w14:paraId="08652018">
      <w:pPr>
        <w:pStyle w:val="4"/>
        <w:spacing w:line="500" w:lineRule="exact"/>
        <w:rPr>
          <w:rFonts w:ascii="Times New Roman" w:hAnsi="Times New Roman" w:eastAsia="Times New Roman" w:cs="Times New Roman"/>
          <w:spacing w:val="-5"/>
          <w:sz w:val="28"/>
          <w:szCs w:val="28"/>
          <w:lang w:eastAsia="zh-CN"/>
        </w:rPr>
      </w:pPr>
      <w:r>
        <w:rPr>
          <w:rFonts w:ascii="Times New Roman" w:hAnsi="Times New Roman" w:eastAsia="Times New Roman" w:cs="Times New Roman"/>
          <w:b/>
          <w:bCs/>
          <w:spacing w:val="-5"/>
          <w:sz w:val="28"/>
          <w:szCs w:val="28"/>
          <w:lang w:eastAsia="zh-CN"/>
        </w:rPr>
        <w:t xml:space="preserve">C.0.3 </w:t>
      </w:r>
      <w:r>
        <w:rPr>
          <w:rFonts w:ascii="Times New Roman" w:hAnsi="Times New Roman" w:eastAsia="Times New Roman" w:cs="Times New Roman"/>
          <w:spacing w:val="-5"/>
          <w:sz w:val="28"/>
          <w:szCs w:val="28"/>
          <w:lang w:eastAsia="zh-CN"/>
        </w:rPr>
        <w:t>高密度聚乙烯土工膜挤压焊缝的电火花测试：等效于真空检测，适应地形复杂的地段，应预先在挤压焊缝中埋设一条</w:t>
      </w:r>
      <w:r>
        <w:rPr>
          <w:rFonts w:hint="eastAsia" w:ascii="微软雅黑" w:hAnsi="微软雅黑" w:eastAsia="微软雅黑" w:cs="微软雅黑"/>
          <w:spacing w:val="-5"/>
          <w:sz w:val="28"/>
          <w:szCs w:val="28"/>
        </w:rPr>
        <w:t>Φ</w:t>
      </w:r>
      <w:r>
        <w:rPr>
          <w:rFonts w:ascii="Times New Roman" w:hAnsi="Times New Roman" w:eastAsia="Times New Roman" w:cs="Times New Roman"/>
          <w:spacing w:val="-5"/>
          <w:sz w:val="28"/>
          <w:szCs w:val="28"/>
          <w:lang w:eastAsia="zh-CN"/>
        </w:rPr>
        <w:t>0.3mm~</w:t>
      </w:r>
      <w:r>
        <w:rPr>
          <w:rFonts w:hint="eastAsia" w:ascii="微软雅黑" w:hAnsi="微软雅黑" w:eastAsia="微软雅黑" w:cs="微软雅黑"/>
          <w:spacing w:val="-5"/>
          <w:sz w:val="28"/>
          <w:szCs w:val="28"/>
        </w:rPr>
        <w:t>Φ</w:t>
      </w:r>
      <w:r>
        <w:rPr>
          <w:rFonts w:ascii="Times New Roman" w:hAnsi="Times New Roman" w:eastAsia="Times New Roman" w:cs="Times New Roman"/>
          <w:spacing w:val="-5"/>
          <w:sz w:val="28"/>
          <w:szCs w:val="28"/>
          <w:lang w:eastAsia="zh-CN"/>
        </w:rPr>
        <w:t>0.5mm  的细铜线，利用35kV的高压脉冲电源探头在距离焊缝10mm～30mm的高度探扫，无火花出现应视为合格，否则说明出现火花的部位有漏洞。</w:t>
      </w:r>
    </w:p>
    <w:p w14:paraId="2A8CE800">
      <w:pPr>
        <w:pStyle w:val="4"/>
        <w:spacing w:line="500" w:lineRule="exact"/>
        <w:rPr>
          <w:rFonts w:ascii="Times New Roman" w:hAnsi="Times New Roman" w:eastAsia="Times New Roman" w:cs="Times New Roman"/>
          <w:b/>
          <w:bCs/>
          <w:spacing w:val="-5"/>
          <w:sz w:val="28"/>
          <w:szCs w:val="28"/>
          <w:lang w:eastAsia="zh-CN"/>
        </w:rPr>
      </w:pPr>
      <w:r>
        <w:rPr>
          <w:rFonts w:ascii="Times New Roman" w:hAnsi="Times New Roman" w:eastAsia="Times New Roman" w:cs="Times New Roman"/>
          <w:b/>
          <w:bCs/>
          <w:spacing w:val="-5"/>
          <w:sz w:val="28"/>
          <w:szCs w:val="28"/>
          <w:lang w:eastAsia="zh-CN"/>
        </w:rPr>
        <w:t xml:space="preserve">C.0.4 </w:t>
      </w:r>
      <w:r>
        <w:rPr>
          <w:rFonts w:ascii="Times New Roman" w:hAnsi="Times New Roman" w:eastAsia="Times New Roman" w:cs="Times New Roman"/>
          <w:spacing w:val="-5"/>
          <w:sz w:val="28"/>
          <w:szCs w:val="28"/>
          <w:lang w:eastAsia="zh-CN"/>
        </w:rPr>
        <w:t>高密度聚乙烯土工膜焊缝强度的破坏性取样检测：针对每台焊接设备焊接一定长度取一个破坏性试样进行室内试验分析</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取样位置应立即修补</w:t>
      </w:r>
      <w:r>
        <w:rPr>
          <w:rFonts w:hint="eastAsia" w:ascii="Times New Roman" w:hAnsi="Times New Roman" w:cs="Times New Roman"/>
          <w:spacing w:val="-5"/>
          <w:sz w:val="28"/>
          <w:szCs w:val="28"/>
          <w:lang w:eastAsia="zh-CN"/>
        </w:rPr>
        <w:t>），</w:t>
      </w:r>
      <w:r>
        <w:rPr>
          <w:rFonts w:ascii="Times New Roman" w:hAnsi="Times New Roman" w:eastAsia="Times New Roman" w:cs="Times New Roman"/>
          <w:spacing w:val="-5"/>
          <w:sz w:val="28"/>
          <w:szCs w:val="28"/>
          <w:lang w:eastAsia="zh-CN"/>
        </w:rPr>
        <w:t>定量的检测焊缝强度质量，热熔与挤出焊缝强度合格的判定标准应符合表C.0.4的规定。</w:t>
      </w:r>
    </w:p>
    <w:p w14:paraId="7AAD1313">
      <w:pPr>
        <w:pStyle w:val="4"/>
        <w:spacing w:before="120"/>
        <w:jc w:val="center"/>
        <w:rPr>
          <w:b/>
          <w:bCs/>
          <w:spacing w:val="-3"/>
          <w:sz w:val="24"/>
          <w:szCs w:val="24"/>
          <w:lang w:eastAsia="zh-CN"/>
        </w:rPr>
      </w:pPr>
      <w:r>
        <w:rPr>
          <w:b/>
          <w:bCs/>
          <w:spacing w:val="-3"/>
          <w:sz w:val="24"/>
          <w:szCs w:val="24"/>
          <w:lang w:eastAsia="zh-CN"/>
        </w:rPr>
        <w:t>表C.0.4 热熔与挤出焊缝强度判定标准值</w:t>
      </w:r>
    </w:p>
    <w:p w14:paraId="5CC1C041">
      <w:pPr>
        <w:spacing w:line="46" w:lineRule="exact"/>
      </w:pPr>
    </w:p>
    <w:tbl>
      <w:tblPr>
        <w:tblStyle w:val="2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1"/>
        <w:gridCol w:w="1701"/>
        <w:gridCol w:w="1676"/>
        <w:gridCol w:w="1701"/>
        <w:gridCol w:w="1669"/>
      </w:tblGrid>
      <w:tr w14:paraId="783B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949" w:type="pct"/>
            <w:vMerge w:val="restart"/>
            <w:tcBorders>
              <w:top w:val="single" w:color="000000" w:sz="12" w:space="0"/>
              <w:left w:val="single" w:color="000000" w:sz="12" w:space="0"/>
              <w:bottom w:val="single" w:color="000000" w:sz="12" w:space="0"/>
              <w:right w:val="single" w:color="000000" w:sz="12" w:space="0"/>
            </w:tcBorders>
            <w:vAlign w:val="center"/>
          </w:tcPr>
          <w:p w14:paraId="0FF95D4D">
            <w:pPr>
              <w:pStyle w:val="25"/>
              <w:spacing w:before="120" w:after="120"/>
              <w:ind w:left="214" w:right="63" w:hanging="169"/>
              <w:jc w:val="center"/>
              <w:rPr>
                <w:spacing w:val="-2"/>
                <w:sz w:val="24"/>
                <w:szCs w:val="24"/>
              </w:rPr>
            </w:pPr>
            <w:r>
              <w:rPr>
                <w:spacing w:val="-2"/>
                <w:sz w:val="24"/>
                <w:szCs w:val="24"/>
              </w:rPr>
              <w:t>厚度 (mm)</w:t>
            </w:r>
          </w:p>
        </w:tc>
        <w:tc>
          <w:tcPr>
            <w:tcW w:w="2027" w:type="pct"/>
            <w:gridSpan w:val="2"/>
            <w:tcBorders>
              <w:top w:val="single" w:color="000000" w:sz="12" w:space="0"/>
              <w:left w:val="single" w:color="000000" w:sz="12" w:space="0"/>
              <w:bottom w:val="single" w:color="000000" w:sz="12" w:space="0"/>
              <w:right w:val="single" w:color="000000" w:sz="12" w:space="0"/>
            </w:tcBorders>
          </w:tcPr>
          <w:p w14:paraId="6C7D04B9">
            <w:pPr>
              <w:pStyle w:val="25"/>
              <w:spacing w:before="120" w:after="120"/>
              <w:ind w:left="214" w:right="63" w:hanging="169"/>
              <w:jc w:val="center"/>
              <w:rPr>
                <w:spacing w:val="-2"/>
                <w:sz w:val="24"/>
                <w:szCs w:val="24"/>
              </w:rPr>
            </w:pPr>
            <w:r>
              <w:rPr>
                <w:spacing w:val="-2"/>
                <w:sz w:val="24"/>
                <w:szCs w:val="24"/>
              </w:rPr>
              <w:t>剪切(N/mm)</w:t>
            </w:r>
          </w:p>
        </w:tc>
        <w:tc>
          <w:tcPr>
            <w:tcW w:w="2023" w:type="pct"/>
            <w:gridSpan w:val="2"/>
            <w:tcBorders>
              <w:top w:val="single" w:color="000000" w:sz="12" w:space="0"/>
              <w:left w:val="single" w:color="000000" w:sz="12" w:space="0"/>
              <w:bottom w:val="single" w:color="000000" w:sz="12" w:space="0"/>
              <w:right w:val="single" w:color="000000" w:sz="12" w:space="0"/>
            </w:tcBorders>
          </w:tcPr>
          <w:p w14:paraId="132B1E6D">
            <w:pPr>
              <w:pStyle w:val="25"/>
              <w:spacing w:before="120" w:after="120"/>
              <w:ind w:left="214" w:right="63" w:hanging="169"/>
              <w:jc w:val="center"/>
              <w:rPr>
                <w:spacing w:val="-2"/>
                <w:sz w:val="24"/>
                <w:szCs w:val="24"/>
              </w:rPr>
            </w:pPr>
            <w:r>
              <w:rPr>
                <w:spacing w:val="-2"/>
                <w:sz w:val="24"/>
                <w:szCs w:val="24"/>
              </w:rPr>
              <w:t>剥离(N/mm)</w:t>
            </w:r>
          </w:p>
        </w:tc>
      </w:tr>
      <w:tr w14:paraId="2915A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949" w:type="pct"/>
            <w:vMerge w:val="continue"/>
            <w:tcBorders>
              <w:top w:val="single" w:color="000000" w:sz="12" w:space="0"/>
              <w:left w:val="single" w:color="000000" w:sz="12" w:space="0"/>
              <w:bottom w:val="single" w:color="000000" w:sz="12" w:space="0"/>
              <w:right w:val="single" w:color="000000" w:sz="12" w:space="0"/>
            </w:tcBorders>
          </w:tcPr>
          <w:p w14:paraId="0A98DF0F">
            <w:pPr>
              <w:pStyle w:val="25"/>
              <w:spacing w:before="120" w:after="120"/>
              <w:ind w:left="214" w:right="63" w:hanging="169"/>
              <w:jc w:val="center"/>
              <w:rPr>
                <w:spacing w:val="-2"/>
                <w:sz w:val="24"/>
                <w:szCs w:val="24"/>
              </w:rPr>
            </w:pPr>
          </w:p>
        </w:tc>
        <w:tc>
          <w:tcPr>
            <w:tcW w:w="1021" w:type="pct"/>
            <w:tcBorders>
              <w:top w:val="single" w:color="000000" w:sz="12" w:space="0"/>
              <w:left w:val="single" w:color="000000" w:sz="12" w:space="0"/>
              <w:bottom w:val="single" w:color="000000" w:sz="12" w:space="0"/>
              <w:right w:val="single" w:color="000000" w:sz="12" w:space="0"/>
            </w:tcBorders>
          </w:tcPr>
          <w:p w14:paraId="25B1E824">
            <w:pPr>
              <w:pStyle w:val="25"/>
              <w:spacing w:before="120" w:after="120"/>
              <w:ind w:left="214" w:right="63" w:hanging="169"/>
              <w:jc w:val="center"/>
              <w:rPr>
                <w:spacing w:val="-2"/>
                <w:sz w:val="24"/>
                <w:szCs w:val="24"/>
              </w:rPr>
            </w:pPr>
            <w:r>
              <w:rPr>
                <w:spacing w:val="-2"/>
                <w:sz w:val="24"/>
                <w:szCs w:val="24"/>
              </w:rPr>
              <w:t>热熔焊</w:t>
            </w:r>
          </w:p>
        </w:tc>
        <w:tc>
          <w:tcPr>
            <w:tcW w:w="1005" w:type="pct"/>
            <w:tcBorders>
              <w:top w:val="single" w:color="000000" w:sz="12" w:space="0"/>
              <w:left w:val="single" w:color="000000" w:sz="12" w:space="0"/>
              <w:bottom w:val="single" w:color="000000" w:sz="12" w:space="0"/>
              <w:right w:val="single" w:color="000000" w:sz="12" w:space="0"/>
            </w:tcBorders>
          </w:tcPr>
          <w:p w14:paraId="35236E91">
            <w:pPr>
              <w:pStyle w:val="25"/>
              <w:spacing w:before="120" w:after="120"/>
              <w:ind w:left="214" w:right="63" w:hanging="169"/>
              <w:jc w:val="center"/>
              <w:rPr>
                <w:spacing w:val="-2"/>
                <w:sz w:val="24"/>
                <w:szCs w:val="24"/>
              </w:rPr>
            </w:pPr>
            <w:r>
              <w:rPr>
                <w:spacing w:val="-2"/>
                <w:sz w:val="24"/>
                <w:szCs w:val="24"/>
              </w:rPr>
              <w:t>挤出焊</w:t>
            </w:r>
          </w:p>
        </w:tc>
        <w:tc>
          <w:tcPr>
            <w:tcW w:w="1021" w:type="pct"/>
            <w:tcBorders>
              <w:top w:val="single" w:color="000000" w:sz="12" w:space="0"/>
              <w:left w:val="single" w:color="000000" w:sz="12" w:space="0"/>
              <w:bottom w:val="single" w:color="000000" w:sz="12" w:space="0"/>
              <w:right w:val="single" w:color="000000" w:sz="12" w:space="0"/>
            </w:tcBorders>
          </w:tcPr>
          <w:p w14:paraId="2B558113">
            <w:pPr>
              <w:pStyle w:val="25"/>
              <w:spacing w:before="120" w:after="120"/>
              <w:ind w:left="214" w:right="63" w:hanging="169"/>
              <w:jc w:val="center"/>
              <w:rPr>
                <w:spacing w:val="-2"/>
                <w:sz w:val="24"/>
                <w:szCs w:val="24"/>
              </w:rPr>
            </w:pPr>
            <w:r>
              <w:rPr>
                <w:spacing w:val="-2"/>
                <w:sz w:val="24"/>
                <w:szCs w:val="24"/>
              </w:rPr>
              <w:t>热熔焊</w:t>
            </w:r>
          </w:p>
        </w:tc>
        <w:tc>
          <w:tcPr>
            <w:tcW w:w="1001" w:type="pct"/>
            <w:tcBorders>
              <w:top w:val="single" w:color="000000" w:sz="12" w:space="0"/>
              <w:left w:val="single" w:color="000000" w:sz="12" w:space="0"/>
              <w:bottom w:val="single" w:color="000000" w:sz="12" w:space="0"/>
              <w:right w:val="single" w:color="000000" w:sz="12" w:space="0"/>
            </w:tcBorders>
          </w:tcPr>
          <w:p w14:paraId="0A458BEC">
            <w:pPr>
              <w:pStyle w:val="25"/>
              <w:spacing w:before="120" w:after="120"/>
              <w:ind w:left="214" w:right="63" w:hanging="169"/>
              <w:jc w:val="center"/>
              <w:rPr>
                <w:spacing w:val="-2"/>
                <w:sz w:val="24"/>
                <w:szCs w:val="24"/>
              </w:rPr>
            </w:pPr>
            <w:r>
              <w:rPr>
                <w:spacing w:val="-2"/>
                <w:sz w:val="24"/>
                <w:szCs w:val="24"/>
              </w:rPr>
              <w:t>挤出焊</w:t>
            </w:r>
          </w:p>
        </w:tc>
      </w:tr>
      <w:tr w14:paraId="01E12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949" w:type="pct"/>
            <w:tcBorders>
              <w:top w:val="single" w:color="000000" w:sz="12" w:space="0"/>
              <w:left w:val="single" w:color="000000" w:sz="12" w:space="0"/>
              <w:bottom w:val="single" w:color="000000" w:sz="12" w:space="0"/>
              <w:right w:val="single" w:color="000000" w:sz="12" w:space="0"/>
            </w:tcBorders>
          </w:tcPr>
          <w:p w14:paraId="3E4C96A1">
            <w:pPr>
              <w:pStyle w:val="25"/>
              <w:spacing w:before="120" w:after="120"/>
              <w:ind w:left="214" w:right="63" w:hanging="169"/>
              <w:jc w:val="center"/>
              <w:rPr>
                <w:spacing w:val="-2"/>
                <w:sz w:val="24"/>
                <w:szCs w:val="24"/>
              </w:rPr>
            </w:pPr>
            <w:r>
              <w:rPr>
                <w:spacing w:val="-2"/>
                <w:sz w:val="24"/>
                <w:szCs w:val="24"/>
              </w:rPr>
              <w:t>1.5</w:t>
            </w:r>
          </w:p>
        </w:tc>
        <w:tc>
          <w:tcPr>
            <w:tcW w:w="1021" w:type="pct"/>
            <w:tcBorders>
              <w:top w:val="single" w:color="000000" w:sz="12" w:space="0"/>
              <w:left w:val="single" w:color="000000" w:sz="12" w:space="0"/>
              <w:bottom w:val="single" w:color="000000" w:sz="12" w:space="0"/>
              <w:right w:val="single" w:color="000000" w:sz="12" w:space="0"/>
            </w:tcBorders>
          </w:tcPr>
          <w:p w14:paraId="1B3B7FF9">
            <w:pPr>
              <w:pStyle w:val="25"/>
              <w:spacing w:before="120" w:after="120"/>
              <w:ind w:left="214" w:right="63" w:hanging="169"/>
              <w:jc w:val="center"/>
              <w:rPr>
                <w:spacing w:val="-2"/>
                <w:sz w:val="24"/>
                <w:szCs w:val="24"/>
              </w:rPr>
            </w:pPr>
            <w:r>
              <w:rPr>
                <w:spacing w:val="-2"/>
                <w:sz w:val="24"/>
                <w:szCs w:val="24"/>
              </w:rPr>
              <w:t>21.2</w:t>
            </w:r>
          </w:p>
        </w:tc>
        <w:tc>
          <w:tcPr>
            <w:tcW w:w="1005" w:type="pct"/>
            <w:tcBorders>
              <w:top w:val="single" w:color="000000" w:sz="12" w:space="0"/>
              <w:left w:val="single" w:color="000000" w:sz="12" w:space="0"/>
              <w:bottom w:val="single" w:color="000000" w:sz="12" w:space="0"/>
              <w:right w:val="single" w:color="000000" w:sz="12" w:space="0"/>
            </w:tcBorders>
          </w:tcPr>
          <w:p w14:paraId="54A932FF">
            <w:pPr>
              <w:pStyle w:val="25"/>
              <w:spacing w:before="120" w:after="120"/>
              <w:ind w:left="214" w:right="63" w:hanging="169"/>
              <w:jc w:val="center"/>
              <w:rPr>
                <w:spacing w:val="-2"/>
                <w:sz w:val="24"/>
                <w:szCs w:val="24"/>
              </w:rPr>
            </w:pPr>
            <w:r>
              <w:rPr>
                <w:spacing w:val="-2"/>
                <w:sz w:val="24"/>
                <w:szCs w:val="24"/>
              </w:rPr>
              <w:t>21.2</w:t>
            </w:r>
          </w:p>
        </w:tc>
        <w:tc>
          <w:tcPr>
            <w:tcW w:w="1021" w:type="pct"/>
            <w:tcBorders>
              <w:top w:val="single" w:color="000000" w:sz="12" w:space="0"/>
              <w:left w:val="single" w:color="000000" w:sz="12" w:space="0"/>
              <w:bottom w:val="single" w:color="000000" w:sz="12" w:space="0"/>
              <w:right w:val="single" w:color="000000" w:sz="12" w:space="0"/>
            </w:tcBorders>
          </w:tcPr>
          <w:p w14:paraId="7A163BAC">
            <w:pPr>
              <w:pStyle w:val="25"/>
              <w:spacing w:before="120" w:after="120"/>
              <w:ind w:left="214" w:right="63" w:hanging="169"/>
              <w:jc w:val="center"/>
              <w:rPr>
                <w:spacing w:val="-2"/>
                <w:sz w:val="24"/>
                <w:szCs w:val="24"/>
              </w:rPr>
            </w:pPr>
            <w:r>
              <w:rPr>
                <w:spacing w:val="-2"/>
                <w:sz w:val="24"/>
                <w:szCs w:val="24"/>
              </w:rPr>
              <w:t>15.7</w:t>
            </w:r>
          </w:p>
        </w:tc>
        <w:tc>
          <w:tcPr>
            <w:tcW w:w="1001" w:type="pct"/>
            <w:tcBorders>
              <w:top w:val="single" w:color="000000" w:sz="12" w:space="0"/>
              <w:left w:val="single" w:color="000000" w:sz="12" w:space="0"/>
              <w:bottom w:val="single" w:color="000000" w:sz="12" w:space="0"/>
              <w:right w:val="single" w:color="000000" w:sz="12" w:space="0"/>
            </w:tcBorders>
          </w:tcPr>
          <w:p w14:paraId="41FC29EC">
            <w:pPr>
              <w:pStyle w:val="25"/>
              <w:spacing w:before="120" w:after="120"/>
              <w:ind w:left="214" w:right="63" w:hanging="169"/>
              <w:jc w:val="center"/>
              <w:rPr>
                <w:spacing w:val="-2"/>
                <w:sz w:val="24"/>
                <w:szCs w:val="24"/>
              </w:rPr>
            </w:pPr>
            <w:r>
              <w:rPr>
                <w:spacing w:val="-2"/>
                <w:sz w:val="24"/>
                <w:szCs w:val="24"/>
              </w:rPr>
              <w:t>13.7</w:t>
            </w:r>
          </w:p>
        </w:tc>
      </w:tr>
      <w:tr w14:paraId="03FD3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949" w:type="pct"/>
            <w:tcBorders>
              <w:top w:val="single" w:color="000000" w:sz="12" w:space="0"/>
              <w:left w:val="single" w:color="000000" w:sz="12" w:space="0"/>
              <w:bottom w:val="single" w:color="000000" w:sz="12" w:space="0"/>
              <w:right w:val="single" w:color="000000" w:sz="12" w:space="0"/>
            </w:tcBorders>
          </w:tcPr>
          <w:p w14:paraId="35A472F8">
            <w:pPr>
              <w:pStyle w:val="25"/>
              <w:spacing w:before="120" w:after="120"/>
              <w:ind w:left="214" w:right="63" w:hanging="169"/>
              <w:jc w:val="center"/>
              <w:rPr>
                <w:spacing w:val="-2"/>
                <w:sz w:val="24"/>
                <w:szCs w:val="24"/>
              </w:rPr>
            </w:pPr>
            <w:r>
              <w:rPr>
                <w:spacing w:val="-2"/>
                <w:sz w:val="24"/>
                <w:szCs w:val="24"/>
              </w:rPr>
              <w:t>2.0</w:t>
            </w:r>
          </w:p>
        </w:tc>
        <w:tc>
          <w:tcPr>
            <w:tcW w:w="1021" w:type="pct"/>
            <w:tcBorders>
              <w:top w:val="single" w:color="000000" w:sz="12" w:space="0"/>
              <w:left w:val="single" w:color="000000" w:sz="12" w:space="0"/>
              <w:bottom w:val="single" w:color="000000" w:sz="12" w:space="0"/>
              <w:right w:val="single" w:color="000000" w:sz="12" w:space="0"/>
            </w:tcBorders>
          </w:tcPr>
          <w:p w14:paraId="00DB6BFE">
            <w:pPr>
              <w:pStyle w:val="25"/>
              <w:spacing w:before="120" w:after="120"/>
              <w:ind w:left="214" w:right="63" w:hanging="169"/>
              <w:jc w:val="center"/>
              <w:rPr>
                <w:spacing w:val="-2"/>
                <w:sz w:val="24"/>
                <w:szCs w:val="24"/>
              </w:rPr>
            </w:pPr>
            <w:r>
              <w:rPr>
                <w:spacing w:val="-2"/>
                <w:sz w:val="24"/>
                <w:szCs w:val="24"/>
              </w:rPr>
              <w:t>28.2</w:t>
            </w:r>
          </w:p>
        </w:tc>
        <w:tc>
          <w:tcPr>
            <w:tcW w:w="1005" w:type="pct"/>
            <w:tcBorders>
              <w:top w:val="single" w:color="000000" w:sz="12" w:space="0"/>
              <w:left w:val="single" w:color="000000" w:sz="12" w:space="0"/>
              <w:bottom w:val="single" w:color="000000" w:sz="12" w:space="0"/>
              <w:right w:val="single" w:color="000000" w:sz="12" w:space="0"/>
            </w:tcBorders>
          </w:tcPr>
          <w:p w14:paraId="7CCA95DC">
            <w:pPr>
              <w:pStyle w:val="25"/>
              <w:spacing w:before="120" w:after="120"/>
              <w:ind w:left="214" w:right="63" w:hanging="169"/>
              <w:jc w:val="center"/>
              <w:rPr>
                <w:spacing w:val="-2"/>
                <w:sz w:val="24"/>
                <w:szCs w:val="24"/>
              </w:rPr>
            </w:pPr>
            <w:r>
              <w:rPr>
                <w:spacing w:val="-2"/>
                <w:sz w:val="24"/>
                <w:szCs w:val="24"/>
              </w:rPr>
              <w:t>28.2</w:t>
            </w:r>
          </w:p>
        </w:tc>
        <w:tc>
          <w:tcPr>
            <w:tcW w:w="1021" w:type="pct"/>
            <w:tcBorders>
              <w:top w:val="single" w:color="000000" w:sz="12" w:space="0"/>
              <w:left w:val="single" w:color="000000" w:sz="12" w:space="0"/>
              <w:bottom w:val="single" w:color="000000" w:sz="12" w:space="0"/>
              <w:right w:val="single" w:color="000000" w:sz="12" w:space="0"/>
            </w:tcBorders>
          </w:tcPr>
          <w:p w14:paraId="02E407AC">
            <w:pPr>
              <w:pStyle w:val="25"/>
              <w:spacing w:before="120" w:after="120"/>
              <w:ind w:left="214" w:right="63" w:hanging="169"/>
              <w:jc w:val="center"/>
              <w:rPr>
                <w:spacing w:val="-2"/>
                <w:sz w:val="24"/>
                <w:szCs w:val="24"/>
              </w:rPr>
            </w:pPr>
            <w:r>
              <w:rPr>
                <w:spacing w:val="-2"/>
                <w:sz w:val="24"/>
                <w:szCs w:val="24"/>
              </w:rPr>
              <w:t>20.9</w:t>
            </w:r>
          </w:p>
        </w:tc>
        <w:tc>
          <w:tcPr>
            <w:tcW w:w="1001" w:type="pct"/>
            <w:tcBorders>
              <w:top w:val="single" w:color="000000" w:sz="12" w:space="0"/>
              <w:left w:val="single" w:color="000000" w:sz="12" w:space="0"/>
              <w:bottom w:val="single" w:color="000000" w:sz="12" w:space="0"/>
              <w:right w:val="single" w:color="000000" w:sz="12" w:space="0"/>
            </w:tcBorders>
          </w:tcPr>
          <w:p w14:paraId="0106FBF9">
            <w:pPr>
              <w:pStyle w:val="25"/>
              <w:spacing w:before="120" w:after="120"/>
              <w:ind w:left="214" w:right="63" w:hanging="169"/>
              <w:jc w:val="center"/>
              <w:rPr>
                <w:spacing w:val="-2"/>
                <w:sz w:val="24"/>
                <w:szCs w:val="24"/>
              </w:rPr>
            </w:pPr>
            <w:r>
              <w:rPr>
                <w:spacing w:val="-2"/>
                <w:sz w:val="24"/>
                <w:szCs w:val="24"/>
              </w:rPr>
              <w:t>18.3</w:t>
            </w:r>
          </w:p>
        </w:tc>
      </w:tr>
    </w:tbl>
    <w:p w14:paraId="23898424">
      <w:pPr>
        <w:pStyle w:val="4"/>
        <w:spacing w:before="109" w:line="216" w:lineRule="auto"/>
        <w:ind w:left="174"/>
        <w:rPr>
          <w:sz w:val="21"/>
          <w:szCs w:val="21"/>
          <w:lang w:eastAsia="zh-CN"/>
        </w:rPr>
      </w:pPr>
      <w:r>
        <w:rPr>
          <w:spacing w:val="6"/>
          <w:sz w:val="21"/>
          <w:szCs w:val="21"/>
          <w:lang w:eastAsia="zh-CN"/>
        </w:rPr>
        <w:t>注：测试条件为25℃,50</w:t>
      </w:r>
      <w:r>
        <w:rPr>
          <w:rFonts w:ascii="Times New Roman" w:hAnsi="Times New Roman" w:eastAsia="Times New Roman" w:cs="Times New Roman"/>
          <w:sz w:val="21"/>
          <w:szCs w:val="21"/>
          <w:lang w:eastAsia="zh-CN"/>
        </w:rPr>
        <w:t>mm</w:t>
      </w:r>
      <w:r>
        <w:rPr>
          <w:rFonts w:ascii="Times New Roman" w:hAnsi="Times New Roman" w:eastAsia="Times New Roman" w:cs="Times New Roman"/>
          <w:spacing w:val="6"/>
          <w:sz w:val="21"/>
          <w:szCs w:val="21"/>
          <w:lang w:eastAsia="zh-CN"/>
        </w:rPr>
        <w:t>/</w:t>
      </w:r>
      <w:r>
        <w:rPr>
          <w:rFonts w:ascii="Times New Roman" w:hAnsi="Times New Roman" w:eastAsia="Times New Roman" w:cs="Times New Roman"/>
          <w:sz w:val="21"/>
          <w:szCs w:val="21"/>
          <w:lang w:eastAsia="zh-CN"/>
        </w:rPr>
        <w:t>min</w:t>
      </w:r>
      <w:r>
        <w:rPr>
          <w:spacing w:val="6"/>
          <w:sz w:val="21"/>
          <w:szCs w:val="21"/>
          <w:lang w:eastAsia="zh-CN"/>
        </w:rPr>
        <w:t>。</w:t>
      </w:r>
    </w:p>
    <w:p w14:paraId="6D9F2AE1">
      <w:pPr>
        <w:pStyle w:val="4"/>
        <w:spacing w:line="500" w:lineRule="exact"/>
        <w:ind w:firstLine="540" w:firstLineChars="200"/>
        <w:rPr>
          <w:rFonts w:ascii="Times New Roman" w:hAnsi="Times New Roman" w:eastAsia="Times New Roman" w:cs="Times New Roman"/>
          <w:spacing w:val="-5"/>
          <w:sz w:val="28"/>
          <w:szCs w:val="28"/>
          <w:lang w:eastAsia="zh-CN"/>
        </w:rPr>
      </w:pPr>
      <w:r>
        <w:rPr>
          <w:rFonts w:ascii="Times New Roman" w:hAnsi="Times New Roman" w:eastAsia="Times New Roman" w:cs="Times New Roman"/>
          <w:spacing w:val="-5"/>
          <w:sz w:val="28"/>
          <w:szCs w:val="28"/>
          <w:lang w:eastAsia="zh-CN"/>
        </w:rPr>
        <w:t>每个试样应裁取10个25.4mm宽的标准试件，分别做5个剪切试验和5个剥离试验。每种试验5个试样的测试结果中应有4个符合表C.0.4中的要求，且平均值应达到表C.0.4标准、最低值不得低于标准值的80%方视为通过强度测试。</w:t>
      </w:r>
    </w:p>
    <w:p w14:paraId="0E3CE8EF">
      <w:pPr>
        <w:pStyle w:val="4"/>
        <w:spacing w:line="500" w:lineRule="exact"/>
        <w:ind w:firstLine="540" w:firstLineChars="200"/>
        <w:rPr>
          <w:rFonts w:ascii="Times New Roman" w:hAnsi="Times New Roman" w:cs="Times New Roman"/>
          <w:spacing w:val="-5"/>
          <w:sz w:val="28"/>
          <w:szCs w:val="28"/>
          <w:lang w:eastAsia="zh-CN"/>
        </w:rPr>
      </w:pPr>
      <w:r>
        <w:rPr>
          <w:rFonts w:ascii="Times New Roman" w:hAnsi="Times New Roman" w:eastAsia="Times New Roman" w:cs="Times New Roman"/>
          <w:spacing w:val="-5"/>
          <w:sz w:val="28"/>
          <w:szCs w:val="28"/>
          <w:lang w:eastAsia="zh-CN"/>
        </w:rPr>
        <w:t>如不能通过强度测试，应在测试失败的位置沿焊缝两端各6m范围内重新取样测试，重复以上过程直至合格为止。对排查出有怀疑的部位应用挤出焊接方式加以补强</w:t>
      </w:r>
      <w:r>
        <w:rPr>
          <w:rFonts w:hint="eastAsia" w:ascii="Times New Roman" w:hAnsi="Times New Roman" w:cs="Times New Roman"/>
          <w:spacing w:val="-5"/>
          <w:sz w:val="28"/>
          <w:szCs w:val="28"/>
          <w:lang w:eastAsia="zh-CN"/>
        </w:rPr>
        <w:t>。</w:t>
      </w:r>
    </w:p>
    <w:p w14:paraId="51C0E194">
      <w:pPr>
        <w:rPr>
          <w:rFonts w:ascii="Times New Roman" w:hAnsi="Times New Roman" w:eastAsia="宋体" w:cs="Times New Roman"/>
          <w:sz w:val="24"/>
          <w:szCs w:val="21"/>
        </w:rPr>
      </w:pPr>
    </w:p>
    <w:p w14:paraId="6F9AD2EA">
      <w:pPr>
        <w:rPr>
          <w:rFonts w:ascii="Times New Roman" w:hAnsi="Times New Roman" w:eastAsia="宋体" w:cs="Times New Roman"/>
          <w:sz w:val="24"/>
          <w:szCs w:val="21"/>
        </w:rPr>
      </w:pPr>
    </w:p>
    <w:p w14:paraId="219A4748">
      <w:pPr>
        <w:rPr>
          <w:rFonts w:ascii="Times New Roman" w:hAnsi="Times New Roman" w:eastAsia="宋体" w:cs="Times New Roman"/>
          <w:sz w:val="24"/>
          <w:szCs w:val="21"/>
        </w:rPr>
      </w:pPr>
    </w:p>
    <w:p w14:paraId="36AD5AC4">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337FE13A">
      <w:pPr>
        <w:pStyle w:val="4"/>
        <w:spacing w:before="319" w:beforeLines="100" w:after="319" w:afterLines="100"/>
        <w:jc w:val="center"/>
        <w:outlineLvl w:val="0"/>
        <w:rPr>
          <w:b/>
          <w:bCs/>
          <w:spacing w:val="-2"/>
          <w:sz w:val="30"/>
          <w:szCs w:val="30"/>
          <w:lang w:eastAsia="zh-CN"/>
        </w:rPr>
      </w:pPr>
      <w:bookmarkStart w:id="250" w:name="_Toc3541"/>
      <w:r>
        <w:rPr>
          <w:b/>
          <w:bCs/>
          <w:spacing w:val="-2"/>
          <w:sz w:val="30"/>
          <w:szCs w:val="30"/>
          <w:lang w:eastAsia="zh-CN"/>
        </w:rPr>
        <w:t>附录D   高密度聚乙烯土工膜施工</w:t>
      </w:r>
      <w:bookmarkStart w:id="251" w:name="bookmark34"/>
      <w:bookmarkEnd w:id="251"/>
      <w:r>
        <w:rPr>
          <w:b/>
          <w:bCs/>
          <w:spacing w:val="-2"/>
          <w:sz w:val="30"/>
          <w:szCs w:val="30"/>
          <w:lang w:eastAsia="zh-CN"/>
        </w:rPr>
        <w:t>工序质量检查评定</w:t>
      </w:r>
      <w:bookmarkEnd w:id="250"/>
    </w:p>
    <w:p w14:paraId="4BF0479C">
      <w:pPr>
        <w:pStyle w:val="4"/>
        <w:spacing w:before="120"/>
        <w:jc w:val="center"/>
        <w:rPr>
          <w:b/>
          <w:bCs/>
          <w:spacing w:val="-3"/>
          <w:sz w:val="24"/>
          <w:szCs w:val="24"/>
          <w:lang w:eastAsia="zh-CN"/>
        </w:rPr>
      </w:pPr>
      <w:r>
        <w:rPr>
          <w:b/>
          <w:bCs/>
          <w:spacing w:val="-3"/>
          <w:sz w:val="24"/>
          <w:szCs w:val="24"/>
          <w:lang w:eastAsia="zh-CN"/>
        </w:rPr>
        <w:t>表D高密度聚乙烯土工膜施工工序质量检查评定表</w:t>
      </w:r>
    </w:p>
    <w:p w14:paraId="5BF807D5">
      <w:pPr>
        <w:spacing w:line="54" w:lineRule="exact"/>
      </w:pPr>
    </w:p>
    <w:tbl>
      <w:tblPr>
        <w:tblStyle w:val="26"/>
        <w:tblW w:w="502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2"/>
        <w:gridCol w:w="309"/>
        <w:gridCol w:w="638"/>
        <w:gridCol w:w="419"/>
        <w:gridCol w:w="423"/>
        <w:gridCol w:w="252"/>
        <w:gridCol w:w="263"/>
        <w:gridCol w:w="118"/>
        <w:gridCol w:w="150"/>
        <w:gridCol w:w="284"/>
        <w:gridCol w:w="267"/>
        <w:gridCol w:w="253"/>
        <w:gridCol w:w="126"/>
        <w:gridCol w:w="141"/>
        <w:gridCol w:w="252"/>
        <w:gridCol w:w="252"/>
        <w:gridCol w:w="267"/>
        <w:gridCol w:w="136"/>
        <w:gridCol w:w="131"/>
        <w:gridCol w:w="268"/>
        <w:gridCol w:w="144"/>
        <w:gridCol w:w="110"/>
        <w:gridCol w:w="268"/>
        <w:gridCol w:w="144"/>
        <w:gridCol w:w="154"/>
        <w:gridCol w:w="537"/>
        <w:gridCol w:w="189"/>
        <w:gridCol w:w="333"/>
        <w:gridCol w:w="1200"/>
      </w:tblGrid>
      <w:tr w14:paraId="2DE66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5000" w:type="pct"/>
            <w:gridSpan w:val="29"/>
            <w:tcBorders>
              <w:top w:val="single" w:color="000000" w:sz="12" w:space="0"/>
              <w:left w:val="single" w:color="000000" w:sz="12" w:space="0"/>
              <w:bottom w:val="single" w:color="000000" w:sz="12" w:space="0"/>
              <w:right w:val="single" w:color="000000" w:sz="12" w:space="0"/>
            </w:tcBorders>
          </w:tcPr>
          <w:p w14:paraId="55516040">
            <w:pPr>
              <w:pStyle w:val="25"/>
              <w:spacing w:before="41" w:line="213" w:lineRule="auto"/>
              <w:ind w:left="55"/>
              <w:rPr>
                <w:sz w:val="21"/>
                <w:szCs w:val="21"/>
                <w:lang w:eastAsia="zh-CN"/>
              </w:rPr>
            </w:pPr>
            <w:r>
              <w:rPr>
                <w:sz w:val="21"/>
                <w:szCs w:val="21"/>
                <w:lang w:eastAsia="zh-CN"/>
              </w:rPr>
              <w:t>工程名称：           施工单位：                检测单位：       共</w:t>
            </w:r>
            <w:r>
              <w:rPr>
                <w:spacing w:val="47"/>
                <w:sz w:val="21"/>
                <w:szCs w:val="21"/>
                <w:lang w:eastAsia="zh-CN"/>
              </w:rPr>
              <w:t xml:space="preserve"> </w:t>
            </w:r>
            <w:r>
              <w:rPr>
                <w:sz w:val="21"/>
                <w:szCs w:val="21"/>
                <w:lang w:eastAsia="zh-CN"/>
              </w:rPr>
              <w:t>页</w:t>
            </w:r>
            <w:r>
              <w:rPr>
                <w:spacing w:val="44"/>
                <w:sz w:val="21"/>
                <w:szCs w:val="21"/>
                <w:lang w:eastAsia="zh-CN"/>
              </w:rPr>
              <w:t xml:space="preserve"> </w:t>
            </w:r>
            <w:r>
              <w:rPr>
                <w:spacing w:val="-1"/>
                <w:sz w:val="21"/>
                <w:szCs w:val="21"/>
                <w:lang w:eastAsia="zh-CN"/>
              </w:rPr>
              <w:t>第</w:t>
            </w:r>
            <w:r>
              <w:rPr>
                <w:spacing w:val="47"/>
                <w:sz w:val="21"/>
                <w:szCs w:val="21"/>
                <w:lang w:eastAsia="zh-CN"/>
              </w:rPr>
              <w:t xml:space="preserve"> </w:t>
            </w:r>
            <w:r>
              <w:rPr>
                <w:spacing w:val="-1"/>
                <w:sz w:val="21"/>
                <w:szCs w:val="21"/>
                <w:lang w:eastAsia="zh-CN"/>
              </w:rPr>
              <w:t>页</w:t>
            </w:r>
          </w:p>
        </w:tc>
      </w:tr>
      <w:tr w14:paraId="4CCC8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78" w:type="pct"/>
            <w:gridSpan w:val="2"/>
            <w:tcBorders>
              <w:top w:val="single" w:color="000000" w:sz="12" w:space="0"/>
              <w:left w:val="single" w:color="000000" w:sz="12" w:space="0"/>
              <w:bottom w:val="single" w:color="000000" w:sz="12" w:space="0"/>
              <w:right w:val="single" w:color="000000" w:sz="12" w:space="0"/>
            </w:tcBorders>
            <w:vAlign w:val="center"/>
          </w:tcPr>
          <w:p w14:paraId="7B8A6571">
            <w:pPr>
              <w:pStyle w:val="25"/>
              <w:spacing w:before="16" w:line="199" w:lineRule="auto"/>
              <w:ind w:left="65" w:right="75"/>
              <w:jc w:val="center"/>
              <w:rPr>
                <w:spacing w:val="-4"/>
                <w:sz w:val="21"/>
                <w:szCs w:val="21"/>
                <w:lang w:eastAsia="zh-CN"/>
              </w:rPr>
            </w:pPr>
            <w:r>
              <w:rPr>
                <w:rFonts w:hint="eastAsia"/>
                <w:spacing w:val="-4"/>
                <w:sz w:val="21"/>
                <w:szCs w:val="21"/>
                <w:lang w:eastAsia="zh-CN"/>
              </w:rPr>
              <w:t>部位</w:t>
            </w:r>
          </w:p>
          <w:p w14:paraId="07629817">
            <w:pPr>
              <w:pStyle w:val="25"/>
              <w:spacing w:before="16" w:line="199" w:lineRule="auto"/>
              <w:ind w:left="65" w:right="75"/>
              <w:jc w:val="center"/>
              <w:rPr>
                <w:sz w:val="21"/>
                <w:szCs w:val="21"/>
                <w:lang w:eastAsia="zh-CN"/>
              </w:rPr>
            </w:pPr>
            <w:r>
              <w:rPr>
                <w:rFonts w:hint="eastAsia"/>
                <w:spacing w:val="-4"/>
                <w:sz w:val="21"/>
                <w:szCs w:val="21"/>
                <w:lang w:eastAsia="zh-CN"/>
              </w:rPr>
              <w:t>名称</w:t>
            </w:r>
          </w:p>
        </w:tc>
        <w:tc>
          <w:tcPr>
            <w:tcW w:w="633" w:type="pct"/>
            <w:gridSpan w:val="2"/>
            <w:tcBorders>
              <w:top w:val="single" w:color="000000" w:sz="12" w:space="0"/>
              <w:left w:val="single" w:color="000000" w:sz="12" w:space="0"/>
              <w:bottom w:val="single" w:color="000000" w:sz="12" w:space="0"/>
              <w:right w:val="single" w:color="000000" w:sz="12" w:space="0"/>
            </w:tcBorders>
            <w:vAlign w:val="center"/>
          </w:tcPr>
          <w:p w14:paraId="6C715D87">
            <w:pPr>
              <w:jc w:val="center"/>
              <w:rPr>
                <w:rFonts w:ascii="Arial"/>
                <w:szCs w:val="21"/>
              </w:rPr>
            </w:pPr>
          </w:p>
        </w:tc>
        <w:tc>
          <w:tcPr>
            <w:tcW w:w="633" w:type="pct"/>
            <w:gridSpan w:val="4"/>
            <w:tcBorders>
              <w:top w:val="single" w:color="000000" w:sz="12" w:space="0"/>
              <w:left w:val="single" w:color="000000" w:sz="12" w:space="0"/>
              <w:bottom w:val="single" w:color="000000" w:sz="12" w:space="0"/>
              <w:right w:val="single" w:color="000000" w:sz="12" w:space="0"/>
            </w:tcBorders>
            <w:vAlign w:val="center"/>
          </w:tcPr>
          <w:p w14:paraId="541E0691">
            <w:pPr>
              <w:pStyle w:val="25"/>
              <w:spacing w:before="97" w:line="221" w:lineRule="auto"/>
              <w:ind w:left="63"/>
              <w:jc w:val="center"/>
              <w:rPr>
                <w:sz w:val="21"/>
                <w:szCs w:val="21"/>
              </w:rPr>
            </w:pPr>
            <w:r>
              <w:rPr>
                <w:spacing w:val="-2"/>
                <w:sz w:val="21"/>
                <w:szCs w:val="21"/>
              </w:rPr>
              <w:t>工序名称</w:t>
            </w:r>
          </w:p>
        </w:tc>
        <w:tc>
          <w:tcPr>
            <w:tcW w:w="645" w:type="pct"/>
            <w:gridSpan w:val="5"/>
            <w:tcBorders>
              <w:top w:val="single" w:color="000000" w:sz="12" w:space="0"/>
              <w:left w:val="single" w:color="000000" w:sz="12" w:space="0"/>
              <w:bottom w:val="single" w:color="000000" w:sz="12" w:space="0"/>
              <w:right w:val="single" w:color="000000" w:sz="12" w:space="0"/>
            </w:tcBorders>
            <w:vAlign w:val="center"/>
          </w:tcPr>
          <w:p w14:paraId="1EEED2B4">
            <w:pPr>
              <w:jc w:val="center"/>
              <w:rPr>
                <w:rFonts w:ascii="Arial"/>
                <w:szCs w:val="21"/>
              </w:rPr>
            </w:pPr>
          </w:p>
        </w:tc>
        <w:tc>
          <w:tcPr>
            <w:tcW w:w="629" w:type="pct"/>
            <w:gridSpan w:val="5"/>
            <w:tcBorders>
              <w:top w:val="single" w:color="000000" w:sz="12" w:space="0"/>
              <w:left w:val="single" w:color="000000" w:sz="12" w:space="0"/>
              <w:bottom w:val="single" w:color="000000" w:sz="12" w:space="0"/>
              <w:right w:val="single" w:color="000000" w:sz="12" w:space="0"/>
            </w:tcBorders>
            <w:vAlign w:val="center"/>
          </w:tcPr>
          <w:p w14:paraId="4B15F7B1">
            <w:pPr>
              <w:pStyle w:val="25"/>
              <w:spacing w:before="16" w:line="199" w:lineRule="auto"/>
              <w:ind w:left="215" w:right="71" w:hanging="149"/>
              <w:jc w:val="center"/>
              <w:rPr>
                <w:spacing w:val="-2"/>
                <w:sz w:val="21"/>
                <w:szCs w:val="21"/>
              </w:rPr>
            </w:pPr>
            <w:r>
              <w:rPr>
                <w:spacing w:val="-2"/>
                <w:sz w:val="21"/>
                <w:szCs w:val="21"/>
              </w:rPr>
              <w:t>主要工程</w:t>
            </w:r>
          </w:p>
          <w:p w14:paraId="24CC12E6">
            <w:pPr>
              <w:pStyle w:val="25"/>
              <w:spacing w:before="16" w:line="199" w:lineRule="auto"/>
              <w:ind w:left="215" w:right="71" w:hanging="149"/>
              <w:jc w:val="center"/>
              <w:rPr>
                <w:sz w:val="21"/>
                <w:szCs w:val="21"/>
              </w:rPr>
            </w:pPr>
            <w:r>
              <w:rPr>
                <w:spacing w:val="-2"/>
                <w:sz w:val="21"/>
                <w:szCs w:val="21"/>
              </w:rPr>
              <w:t>数量</w:t>
            </w:r>
          </w:p>
        </w:tc>
        <w:tc>
          <w:tcPr>
            <w:tcW w:w="637" w:type="pct"/>
            <w:gridSpan w:val="6"/>
            <w:tcBorders>
              <w:top w:val="single" w:color="000000" w:sz="12" w:space="0"/>
              <w:left w:val="single" w:color="000000" w:sz="12" w:space="0"/>
              <w:bottom w:val="single" w:color="000000" w:sz="12" w:space="0"/>
              <w:right w:val="single" w:color="000000" w:sz="12" w:space="0"/>
            </w:tcBorders>
            <w:vAlign w:val="center"/>
          </w:tcPr>
          <w:p w14:paraId="43FDD3FA">
            <w:pPr>
              <w:jc w:val="center"/>
              <w:rPr>
                <w:rFonts w:ascii="Arial"/>
                <w:szCs w:val="21"/>
              </w:rPr>
            </w:pPr>
          </w:p>
        </w:tc>
        <w:tc>
          <w:tcPr>
            <w:tcW w:w="523" w:type="pct"/>
            <w:gridSpan w:val="3"/>
            <w:tcBorders>
              <w:top w:val="single" w:color="000000" w:sz="12" w:space="0"/>
              <w:left w:val="single" w:color="000000" w:sz="12" w:space="0"/>
              <w:bottom w:val="single" w:color="000000" w:sz="12" w:space="0"/>
              <w:right w:val="single" w:color="000000" w:sz="12" w:space="0"/>
            </w:tcBorders>
            <w:vAlign w:val="center"/>
          </w:tcPr>
          <w:p w14:paraId="7BB9F02A">
            <w:pPr>
              <w:pStyle w:val="25"/>
              <w:spacing w:before="5" w:line="211" w:lineRule="auto"/>
              <w:jc w:val="center"/>
              <w:rPr>
                <w:spacing w:val="-13"/>
                <w:sz w:val="21"/>
                <w:szCs w:val="21"/>
              </w:rPr>
            </w:pPr>
            <w:r>
              <w:rPr>
                <w:spacing w:val="-13"/>
                <w:sz w:val="21"/>
                <w:szCs w:val="21"/>
              </w:rPr>
              <w:t>桩</w:t>
            </w:r>
            <w:r>
              <w:rPr>
                <w:spacing w:val="-15"/>
                <w:sz w:val="21"/>
                <w:szCs w:val="21"/>
              </w:rPr>
              <w:t xml:space="preserve"> </w:t>
            </w:r>
            <w:r>
              <w:rPr>
                <w:spacing w:val="-13"/>
                <w:sz w:val="21"/>
                <w:szCs w:val="21"/>
              </w:rPr>
              <w:t>号</w:t>
            </w:r>
            <w:r>
              <w:rPr>
                <w:spacing w:val="-25"/>
                <w:sz w:val="21"/>
                <w:szCs w:val="21"/>
              </w:rPr>
              <w:t xml:space="preserve"> </w:t>
            </w:r>
            <w:r>
              <w:rPr>
                <w:spacing w:val="-13"/>
                <w:sz w:val="21"/>
                <w:szCs w:val="21"/>
              </w:rPr>
              <w:t>、</w:t>
            </w:r>
          </w:p>
          <w:p w14:paraId="273F6D00">
            <w:pPr>
              <w:pStyle w:val="25"/>
              <w:spacing w:line="200" w:lineRule="auto"/>
              <w:ind w:left="146"/>
              <w:jc w:val="center"/>
              <w:rPr>
                <w:sz w:val="21"/>
                <w:szCs w:val="21"/>
              </w:rPr>
            </w:pPr>
            <w:r>
              <w:rPr>
                <w:spacing w:val="-2"/>
                <w:sz w:val="21"/>
                <w:szCs w:val="21"/>
              </w:rPr>
              <w:t>位置</w:t>
            </w:r>
          </w:p>
        </w:tc>
        <w:tc>
          <w:tcPr>
            <w:tcW w:w="917" w:type="pct"/>
            <w:gridSpan w:val="2"/>
            <w:tcBorders>
              <w:top w:val="single" w:color="000000" w:sz="12" w:space="0"/>
              <w:left w:val="single" w:color="000000" w:sz="12" w:space="0"/>
              <w:bottom w:val="single" w:color="000000" w:sz="12" w:space="0"/>
              <w:right w:val="single" w:color="000000" w:sz="12" w:space="0"/>
            </w:tcBorders>
            <w:vAlign w:val="center"/>
          </w:tcPr>
          <w:p w14:paraId="474568A6">
            <w:pPr>
              <w:jc w:val="center"/>
              <w:rPr>
                <w:rFonts w:ascii="Arial"/>
                <w:szCs w:val="21"/>
              </w:rPr>
            </w:pPr>
          </w:p>
        </w:tc>
      </w:tr>
      <w:tr w14:paraId="07CB9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3" w:type="pct"/>
            <w:tcBorders>
              <w:top w:val="single" w:color="000000" w:sz="12" w:space="0"/>
              <w:left w:val="single" w:color="000000" w:sz="12" w:space="0"/>
              <w:bottom w:val="single" w:color="000000" w:sz="12" w:space="0"/>
              <w:right w:val="single" w:color="000000" w:sz="12" w:space="0"/>
            </w:tcBorders>
            <w:textDirection w:val="tbRlV"/>
          </w:tcPr>
          <w:p w14:paraId="5D25318D">
            <w:pPr>
              <w:pStyle w:val="25"/>
              <w:ind w:left="12"/>
              <w:jc w:val="center"/>
              <w:rPr>
                <w:sz w:val="21"/>
                <w:szCs w:val="21"/>
              </w:rPr>
            </w:pPr>
            <w:r>
              <w:rPr>
                <w:sz w:val="21"/>
                <w:szCs w:val="21"/>
              </w:rPr>
              <w:t>序号</w:t>
            </w:r>
          </w:p>
        </w:tc>
        <w:tc>
          <w:tcPr>
            <w:tcW w:w="3053" w:type="pct"/>
            <w:gridSpan w:val="20"/>
            <w:tcBorders>
              <w:top w:val="single" w:color="000000" w:sz="12" w:space="0"/>
              <w:left w:val="single" w:color="000000" w:sz="12" w:space="0"/>
              <w:bottom w:val="single" w:color="000000" w:sz="12" w:space="0"/>
              <w:right w:val="single" w:color="000000" w:sz="12" w:space="0"/>
            </w:tcBorders>
          </w:tcPr>
          <w:p w14:paraId="76EAD638">
            <w:pPr>
              <w:pStyle w:val="25"/>
              <w:spacing w:before="106" w:line="220" w:lineRule="auto"/>
              <w:ind w:left="1491"/>
              <w:rPr>
                <w:sz w:val="21"/>
                <w:szCs w:val="21"/>
              </w:rPr>
            </w:pPr>
            <w:r>
              <w:rPr>
                <w:spacing w:val="-2"/>
                <w:sz w:val="21"/>
                <w:szCs w:val="21"/>
              </w:rPr>
              <w:t>质量要求</w:t>
            </w:r>
          </w:p>
        </w:tc>
        <w:tc>
          <w:tcPr>
            <w:tcW w:w="1753" w:type="pct"/>
            <w:gridSpan w:val="8"/>
            <w:tcBorders>
              <w:top w:val="single" w:color="000000" w:sz="12" w:space="0"/>
              <w:left w:val="single" w:color="000000" w:sz="12" w:space="0"/>
              <w:bottom w:val="single" w:color="000000" w:sz="12" w:space="0"/>
              <w:right w:val="single" w:color="000000" w:sz="12" w:space="0"/>
            </w:tcBorders>
          </w:tcPr>
          <w:p w14:paraId="2A29270B">
            <w:pPr>
              <w:pStyle w:val="25"/>
              <w:spacing w:before="106" w:line="220" w:lineRule="auto"/>
              <w:ind w:left="726"/>
              <w:rPr>
                <w:sz w:val="21"/>
                <w:szCs w:val="21"/>
              </w:rPr>
            </w:pPr>
            <w:r>
              <w:rPr>
                <w:spacing w:val="-2"/>
                <w:sz w:val="21"/>
                <w:szCs w:val="21"/>
              </w:rPr>
              <w:t>质量情况</w:t>
            </w:r>
          </w:p>
        </w:tc>
      </w:tr>
      <w:tr w14:paraId="20904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2999BA1C">
            <w:pPr>
              <w:pStyle w:val="25"/>
              <w:jc w:val="center"/>
              <w:rPr>
                <w:sz w:val="21"/>
                <w:szCs w:val="21"/>
              </w:rPr>
            </w:pPr>
            <w:r>
              <w:rPr>
                <w:sz w:val="21"/>
                <w:szCs w:val="21"/>
              </w:rPr>
              <w:t>1</w:t>
            </w:r>
          </w:p>
        </w:tc>
        <w:tc>
          <w:tcPr>
            <w:tcW w:w="3053" w:type="pct"/>
            <w:gridSpan w:val="20"/>
            <w:tcBorders>
              <w:top w:val="single" w:color="000000" w:sz="12" w:space="0"/>
              <w:left w:val="single" w:color="000000" w:sz="12" w:space="0"/>
              <w:bottom w:val="single" w:color="000000" w:sz="12" w:space="0"/>
              <w:right w:val="single" w:color="000000" w:sz="12" w:space="0"/>
            </w:tcBorders>
          </w:tcPr>
          <w:p w14:paraId="09857E65">
            <w:pPr>
              <w:pStyle w:val="25"/>
              <w:spacing w:before="16" w:line="280" w:lineRule="exact"/>
              <w:ind w:left="70" w:right="50" w:firstLine="208" w:firstLineChars="100"/>
              <w:rPr>
                <w:sz w:val="21"/>
                <w:szCs w:val="21"/>
                <w:lang w:eastAsia="zh-CN"/>
              </w:rPr>
            </w:pPr>
            <w:r>
              <w:rPr>
                <w:spacing w:val="-1"/>
                <w:sz w:val="21"/>
                <w:szCs w:val="21"/>
                <w:lang w:eastAsia="zh-CN"/>
              </w:rPr>
              <w:t>土工膜和焊条的材料规格和质量符合设计要求和有</w:t>
            </w:r>
            <w:r>
              <w:rPr>
                <w:spacing w:val="14"/>
                <w:sz w:val="21"/>
                <w:szCs w:val="21"/>
                <w:lang w:eastAsia="zh-CN"/>
              </w:rPr>
              <w:t xml:space="preserve"> </w:t>
            </w:r>
            <w:r>
              <w:rPr>
                <w:spacing w:val="-2"/>
                <w:sz w:val="21"/>
                <w:szCs w:val="21"/>
                <w:lang w:eastAsia="zh-CN"/>
              </w:rPr>
              <w:t>关标准的规定</w:t>
            </w:r>
          </w:p>
        </w:tc>
        <w:tc>
          <w:tcPr>
            <w:tcW w:w="1753" w:type="pct"/>
            <w:gridSpan w:val="8"/>
            <w:tcBorders>
              <w:top w:val="single" w:color="000000" w:sz="12" w:space="0"/>
              <w:left w:val="single" w:color="000000" w:sz="12" w:space="0"/>
              <w:bottom w:val="single" w:color="000000" w:sz="12" w:space="0"/>
              <w:right w:val="single" w:color="000000" w:sz="12" w:space="0"/>
            </w:tcBorders>
          </w:tcPr>
          <w:p w14:paraId="614EA156">
            <w:pPr>
              <w:rPr>
                <w:rFonts w:ascii="Arial"/>
                <w:szCs w:val="21"/>
              </w:rPr>
            </w:pPr>
          </w:p>
        </w:tc>
      </w:tr>
      <w:tr w14:paraId="419C2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59E87417">
            <w:pPr>
              <w:pStyle w:val="25"/>
              <w:spacing w:line="183" w:lineRule="auto"/>
              <w:jc w:val="center"/>
              <w:rPr>
                <w:sz w:val="21"/>
                <w:szCs w:val="21"/>
              </w:rPr>
            </w:pPr>
            <w:r>
              <w:rPr>
                <w:sz w:val="21"/>
                <w:szCs w:val="21"/>
              </w:rPr>
              <w:t>2</w:t>
            </w:r>
          </w:p>
        </w:tc>
        <w:tc>
          <w:tcPr>
            <w:tcW w:w="3053" w:type="pct"/>
            <w:gridSpan w:val="20"/>
            <w:tcBorders>
              <w:top w:val="single" w:color="000000" w:sz="12" w:space="0"/>
              <w:left w:val="single" w:color="000000" w:sz="12" w:space="0"/>
              <w:bottom w:val="single" w:color="000000" w:sz="12" w:space="0"/>
              <w:right w:val="single" w:color="000000" w:sz="12" w:space="0"/>
            </w:tcBorders>
          </w:tcPr>
          <w:p w14:paraId="45BA7E6E">
            <w:pPr>
              <w:pStyle w:val="25"/>
              <w:spacing w:before="27" w:line="280" w:lineRule="exact"/>
              <w:ind w:left="70" w:right="49" w:firstLine="208" w:firstLineChars="100"/>
              <w:rPr>
                <w:sz w:val="21"/>
                <w:szCs w:val="21"/>
                <w:lang w:eastAsia="zh-CN"/>
              </w:rPr>
            </w:pPr>
            <w:r>
              <w:rPr>
                <w:spacing w:val="-1"/>
                <w:sz w:val="21"/>
                <w:szCs w:val="21"/>
                <w:lang w:eastAsia="zh-CN"/>
              </w:rPr>
              <w:t>基础层应平整、压实、无裂缝、无松土，表面无积</w:t>
            </w:r>
            <w:r>
              <w:rPr>
                <w:spacing w:val="15"/>
                <w:sz w:val="21"/>
                <w:szCs w:val="21"/>
                <w:lang w:eastAsia="zh-CN"/>
              </w:rPr>
              <w:t xml:space="preserve"> </w:t>
            </w:r>
            <w:r>
              <w:rPr>
                <w:spacing w:val="-1"/>
                <w:sz w:val="21"/>
                <w:szCs w:val="21"/>
                <w:lang w:eastAsia="zh-CN"/>
              </w:rPr>
              <w:t>水、石块、树根及其他任何尖锐杂物</w:t>
            </w:r>
          </w:p>
        </w:tc>
        <w:tc>
          <w:tcPr>
            <w:tcW w:w="1753" w:type="pct"/>
            <w:gridSpan w:val="8"/>
            <w:tcBorders>
              <w:top w:val="single" w:color="000000" w:sz="12" w:space="0"/>
              <w:left w:val="single" w:color="000000" w:sz="12" w:space="0"/>
              <w:bottom w:val="single" w:color="000000" w:sz="12" w:space="0"/>
              <w:right w:val="single" w:color="000000" w:sz="12" w:space="0"/>
            </w:tcBorders>
          </w:tcPr>
          <w:p w14:paraId="1E912744">
            <w:pPr>
              <w:rPr>
                <w:rFonts w:ascii="Arial"/>
                <w:szCs w:val="21"/>
              </w:rPr>
            </w:pPr>
          </w:p>
        </w:tc>
      </w:tr>
      <w:tr w14:paraId="71913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1E52031B">
            <w:pPr>
              <w:pStyle w:val="25"/>
              <w:spacing w:line="164" w:lineRule="auto"/>
              <w:jc w:val="center"/>
              <w:rPr>
                <w:sz w:val="21"/>
                <w:szCs w:val="21"/>
              </w:rPr>
            </w:pPr>
            <w:r>
              <w:rPr>
                <w:sz w:val="21"/>
                <w:szCs w:val="21"/>
              </w:rPr>
              <w:t>3</w:t>
            </w:r>
          </w:p>
        </w:tc>
        <w:tc>
          <w:tcPr>
            <w:tcW w:w="3053" w:type="pct"/>
            <w:gridSpan w:val="20"/>
            <w:tcBorders>
              <w:top w:val="single" w:color="000000" w:sz="12" w:space="0"/>
              <w:left w:val="single" w:color="000000" w:sz="12" w:space="0"/>
              <w:bottom w:val="single" w:color="000000" w:sz="12" w:space="0"/>
              <w:right w:val="single" w:color="000000" w:sz="12" w:space="0"/>
            </w:tcBorders>
          </w:tcPr>
          <w:p w14:paraId="4B4DDDA0">
            <w:pPr>
              <w:pStyle w:val="25"/>
              <w:spacing w:before="37" w:line="280" w:lineRule="exact"/>
              <w:ind w:left="70" w:firstLine="208" w:firstLineChars="100"/>
              <w:rPr>
                <w:sz w:val="21"/>
                <w:szCs w:val="21"/>
                <w:lang w:eastAsia="zh-CN"/>
              </w:rPr>
            </w:pPr>
            <w:r>
              <w:rPr>
                <w:spacing w:val="-1"/>
                <w:sz w:val="21"/>
                <w:szCs w:val="21"/>
                <w:lang w:eastAsia="zh-CN"/>
              </w:rPr>
              <w:t>铺设平整，无破损和褶皱现象</w:t>
            </w:r>
          </w:p>
        </w:tc>
        <w:tc>
          <w:tcPr>
            <w:tcW w:w="1753" w:type="pct"/>
            <w:gridSpan w:val="8"/>
            <w:tcBorders>
              <w:top w:val="single" w:color="000000" w:sz="12" w:space="0"/>
              <w:left w:val="single" w:color="000000" w:sz="12" w:space="0"/>
              <w:bottom w:val="single" w:color="000000" w:sz="12" w:space="0"/>
              <w:right w:val="single" w:color="000000" w:sz="12" w:space="0"/>
            </w:tcBorders>
          </w:tcPr>
          <w:p w14:paraId="053C3385">
            <w:pPr>
              <w:spacing w:line="210" w:lineRule="exact"/>
              <w:rPr>
                <w:rFonts w:ascii="Arial"/>
                <w:szCs w:val="21"/>
              </w:rPr>
            </w:pPr>
          </w:p>
        </w:tc>
      </w:tr>
      <w:tr w14:paraId="3EF68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6B7D26E5">
            <w:pPr>
              <w:pStyle w:val="25"/>
              <w:spacing w:line="183" w:lineRule="auto"/>
              <w:jc w:val="center"/>
              <w:rPr>
                <w:sz w:val="21"/>
                <w:szCs w:val="21"/>
              </w:rPr>
            </w:pPr>
            <w:r>
              <w:rPr>
                <w:sz w:val="21"/>
                <w:szCs w:val="21"/>
              </w:rPr>
              <w:t>4</w:t>
            </w:r>
          </w:p>
        </w:tc>
        <w:tc>
          <w:tcPr>
            <w:tcW w:w="3053" w:type="pct"/>
            <w:gridSpan w:val="20"/>
            <w:tcBorders>
              <w:top w:val="single" w:color="000000" w:sz="12" w:space="0"/>
              <w:left w:val="single" w:color="000000" w:sz="12" w:space="0"/>
              <w:bottom w:val="single" w:color="000000" w:sz="12" w:space="0"/>
              <w:right w:val="single" w:color="000000" w:sz="12" w:space="0"/>
            </w:tcBorders>
          </w:tcPr>
          <w:p w14:paraId="3B4A119C">
            <w:pPr>
              <w:pStyle w:val="25"/>
              <w:spacing w:before="27" w:line="280" w:lineRule="exact"/>
              <w:ind w:left="70" w:right="53" w:firstLine="208" w:firstLineChars="100"/>
              <w:rPr>
                <w:sz w:val="21"/>
                <w:szCs w:val="21"/>
                <w:lang w:eastAsia="zh-CN"/>
              </w:rPr>
            </w:pPr>
            <w:r>
              <w:rPr>
                <w:spacing w:val="-1"/>
                <w:sz w:val="21"/>
                <w:szCs w:val="21"/>
                <w:lang w:eastAsia="zh-CN"/>
              </w:rPr>
              <w:t>高密度聚乙烯土工膜在坡面上的焊缝应尽可能地减</w:t>
            </w:r>
            <w:r>
              <w:rPr>
                <w:spacing w:val="11"/>
                <w:sz w:val="21"/>
                <w:szCs w:val="21"/>
                <w:lang w:eastAsia="zh-CN"/>
              </w:rPr>
              <w:t xml:space="preserve"> </w:t>
            </w:r>
            <w:r>
              <w:rPr>
                <w:spacing w:val="-1"/>
                <w:sz w:val="21"/>
                <w:szCs w:val="21"/>
                <w:lang w:eastAsia="zh-CN"/>
              </w:rPr>
              <w:t>少，焊缝与坡度纵线的夹角不大于45°,力求平行</w:t>
            </w:r>
          </w:p>
        </w:tc>
        <w:tc>
          <w:tcPr>
            <w:tcW w:w="1753" w:type="pct"/>
            <w:gridSpan w:val="8"/>
            <w:tcBorders>
              <w:top w:val="single" w:color="000000" w:sz="12" w:space="0"/>
              <w:left w:val="single" w:color="000000" w:sz="12" w:space="0"/>
              <w:bottom w:val="single" w:color="000000" w:sz="12" w:space="0"/>
              <w:right w:val="single" w:color="000000" w:sz="12" w:space="0"/>
            </w:tcBorders>
          </w:tcPr>
          <w:p w14:paraId="23924F3C">
            <w:pPr>
              <w:rPr>
                <w:rFonts w:ascii="Arial"/>
                <w:szCs w:val="21"/>
              </w:rPr>
            </w:pPr>
          </w:p>
        </w:tc>
      </w:tr>
      <w:tr w14:paraId="4C874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12D28528">
            <w:pPr>
              <w:pStyle w:val="25"/>
              <w:spacing w:line="182" w:lineRule="auto"/>
              <w:jc w:val="center"/>
              <w:rPr>
                <w:sz w:val="21"/>
                <w:szCs w:val="21"/>
              </w:rPr>
            </w:pPr>
            <w:r>
              <w:rPr>
                <w:sz w:val="21"/>
                <w:szCs w:val="21"/>
              </w:rPr>
              <w:t>5</w:t>
            </w:r>
          </w:p>
        </w:tc>
        <w:tc>
          <w:tcPr>
            <w:tcW w:w="3053" w:type="pct"/>
            <w:gridSpan w:val="20"/>
            <w:tcBorders>
              <w:top w:val="single" w:color="000000" w:sz="12" w:space="0"/>
              <w:left w:val="single" w:color="000000" w:sz="12" w:space="0"/>
              <w:bottom w:val="single" w:color="000000" w:sz="12" w:space="0"/>
              <w:right w:val="single" w:color="000000" w:sz="12" w:space="0"/>
            </w:tcBorders>
          </w:tcPr>
          <w:p w14:paraId="314B1777">
            <w:pPr>
              <w:pStyle w:val="25"/>
              <w:spacing w:before="18" w:line="280" w:lineRule="exact"/>
              <w:ind w:left="60" w:right="284" w:firstLine="208" w:firstLineChars="100"/>
              <w:rPr>
                <w:sz w:val="21"/>
                <w:szCs w:val="21"/>
                <w:lang w:eastAsia="zh-CN"/>
              </w:rPr>
            </w:pPr>
            <w:r>
              <w:rPr>
                <w:spacing w:val="-1"/>
                <w:sz w:val="21"/>
                <w:szCs w:val="21"/>
                <w:lang w:eastAsia="zh-CN"/>
              </w:rPr>
              <w:t>在坡度大于10%的坡面上和坡脚1.5m范围内不得</w:t>
            </w:r>
            <w:r>
              <w:rPr>
                <w:spacing w:val="17"/>
                <w:sz w:val="21"/>
                <w:szCs w:val="21"/>
                <w:lang w:eastAsia="zh-CN"/>
              </w:rPr>
              <w:t xml:space="preserve"> </w:t>
            </w:r>
            <w:r>
              <w:rPr>
                <w:spacing w:val="-2"/>
                <w:sz w:val="21"/>
                <w:szCs w:val="21"/>
                <w:lang w:eastAsia="zh-CN"/>
              </w:rPr>
              <w:t>有横向焊缝</w:t>
            </w:r>
          </w:p>
        </w:tc>
        <w:tc>
          <w:tcPr>
            <w:tcW w:w="1753" w:type="pct"/>
            <w:gridSpan w:val="8"/>
            <w:tcBorders>
              <w:top w:val="single" w:color="000000" w:sz="12" w:space="0"/>
              <w:left w:val="single" w:color="000000" w:sz="12" w:space="0"/>
              <w:bottom w:val="single" w:color="000000" w:sz="12" w:space="0"/>
              <w:right w:val="single" w:color="000000" w:sz="12" w:space="0"/>
            </w:tcBorders>
          </w:tcPr>
          <w:p w14:paraId="28CFF218">
            <w:pPr>
              <w:rPr>
                <w:rFonts w:ascii="Arial"/>
                <w:szCs w:val="21"/>
              </w:rPr>
            </w:pPr>
          </w:p>
        </w:tc>
      </w:tr>
      <w:tr w14:paraId="57C2D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7E0561FE">
            <w:pPr>
              <w:pStyle w:val="25"/>
              <w:spacing w:line="183" w:lineRule="auto"/>
              <w:jc w:val="center"/>
              <w:rPr>
                <w:sz w:val="21"/>
                <w:szCs w:val="21"/>
              </w:rPr>
            </w:pPr>
            <w:r>
              <w:rPr>
                <w:sz w:val="21"/>
                <w:szCs w:val="21"/>
              </w:rPr>
              <w:t>6</w:t>
            </w:r>
          </w:p>
        </w:tc>
        <w:tc>
          <w:tcPr>
            <w:tcW w:w="3053" w:type="pct"/>
            <w:gridSpan w:val="20"/>
            <w:tcBorders>
              <w:top w:val="single" w:color="000000" w:sz="12" w:space="0"/>
              <w:left w:val="single" w:color="000000" w:sz="12" w:space="0"/>
              <w:bottom w:val="single" w:color="000000" w:sz="12" w:space="0"/>
              <w:right w:val="single" w:color="000000" w:sz="12" w:space="0"/>
            </w:tcBorders>
          </w:tcPr>
          <w:p w14:paraId="2F8D3D11">
            <w:pPr>
              <w:pStyle w:val="25"/>
              <w:spacing w:before="19" w:line="280" w:lineRule="exact"/>
              <w:ind w:left="70" w:right="70" w:firstLine="208" w:firstLineChars="100"/>
              <w:rPr>
                <w:sz w:val="21"/>
                <w:szCs w:val="21"/>
                <w:lang w:eastAsia="zh-CN"/>
              </w:rPr>
            </w:pPr>
            <w:r>
              <w:rPr>
                <w:spacing w:val="-1"/>
                <w:sz w:val="21"/>
                <w:szCs w:val="21"/>
                <w:lang w:eastAsia="zh-CN"/>
              </w:rPr>
              <w:t>焊缝表面应整齐、美观，不得有裂纹、气孔、漏焊</w:t>
            </w:r>
            <w:r>
              <w:rPr>
                <w:spacing w:val="14"/>
                <w:sz w:val="21"/>
                <w:szCs w:val="21"/>
                <w:lang w:eastAsia="zh-CN"/>
              </w:rPr>
              <w:t xml:space="preserve"> </w:t>
            </w:r>
            <w:r>
              <w:rPr>
                <w:spacing w:val="-2"/>
                <w:sz w:val="21"/>
                <w:szCs w:val="21"/>
                <w:lang w:eastAsia="zh-CN"/>
              </w:rPr>
              <w:t>或跳焊现象</w:t>
            </w:r>
          </w:p>
        </w:tc>
        <w:tc>
          <w:tcPr>
            <w:tcW w:w="1753" w:type="pct"/>
            <w:gridSpan w:val="8"/>
            <w:tcBorders>
              <w:top w:val="single" w:color="000000" w:sz="12" w:space="0"/>
              <w:left w:val="single" w:color="000000" w:sz="12" w:space="0"/>
              <w:bottom w:val="single" w:color="000000" w:sz="12" w:space="0"/>
              <w:right w:val="single" w:color="000000" w:sz="12" w:space="0"/>
            </w:tcBorders>
          </w:tcPr>
          <w:p w14:paraId="586C8F50">
            <w:pPr>
              <w:rPr>
                <w:rFonts w:ascii="Arial"/>
                <w:szCs w:val="21"/>
              </w:rPr>
            </w:pPr>
          </w:p>
        </w:tc>
      </w:tr>
      <w:tr w14:paraId="4D34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69BC7293">
            <w:pPr>
              <w:pStyle w:val="25"/>
              <w:spacing w:line="182" w:lineRule="auto"/>
              <w:jc w:val="center"/>
              <w:rPr>
                <w:sz w:val="21"/>
                <w:szCs w:val="21"/>
              </w:rPr>
            </w:pPr>
            <w:r>
              <w:rPr>
                <w:sz w:val="21"/>
                <w:szCs w:val="21"/>
              </w:rPr>
              <w:t>7</w:t>
            </w:r>
          </w:p>
        </w:tc>
        <w:tc>
          <w:tcPr>
            <w:tcW w:w="3053" w:type="pct"/>
            <w:gridSpan w:val="20"/>
            <w:tcBorders>
              <w:top w:val="single" w:color="000000" w:sz="12" w:space="0"/>
              <w:left w:val="single" w:color="000000" w:sz="12" w:space="0"/>
              <w:bottom w:val="single" w:color="000000" w:sz="12" w:space="0"/>
              <w:right w:val="single" w:color="000000" w:sz="12" w:space="0"/>
            </w:tcBorders>
          </w:tcPr>
          <w:p w14:paraId="7D84677C">
            <w:pPr>
              <w:pStyle w:val="25"/>
              <w:spacing w:before="49" w:line="280" w:lineRule="exact"/>
              <w:ind w:left="70" w:right="50" w:firstLine="208" w:firstLineChars="100"/>
              <w:rPr>
                <w:sz w:val="21"/>
                <w:szCs w:val="21"/>
                <w:lang w:eastAsia="zh-CN"/>
              </w:rPr>
            </w:pPr>
            <w:r>
              <w:rPr>
                <w:spacing w:val="-1"/>
                <w:sz w:val="21"/>
                <w:szCs w:val="21"/>
                <w:lang w:eastAsia="zh-CN"/>
              </w:rPr>
              <w:t>焊缝的焊接质量符合标准规范要求的检漏测试和拉</w:t>
            </w:r>
            <w:r>
              <w:rPr>
                <w:spacing w:val="14"/>
                <w:sz w:val="21"/>
                <w:szCs w:val="21"/>
                <w:lang w:eastAsia="zh-CN"/>
              </w:rPr>
              <w:t xml:space="preserve"> </w:t>
            </w:r>
            <w:r>
              <w:rPr>
                <w:spacing w:val="-2"/>
                <w:sz w:val="21"/>
                <w:szCs w:val="21"/>
                <w:lang w:eastAsia="zh-CN"/>
              </w:rPr>
              <w:t>力测试</w:t>
            </w:r>
          </w:p>
        </w:tc>
        <w:tc>
          <w:tcPr>
            <w:tcW w:w="1753" w:type="pct"/>
            <w:gridSpan w:val="8"/>
            <w:tcBorders>
              <w:top w:val="single" w:color="000000" w:sz="12" w:space="0"/>
              <w:left w:val="single" w:color="000000" w:sz="12" w:space="0"/>
              <w:bottom w:val="single" w:color="000000" w:sz="12" w:space="0"/>
              <w:right w:val="single" w:color="000000" w:sz="12" w:space="0"/>
            </w:tcBorders>
          </w:tcPr>
          <w:p w14:paraId="5B830A70">
            <w:pPr>
              <w:rPr>
                <w:rFonts w:ascii="Arial"/>
                <w:szCs w:val="21"/>
              </w:rPr>
            </w:pPr>
          </w:p>
        </w:tc>
      </w:tr>
      <w:tr w14:paraId="46C4D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760" w:type="pct"/>
            <w:gridSpan w:val="3"/>
            <w:tcBorders>
              <w:top w:val="single" w:color="000000" w:sz="12" w:space="0"/>
              <w:left w:val="single" w:color="000000" w:sz="12" w:space="0"/>
              <w:bottom w:val="single" w:color="000000" w:sz="12" w:space="0"/>
              <w:right w:val="single" w:color="000000" w:sz="12" w:space="0"/>
            </w:tcBorders>
            <w:vAlign w:val="center"/>
          </w:tcPr>
          <w:p w14:paraId="6C0A201F">
            <w:pPr>
              <w:pStyle w:val="25"/>
              <w:spacing w:before="30" w:line="280" w:lineRule="exact"/>
              <w:ind w:left="283" w:right="153" w:hanging="149"/>
              <w:jc w:val="center"/>
              <w:rPr>
                <w:spacing w:val="-2"/>
                <w:sz w:val="21"/>
                <w:szCs w:val="21"/>
              </w:rPr>
            </w:pPr>
            <w:r>
              <w:rPr>
                <w:spacing w:val="-2"/>
                <w:sz w:val="21"/>
                <w:szCs w:val="21"/>
              </w:rPr>
              <w:t>质量保证</w:t>
            </w:r>
          </w:p>
          <w:p w14:paraId="5B7F4251">
            <w:pPr>
              <w:pStyle w:val="25"/>
              <w:spacing w:before="30" w:line="280" w:lineRule="exact"/>
              <w:ind w:left="283" w:right="153" w:hanging="149"/>
              <w:jc w:val="center"/>
              <w:rPr>
                <w:sz w:val="21"/>
                <w:szCs w:val="21"/>
              </w:rPr>
            </w:pPr>
            <w:r>
              <w:rPr>
                <w:spacing w:val="-4"/>
                <w:sz w:val="21"/>
                <w:szCs w:val="21"/>
              </w:rPr>
              <w:t>资料</w:t>
            </w:r>
          </w:p>
        </w:tc>
        <w:tc>
          <w:tcPr>
            <w:tcW w:w="2486" w:type="pct"/>
            <w:gridSpan w:val="18"/>
            <w:tcBorders>
              <w:top w:val="single" w:color="000000" w:sz="12" w:space="0"/>
              <w:left w:val="single" w:color="000000" w:sz="12" w:space="0"/>
              <w:bottom w:val="single" w:color="000000" w:sz="12" w:space="0"/>
              <w:right w:val="single" w:color="000000" w:sz="12" w:space="0"/>
            </w:tcBorders>
          </w:tcPr>
          <w:p w14:paraId="3C1FFD69">
            <w:pPr>
              <w:pStyle w:val="25"/>
              <w:spacing w:before="30" w:line="280" w:lineRule="exact"/>
              <w:ind w:left="74" w:right="119" w:firstLine="208" w:firstLineChars="100"/>
              <w:rPr>
                <w:sz w:val="21"/>
                <w:szCs w:val="21"/>
                <w:lang w:eastAsia="zh-CN"/>
              </w:rPr>
            </w:pPr>
            <w:r>
              <w:rPr>
                <w:spacing w:val="-1"/>
                <w:sz w:val="21"/>
                <w:szCs w:val="21"/>
                <w:lang w:eastAsia="zh-CN"/>
              </w:rPr>
              <w:t>质量保证资料必须满足有关管理法规和 质量标准的要求</w:t>
            </w:r>
          </w:p>
        </w:tc>
        <w:tc>
          <w:tcPr>
            <w:tcW w:w="1753" w:type="pct"/>
            <w:gridSpan w:val="8"/>
            <w:tcBorders>
              <w:top w:val="single" w:color="000000" w:sz="12" w:space="0"/>
              <w:left w:val="single" w:color="000000" w:sz="12" w:space="0"/>
              <w:bottom w:val="single" w:color="000000" w:sz="12" w:space="0"/>
              <w:right w:val="single" w:color="000000" w:sz="12" w:space="0"/>
            </w:tcBorders>
          </w:tcPr>
          <w:p w14:paraId="324972C5">
            <w:pPr>
              <w:rPr>
                <w:rFonts w:ascii="Arial"/>
                <w:szCs w:val="21"/>
              </w:rPr>
            </w:pPr>
          </w:p>
        </w:tc>
      </w:tr>
      <w:tr w14:paraId="7BFE7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93" w:type="pct"/>
            <w:vMerge w:val="restart"/>
            <w:tcBorders>
              <w:top w:val="single" w:color="000000" w:sz="12" w:space="0"/>
              <w:left w:val="single" w:color="000000" w:sz="12" w:space="0"/>
              <w:bottom w:val="single" w:color="000000" w:sz="12" w:space="0"/>
              <w:right w:val="single" w:color="000000" w:sz="12" w:space="0"/>
            </w:tcBorders>
            <w:textDirection w:val="tbRlV"/>
          </w:tcPr>
          <w:p w14:paraId="0777E08F">
            <w:pPr>
              <w:pStyle w:val="25"/>
              <w:spacing w:before="48" w:line="202" w:lineRule="auto"/>
              <w:jc w:val="center"/>
              <w:rPr>
                <w:sz w:val="21"/>
                <w:szCs w:val="21"/>
              </w:rPr>
            </w:pPr>
            <w:r>
              <w:rPr>
                <w:sz w:val="21"/>
                <w:szCs w:val="21"/>
              </w:rPr>
              <w:t>序号</w:t>
            </w:r>
          </w:p>
        </w:tc>
        <w:tc>
          <w:tcPr>
            <w:tcW w:w="567" w:type="pct"/>
            <w:gridSpan w:val="2"/>
            <w:vMerge w:val="restart"/>
            <w:tcBorders>
              <w:top w:val="single" w:color="000000" w:sz="12" w:space="0"/>
              <w:left w:val="single" w:color="000000" w:sz="12" w:space="0"/>
              <w:bottom w:val="single" w:color="000000" w:sz="12" w:space="0"/>
              <w:right w:val="single" w:color="000000" w:sz="12" w:space="0"/>
            </w:tcBorders>
          </w:tcPr>
          <w:p w14:paraId="1CEE8579">
            <w:pPr>
              <w:spacing w:line="202" w:lineRule="auto"/>
              <w:rPr>
                <w:rFonts w:ascii="Arial"/>
                <w:szCs w:val="21"/>
              </w:rPr>
            </w:pPr>
          </w:p>
          <w:p w14:paraId="05833D4A">
            <w:pPr>
              <w:pStyle w:val="25"/>
              <w:spacing w:before="49" w:line="202" w:lineRule="auto"/>
              <w:ind w:left="21"/>
              <w:rPr>
                <w:sz w:val="21"/>
                <w:szCs w:val="21"/>
              </w:rPr>
            </w:pPr>
            <w:r>
              <w:rPr>
                <w:spacing w:val="7"/>
                <w:sz w:val="21"/>
                <w:szCs w:val="21"/>
              </w:rPr>
              <w:t>实测项目</w:t>
            </w:r>
          </w:p>
        </w:tc>
        <w:tc>
          <w:tcPr>
            <w:tcW w:w="504" w:type="pct"/>
            <w:gridSpan w:val="2"/>
            <w:vMerge w:val="restart"/>
            <w:tcBorders>
              <w:top w:val="single" w:color="000000" w:sz="12" w:space="0"/>
              <w:left w:val="single" w:color="000000" w:sz="12" w:space="0"/>
              <w:bottom w:val="single" w:color="000000" w:sz="12" w:space="0"/>
              <w:right w:val="single" w:color="000000" w:sz="12" w:space="0"/>
            </w:tcBorders>
          </w:tcPr>
          <w:p w14:paraId="16D2FA8E">
            <w:pPr>
              <w:pStyle w:val="25"/>
              <w:spacing w:before="50" w:line="280" w:lineRule="exact"/>
              <w:ind w:left="63"/>
              <w:rPr>
                <w:sz w:val="21"/>
                <w:szCs w:val="21"/>
                <w:lang w:eastAsia="zh-CN"/>
              </w:rPr>
            </w:pPr>
            <w:r>
              <w:rPr>
                <w:spacing w:val="-2"/>
                <w:sz w:val="21"/>
                <w:szCs w:val="21"/>
                <w:lang w:eastAsia="zh-CN"/>
              </w:rPr>
              <w:t>规定值</w:t>
            </w:r>
          </w:p>
          <w:p w14:paraId="36E2D5AE">
            <w:pPr>
              <w:pStyle w:val="25"/>
              <w:spacing w:line="280" w:lineRule="exact"/>
              <w:ind w:left="63"/>
              <w:rPr>
                <w:sz w:val="21"/>
                <w:szCs w:val="21"/>
                <w:lang w:eastAsia="zh-CN"/>
              </w:rPr>
            </w:pPr>
            <w:r>
              <w:rPr>
                <w:spacing w:val="-2"/>
                <w:sz w:val="21"/>
                <w:szCs w:val="21"/>
                <w:lang w:eastAsia="zh-CN"/>
              </w:rPr>
              <w:t>或允许</w:t>
            </w:r>
          </w:p>
          <w:p w14:paraId="372C419D">
            <w:pPr>
              <w:pStyle w:val="25"/>
              <w:spacing w:before="1" w:line="280" w:lineRule="exact"/>
              <w:ind w:left="142"/>
              <w:rPr>
                <w:sz w:val="21"/>
                <w:szCs w:val="21"/>
                <w:lang w:eastAsia="zh-CN"/>
              </w:rPr>
            </w:pPr>
            <w:r>
              <w:rPr>
                <w:spacing w:val="-2"/>
                <w:sz w:val="21"/>
                <w:szCs w:val="21"/>
                <w:lang w:eastAsia="zh-CN"/>
              </w:rPr>
              <w:t>偏差</w:t>
            </w:r>
          </w:p>
          <w:p w14:paraId="37DDEFDD">
            <w:pPr>
              <w:pStyle w:val="25"/>
              <w:spacing w:line="280" w:lineRule="exact"/>
              <w:ind w:left="142"/>
              <w:rPr>
                <w:sz w:val="21"/>
                <w:szCs w:val="21"/>
                <w:lang w:eastAsia="zh-CN"/>
              </w:rPr>
            </w:pPr>
            <w:r>
              <w:rPr>
                <w:spacing w:val="-7"/>
                <w:sz w:val="21"/>
                <w:szCs w:val="21"/>
                <w:lang w:eastAsia="zh-CN"/>
              </w:rPr>
              <w:t>(mm)</w:t>
            </w:r>
          </w:p>
        </w:tc>
        <w:tc>
          <w:tcPr>
            <w:tcW w:w="2386" w:type="pct"/>
            <w:gridSpan w:val="20"/>
            <w:tcBorders>
              <w:top w:val="single" w:color="000000" w:sz="12" w:space="0"/>
              <w:left w:val="single" w:color="000000" w:sz="12" w:space="0"/>
              <w:bottom w:val="single" w:color="000000" w:sz="12" w:space="0"/>
              <w:right w:val="single" w:color="000000" w:sz="12" w:space="0"/>
            </w:tcBorders>
          </w:tcPr>
          <w:p w14:paraId="5847C43B">
            <w:pPr>
              <w:pStyle w:val="25"/>
              <w:spacing w:before="111" w:line="202" w:lineRule="auto"/>
              <w:jc w:val="center"/>
              <w:rPr>
                <w:sz w:val="21"/>
                <w:szCs w:val="21"/>
              </w:rPr>
            </w:pPr>
            <w:r>
              <w:rPr>
                <w:spacing w:val="-1"/>
                <w:sz w:val="21"/>
                <w:szCs w:val="21"/>
              </w:rPr>
              <w:t>实测值或实测偏差值</w:t>
            </w:r>
          </w:p>
        </w:tc>
        <w:tc>
          <w:tcPr>
            <w:tcW w:w="321" w:type="pct"/>
            <w:vMerge w:val="restart"/>
            <w:tcBorders>
              <w:top w:val="single" w:color="000000" w:sz="12" w:space="0"/>
              <w:left w:val="single" w:color="000000" w:sz="12" w:space="0"/>
              <w:bottom w:val="single" w:color="000000" w:sz="12" w:space="0"/>
              <w:right w:val="single" w:color="000000" w:sz="12" w:space="0"/>
            </w:tcBorders>
            <w:textDirection w:val="tbRlV"/>
            <w:vAlign w:val="center"/>
          </w:tcPr>
          <w:p w14:paraId="543FE832">
            <w:pPr>
              <w:pStyle w:val="25"/>
              <w:spacing w:line="202" w:lineRule="auto"/>
              <w:jc w:val="center"/>
              <w:rPr>
                <w:sz w:val="21"/>
                <w:szCs w:val="21"/>
              </w:rPr>
            </w:pPr>
            <w:r>
              <w:rPr>
                <w:sz w:val="21"/>
                <w:szCs w:val="21"/>
              </w:rPr>
              <w:t>应检点数</w:t>
            </w:r>
          </w:p>
        </w:tc>
        <w:tc>
          <w:tcPr>
            <w:tcW w:w="312" w:type="pct"/>
            <w:gridSpan w:val="2"/>
            <w:vMerge w:val="restart"/>
            <w:tcBorders>
              <w:top w:val="single" w:color="000000" w:sz="12" w:space="0"/>
              <w:left w:val="single" w:color="000000" w:sz="12" w:space="0"/>
              <w:bottom w:val="single" w:color="000000" w:sz="12" w:space="0"/>
              <w:right w:val="single" w:color="000000" w:sz="12" w:space="0"/>
            </w:tcBorders>
            <w:textDirection w:val="tbRlV"/>
            <w:vAlign w:val="center"/>
          </w:tcPr>
          <w:p w14:paraId="32BB9B0F">
            <w:pPr>
              <w:pStyle w:val="25"/>
              <w:spacing w:line="202" w:lineRule="auto"/>
              <w:jc w:val="center"/>
              <w:rPr>
                <w:sz w:val="21"/>
                <w:szCs w:val="21"/>
              </w:rPr>
            </w:pPr>
            <w:r>
              <w:rPr>
                <w:sz w:val="21"/>
                <w:szCs w:val="21"/>
              </w:rPr>
              <w:t>合格点数</w:t>
            </w:r>
          </w:p>
        </w:tc>
        <w:tc>
          <w:tcPr>
            <w:tcW w:w="714" w:type="pct"/>
            <w:vMerge w:val="restart"/>
            <w:tcBorders>
              <w:top w:val="single" w:color="000000" w:sz="12" w:space="0"/>
              <w:left w:val="single" w:color="000000" w:sz="12" w:space="0"/>
              <w:bottom w:val="single" w:color="000000" w:sz="12" w:space="0"/>
              <w:right w:val="single" w:color="000000" w:sz="12" w:space="0"/>
            </w:tcBorders>
            <w:textDirection w:val="tbRlV"/>
            <w:vAlign w:val="center"/>
          </w:tcPr>
          <w:p w14:paraId="62386092">
            <w:pPr>
              <w:spacing w:line="202" w:lineRule="auto"/>
              <w:jc w:val="center"/>
              <w:rPr>
                <w:rFonts w:ascii="Arial"/>
                <w:szCs w:val="21"/>
              </w:rPr>
            </w:pPr>
          </w:p>
          <w:p w14:paraId="27DD9DE1">
            <w:pPr>
              <w:pStyle w:val="25"/>
              <w:spacing w:line="202" w:lineRule="auto"/>
              <w:ind w:firstLine="210" w:firstLineChars="100"/>
              <w:jc w:val="left"/>
              <w:rPr>
                <w:sz w:val="21"/>
                <w:szCs w:val="21"/>
                <w:lang w:eastAsia="zh-CN"/>
              </w:rPr>
            </w:pPr>
            <w:r>
              <w:rPr>
                <w:sz w:val="21"/>
                <w:szCs w:val="21"/>
              </w:rPr>
              <w:t>合格率</w:t>
            </w:r>
            <w:r>
              <w:rPr>
                <w:spacing w:val="-8"/>
                <w:sz w:val="21"/>
                <w:szCs w:val="21"/>
              </w:rPr>
              <w:t>(%)</w:t>
            </w:r>
          </w:p>
        </w:tc>
      </w:tr>
      <w:tr w14:paraId="1FBFC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93" w:type="pct"/>
            <w:vMerge w:val="continue"/>
            <w:tcBorders>
              <w:top w:val="single" w:color="000000" w:sz="12" w:space="0"/>
              <w:left w:val="single" w:color="000000" w:sz="12" w:space="0"/>
              <w:bottom w:val="single" w:color="000000" w:sz="12" w:space="0"/>
              <w:right w:val="single" w:color="000000" w:sz="12" w:space="0"/>
            </w:tcBorders>
            <w:textDirection w:val="tbRlV"/>
          </w:tcPr>
          <w:p w14:paraId="6C0AD028">
            <w:pPr>
              <w:spacing w:line="202" w:lineRule="auto"/>
              <w:rPr>
                <w:rFonts w:ascii="Arial"/>
                <w:szCs w:val="21"/>
              </w:rPr>
            </w:pPr>
          </w:p>
        </w:tc>
        <w:tc>
          <w:tcPr>
            <w:tcW w:w="567" w:type="pct"/>
            <w:gridSpan w:val="2"/>
            <w:vMerge w:val="continue"/>
            <w:tcBorders>
              <w:top w:val="single" w:color="000000" w:sz="12" w:space="0"/>
              <w:left w:val="single" w:color="000000" w:sz="12" w:space="0"/>
              <w:bottom w:val="single" w:color="000000" w:sz="12" w:space="0"/>
              <w:right w:val="single" w:color="000000" w:sz="12" w:space="0"/>
            </w:tcBorders>
          </w:tcPr>
          <w:p w14:paraId="75E0922D">
            <w:pPr>
              <w:spacing w:line="202" w:lineRule="auto"/>
              <w:rPr>
                <w:rFonts w:ascii="Arial"/>
                <w:szCs w:val="21"/>
              </w:rPr>
            </w:pPr>
          </w:p>
        </w:tc>
        <w:tc>
          <w:tcPr>
            <w:tcW w:w="504" w:type="pct"/>
            <w:gridSpan w:val="2"/>
            <w:vMerge w:val="continue"/>
            <w:tcBorders>
              <w:top w:val="single" w:color="000000" w:sz="12" w:space="0"/>
              <w:left w:val="single" w:color="000000" w:sz="12" w:space="0"/>
              <w:bottom w:val="single" w:color="000000" w:sz="12" w:space="0"/>
              <w:right w:val="single" w:color="000000" w:sz="12" w:space="0"/>
            </w:tcBorders>
          </w:tcPr>
          <w:p w14:paraId="4354CE18">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vAlign w:val="center"/>
          </w:tcPr>
          <w:p w14:paraId="27735167">
            <w:pPr>
              <w:pStyle w:val="25"/>
              <w:spacing w:line="202" w:lineRule="auto"/>
              <w:jc w:val="center"/>
              <w:rPr>
                <w:sz w:val="21"/>
                <w:szCs w:val="21"/>
              </w:rPr>
            </w:pPr>
            <w:r>
              <w:rPr>
                <w:sz w:val="21"/>
                <w:szCs w:val="21"/>
              </w:rPr>
              <w:t>1</w:t>
            </w:r>
          </w:p>
        </w:tc>
        <w:tc>
          <w:tcPr>
            <w:tcW w:w="158" w:type="pct"/>
            <w:tcBorders>
              <w:top w:val="single" w:color="000000" w:sz="12" w:space="0"/>
              <w:left w:val="single" w:color="000000" w:sz="12" w:space="0"/>
              <w:bottom w:val="single" w:color="000000" w:sz="12" w:space="0"/>
              <w:right w:val="single" w:color="000000" w:sz="12" w:space="0"/>
            </w:tcBorders>
            <w:vAlign w:val="center"/>
          </w:tcPr>
          <w:p w14:paraId="0E06985D">
            <w:pPr>
              <w:pStyle w:val="25"/>
              <w:spacing w:line="202" w:lineRule="auto"/>
              <w:jc w:val="center"/>
              <w:rPr>
                <w:sz w:val="21"/>
                <w:szCs w:val="21"/>
              </w:rPr>
            </w:pPr>
            <w:r>
              <w:rPr>
                <w:sz w:val="21"/>
                <w:szCs w:val="21"/>
              </w:rPr>
              <w:t>2</w:t>
            </w:r>
          </w:p>
        </w:tc>
        <w:tc>
          <w:tcPr>
            <w:tcW w:w="161" w:type="pct"/>
            <w:gridSpan w:val="2"/>
            <w:tcBorders>
              <w:top w:val="single" w:color="000000" w:sz="12" w:space="0"/>
              <w:left w:val="single" w:color="000000" w:sz="12" w:space="0"/>
              <w:bottom w:val="single" w:color="000000" w:sz="12" w:space="0"/>
              <w:right w:val="single" w:color="000000" w:sz="12" w:space="0"/>
            </w:tcBorders>
            <w:vAlign w:val="center"/>
          </w:tcPr>
          <w:p w14:paraId="2E0FE740">
            <w:pPr>
              <w:pStyle w:val="25"/>
              <w:spacing w:line="202" w:lineRule="auto"/>
              <w:jc w:val="center"/>
              <w:rPr>
                <w:sz w:val="21"/>
                <w:szCs w:val="21"/>
              </w:rPr>
            </w:pPr>
            <w:r>
              <w:rPr>
                <w:sz w:val="21"/>
                <w:szCs w:val="21"/>
              </w:rPr>
              <w:t>3</w:t>
            </w:r>
          </w:p>
        </w:tc>
        <w:tc>
          <w:tcPr>
            <w:tcW w:w="167" w:type="pct"/>
            <w:tcBorders>
              <w:top w:val="single" w:color="000000" w:sz="12" w:space="0"/>
              <w:left w:val="single" w:color="000000" w:sz="12" w:space="0"/>
              <w:bottom w:val="single" w:color="000000" w:sz="12" w:space="0"/>
              <w:right w:val="single" w:color="000000" w:sz="12" w:space="0"/>
            </w:tcBorders>
            <w:vAlign w:val="center"/>
          </w:tcPr>
          <w:p w14:paraId="33275652">
            <w:pPr>
              <w:pStyle w:val="25"/>
              <w:spacing w:line="202" w:lineRule="auto"/>
              <w:jc w:val="center"/>
              <w:rPr>
                <w:sz w:val="21"/>
                <w:szCs w:val="21"/>
              </w:rPr>
            </w:pPr>
            <w:r>
              <w:rPr>
                <w:sz w:val="21"/>
                <w:szCs w:val="21"/>
              </w:rPr>
              <w:t>4</w:t>
            </w:r>
          </w:p>
        </w:tc>
        <w:tc>
          <w:tcPr>
            <w:tcW w:w="160" w:type="pct"/>
            <w:tcBorders>
              <w:top w:val="single" w:color="000000" w:sz="12" w:space="0"/>
              <w:left w:val="single" w:color="000000" w:sz="12" w:space="0"/>
              <w:bottom w:val="single" w:color="000000" w:sz="12" w:space="0"/>
              <w:right w:val="single" w:color="000000" w:sz="12" w:space="0"/>
            </w:tcBorders>
            <w:vAlign w:val="center"/>
          </w:tcPr>
          <w:p w14:paraId="072759FD">
            <w:pPr>
              <w:pStyle w:val="25"/>
              <w:spacing w:line="202" w:lineRule="auto"/>
              <w:jc w:val="center"/>
              <w:rPr>
                <w:sz w:val="21"/>
                <w:szCs w:val="21"/>
              </w:rPr>
            </w:pPr>
            <w:r>
              <w:rPr>
                <w:sz w:val="21"/>
                <w:szCs w:val="21"/>
              </w:rPr>
              <w:t>5</w:t>
            </w:r>
          </w:p>
        </w:tc>
        <w:tc>
          <w:tcPr>
            <w:tcW w:w="152" w:type="pct"/>
            <w:tcBorders>
              <w:top w:val="single" w:color="000000" w:sz="12" w:space="0"/>
              <w:left w:val="single" w:color="000000" w:sz="12" w:space="0"/>
              <w:bottom w:val="single" w:color="000000" w:sz="12" w:space="0"/>
              <w:right w:val="single" w:color="000000" w:sz="12" w:space="0"/>
            </w:tcBorders>
            <w:vAlign w:val="center"/>
          </w:tcPr>
          <w:p w14:paraId="0BB3FC5B">
            <w:pPr>
              <w:pStyle w:val="25"/>
              <w:spacing w:line="202" w:lineRule="auto"/>
              <w:jc w:val="center"/>
              <w:rPr>
                <w:sz w:val="21"/>
                <w:szCs w:val="21"/>
              </w:rPr>
            </w:pPr>
            <w:r>
              <w:rPr>
                <w:sz w:val="21"/>
                <w:szCs w:val="21"/>
              </w:rPr>
              <w:t>6</w:t>
            </w:r>
          </w:p>
        </w:tc>
        <w:tc>
          <w:tcPr>
            <w:tcW w:w="161" w:type="pct"/>
            <w:gridSpan w:val="2"/>
            <w:tcBorders>
              <w:top w:val="single" w:color="000000" w:sz="12" w:space="0"/>
              <w:left w:val="single" w:color="000000" w:sz="12" w:space="0"/>
              <w:bottom w:val="single" w:color="000000" w:sz="12" w:space="0"/>
              <w:right w:val="single" w:color="000000" w:sz="12" w:space="0"/>
            </w:tcBorders>
            <w:vAlign w:val="center"/>
          </w:tcPr>
          <w:p w14:paraId="12E4E070">
            <w:pPr>
              <w:pStyle w:val="25"/>
              <w:spacing w:line="202" w:lineRule="auto"/>
              <w:jc w:val="center"/>
              <w:rPr>
                <w:sz w:val="21"/>
                <w:szCs w:val="21"/>
              </w:rPr>
            </w:pPr>
            <w:r>
              <w:rPr>
                <w:sz w:val="21"/>
                <w:szCs w:val="21"/>
              </w:rPr>
              <w:t>7</w:t>
            </w:r>
          </w:p>
        </w:tc>
        <w:tc>
          <w:tcPr>
            <w:tcW w:w="151" w:type="pct"/>
            <w:tcBorders>
              <w:top w:val="single" w:color="000000" w:sz="12" w:space="0"/>
              <w:left w:val="single" w:color="000000" w:sz="12" w:space="0"/>
              <w:bottom w:val="single" w:color="000000" w:sz="12" w:space="0"/>
              <w:right w:val="single" w:color="000000" w:sz="12" w:space="0"/>
            </w:tcBorders>
            <w:vAlign w:val="center"/>
          </w:tcPr>
          <w:p w14:paraId="7182F70F">
            <w:pPr>
              <w:pStyle w:val="25"/>
              <w:spacing w:line="202" w:lineRule="auto"/>
              <w:jc w:val="center"/>
              <w:rPr>
                <w:sz w:val="21"/>
                <w:szCs w:val="21"/>
              </w:rPr>
            </w:pPr>
            <w:r>
              <w:rPr>
                <w:sz w:val="21"/>
                <w:szCs w:val="21"/>
              </w:rPr>
              <w:t>8</w:t>
            </w:r>
          </w:p>
        </w:tc>
        <w:tc>
          <w:tcPr>
            <w:tcW w:w="151" w:type="pct"/>
            <w:tcBorders>
              <w:top w:val="single" w:color="000000" w:sz="12" w:space="0"/>
              <w:left w:val="single" w:color="000000" w:sz="12" w:space="0"/>
              <w:bottom w:val="single" w:color="000000" w:sz="12" w:space="0"/>
              <w:right w:val="single" w:color="000000" w:sz="12" w:space="0"/>
            </w:tcBorders>
            <w:vAlign w:val="center"/>
          </w:tcPr>
          <w:p w14:paraId="484CFA80">
            <w:pPr>
              <w:pStyle w:val="25"/>
              <w:spacing w:line="202" w:lineRule="auto"/>
              <w:jc w:val="center"/>
              <w:rPr>
                <w:sz w:val="21"/>
                <w:szCs w:val="21"/>
              </w:rPr>
            </w:pPr>
            <w:r>
              <w:rPr>
                <w:sz w:val="21"/>
                <w:szCs w:val="21"/>
              </w:rPr>
              <w:t>9</w:t>
            </w:r>
          </w:p>
        </w:tc>
        <w:tc>
          <w:tcPr>
            <w:tcW w:w="160" w:type="pct"/>
            <w:tcBorders>
              <w:top w:val="single" w:color="000000" w:sz="12" w:space="0"/>
              <w:left w:val="single" w:color="000000" w:sz="12" w:space="0"/>
              <w:bottom w:val="single" w:color="000000" w:sz="12" w:space="0"/>
              <w:right w:val="single" w:color="000000" w:sz="12" w:space="0"/>
            </w:tcBorders>
            <w:vAlign w:val="center"/>
          </w:tcPr>
          <w:p w14:paraId="4C32EAAC">
            <w:pPr>
              <w:pStyle w:val="25"/>
              <w:spacing w:line="202" w:lineRule="auto"/>
              <w:jc w:val="center"/>
              <w:rPr>
                <w:sz w:val="21"/>
                <w:szCs w:val="21"/>
              </w:rPr>
            </w:pPr>
            <w:r>
              <w:rPr>
                <w:spacing w:val="-5"/>
                <w:sz w:val="21"/>
                <w:szCs w:val="21"/>
              </w:rPr>
              <w:t>10</w:t>
            </w:r>
          </w:p>
        </w:tc>
        <w:tc>
          <w:tcPr>
            <w:tcW w:w="161" w:type="pct"/>
            <w:gridSpan w:val="2"/>
            <w:tcBorders>
              <w:top w:val="single" w:color="000000" w:sz="12" w:space="0"/>
              <w:left w:val="single" w:color="000000" w:sz="12" w:space="0"/>
              <w:bottom w:val="single" w:color="000000" w:sz="12" w:space="0"/>
              <w:right w:val="single" w:color="000000" w:sz="12" w:space="0"/>
            </w:tcBorders>
            <w:vAlign w:val="center"/>
          </w:tcPr>
          <w:p w14:paraId="5861B115">
            <w:pPr>
              <w:pStyle w:val="25"/>
              <w:spacing w:line="202" w:lineRule="auto"/>
              <w:jc w:val="center"/>
              <w:rPr>
                <w:sz w:val="21"/>
                <w:szCs w:val="21"/>
              </w:rPr>
            </w:pPr>
            <w:r>
              <w:rPr>
                <w:spacing w:val="-5"/>
                <w:sz w:val="21"/>
                <w:szCs w:val="21"/>
              </w:rPr>
              <w:t>11</w:t>
            </w:r>
          </w:p>
        </w:tc>
        <w:tc>
          <w:tcPr>
            <w:tcW w:w="160" w:type="pct"/>
            <w:tcBorders>
              <w:top w:val="single" w:color="000000" w:sz="12" w:space="0"/>
              <w:left w:val="single" w:color="000000" w:sz="12" w:space="0"/>
              <w:bottom w:val="single" w:color="000000" w:sz="12" w:space="0"/>
              <w:right w:val="single" w:color="000000" w:sz="12" w:space="0"/>
            </w:tcBorders>
            <w:vAlign w:val="center"/>
          </w:tcPr>
          <w:p w14:paraId="36D36259">
            <w:pPr>
              <w:pStyle w:val="25"/>
              <w:spacing w:line="202" w:lineRule="auto"/>
              <w:jc w:val="center"/>
              <w:rPr>
                <w:sz w:val="21"/>
                <w:szCs w:val="21"/>
              </w:rPr>
            </w:pPr>
            <w:r>
              <w:rPr>
                <w:spacing w:val="-5"/>
                <w:sz w:val="21"/>
                <w:szCs w:val="21"/>
              </w:rPr>
              <w:t>12</w:t>
            </w:r>
          </w:p>
        </w:tc>
        <w:tc>
          <w:tcPr>
            <w:tcW w:w="152" w:type="pct"/>
            <w:gridSpan w:val="2"/>
            <w:tcBorders>
              <w:top w:val="single" w:color="000000" w:sz="12" w:space="0"/>
              <w:left w:val="single" w:color="000000" w:sz="12" w:space="0"/>
              <w:bottom w:val="single" w:color="000000" w:sz="12" w:space="0"/>
              <w:right w:val="single" w:color="000000" w:sz="12" w:space="0"/>
            </w:tcBorders>
            <w:vAlign w:val="center"/>
          </w:tcPr>
          <w:p w14:paraId="6670C380">
            <w:pPr>
              <w:pStyle w:val="25"/>
              <w:spacing w:line="202" w:lineRule="auto"/>
              <w:jc w:val="center"/>
              <w:rPr>
                <w:sz w:val="21"/>
                <w:szCs w:val="21"/>
              </w:rPr>
            </w:pPr>
            <w:r>
              <w:rPr>
                <w:spacing w:val="-5"/>
                <w:sz w:val="21"/>
                <w:szCs w:val="21"/>
              </w:rPr>
              <w:t>13</w:t>
            </w:r>
          </w:p>
        </w:tc>
        <w:tc>
          <w:tcPr>
            <w:tcW w:w="160" w:type="pct"/>
            <w:tcBorders>
              <w:top w:val="single" w:color="000000" w:sz="12" w:space="0"/>
              <w:left w:val="single" w:color="000000" w:sz="12" w:space="0"/>
              <w:bottom w:val="single" w:color="000000" w:sz="12" w:space="0"/>
              <w:right w:val="single" w:color="000000" w:sz="12" w:space="0"/>
            </w:tcBorders>
            <w:vAlign w:val="center"/>
          </w:tcPr>
          <w:p w14:paraId="0F08F72B">
            <w:pPr>
              <w:pStyle w:val="25"/>
              <w:spacing w:line="202" w:lineRule="auto"/>
              <w:jc w:val="center"/>
              <w:rPr>
                <w:sz w:val="21"/>
                <w:szCs w:val="21"/>
              </w:rPr>
            </w:pPr>
            <w:r>
              <w:rPr>
                <w:spacing w:val="-5"/>
                <w:sz w:val="21"/>
                <w:szCs w:val="21"/>
              </w:rPr>
              <w:t>14</w:t>
            </w:r>
          </w:p>
        </w:tc>
        <w:tc>
          <w:tcPr>
            <w:tcW w:w="175" w:type="pct"/>
            <w:gridSpan w:val="2"/>
            <w:tcBorders>
              <w:top w:val="single" w:color="000000" w:sz="12" w:space="0"/>
              <w:left w:val="single" w:color="000000" w:sz="12" w:space="0"/>
              <w:bottom w:val="single" w:color="000000" w:sz="12" w:space="0"/>
              <w:right w:val="single" w:color="000000" w:sz="12" w:space="0"/>
            </w:tcBorders>
            <w:vAlign w:val="center"/>
          </w:tcPr>
          <w:p w14:paraId="65FEF526">
            <w:pPr>
              <w:pStyle w:val="25"/>
              <w:spacing w:line="202" w:lineRule="auto"/>
              <w:jc w:val="center"/>
              <w:rPr>
                <w:sz w:val="21"/>
                <w:szCs w:val="21"/>
              </w:rPr>
            </w:pPr>
            <w:r>
              <w:rPr>
                <w:spacing w:val="-5"/>
                <w:sz w:val="21"/>
                <w:szCs w:val="21"/>
              </w:rPr>
              <w:t>15</w:t>
            </w:r>
          </w:p>
        </w:tc>
        <w:tc>
          <w:tcPr>
            <w:tcW w:w="321" w:type="pct"/>
            <w:vMerge w:val="continue"/>
            <w:tcBorders>
              <w:top w:val="single" w:color="000000" w:sz="12" w:space="0"/>
              <w:left w:val="single" w:color="000000" w:sz="12" w:space="0"/>
              <w:bottom w:val="single" w:color="000000" w:sz="12" w:space="0"/>
              <w:right w:val="single" w:color="000000" w:sz="12" w:space="0"/>
            </w:tcBorders>
            <w:textDirection w:val="tbRlV"/>
          </w:tcPr>
          <w:p w14:paraId="010FAC6B">
            <w:pPr>
              <w:spacing w:line="202" w:lineRule="auto"/>
              <w:rPr>
                <w:rFonts w:ascii="Arial"/>
                <w:szCs w:val="21"/>
              </w:rPr>
            </w:pPr>
          </w:p>
        </w:tc>
        <w:tc>
          <w:tcPr>
            <w:tcW w:w="312" w:type="pct"/>
            <w:gridSpan w:val="2"/>
            <w:vMerge w:val="continue"/>
            <w:tcBorders>
              <w:top w:val="single" w:color="000000" w:sz="12" w:space="0"/>
              <w:left w:val="single" w:color="000000" w:sz="12" w:space="0"/>
              <w:bottom w:val="single" w:color="000000" w:sz="12" w:space="0"/>
              <w:right w:val="single" w:color="000000" w:sz="12" w:space="0"/>
            </w:tcBorders>
            <w:textDirection w:val="tbRlV"/>
          </w:tcPr>
          <w:p w14:paraId="515630C7">
            <w:pPr>
              <w:spacing w:line="202" w:lineRule="auto"/>
              <w:rPr>
                <w:rFonts w:ascii="Arial"/>
                <w:szCs w:val="21"/>
              </w:rPr>
            </w:pPr>
          </w:p>
        </w:tc>
        <w:tc>
          <w:tcPr>
            <w:tcW w:w="714" w:type="pct"/>
            <w:vMerge w:val="continue"/>
            <w:tcBorders>
              <w:top w:val="single" w:color="000000" w:sz="12" w:space="0"/>
              <w:left w:val="single" w:color="000000" w:sz="12" w:space="0"/>
              <w:bottom w:val="single" w:color="000000" w:sz="12" w:space="0"/>
              <w:right w:val="single" w:color="000000" w:sz="12" w:space="0"/>
            </w:tcBorders>
            <w:textDirection w:val="tbRlV"/>
          </w:tcPr>
          <w:p w14:paraId="729A2D10">
            <w:pPr>
              <w:spacing w:line="202" w:lineRule="auto"/>
              <w:rPr>
                <w:rFonts w:ascii="Arial"/>
                <w:szCs w:val="21"/>
              </w:rPr>
            </w:pPr>
          </w:p>
        </w:tc>
      </w:tr>
      <w:tr w14:paraId="45D37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1AD90526">
            <w:pPr>
              <w:pStyle w:val="25"/>
              <w:spacing w:line="202" w:lineRule="auto"/>
              <w:jc w:val="center"/>
              <w:rPr>
                <w:sz w:val="21"/>
                <w:szCs w:val="21"/>
              </w:rPr>
            </w:pPr>
            <w:r>
              <w:rPr>
                <w:sz w:val="21"/>
                <w:szCs w:val="21"/>
              </w:rPr>
              <w:t>1</w:t>
            </w:r>
          </w:p>
        </w:tc>
        <w:tc>
          <w:tcPr>
            <w:tcW w:w="567" w:type="pct"/>
            <w:gridSpan w:val="2"/>
            <w:tcBorders>
              <w:top w:val="single" w:color="000000" w:sz="12" w:space="0"/>
              <w:left w:val="single" w:color="000000" w:sz="12" w:space="0"/>
              <w:bottom w:val="single" w:color="000000" w:sz="12" w:space="0"/>
              <w:right w:val="single" w:color="000000" w:sz="12" w:space="0"/>
            </w:tcBorders>
            <w:vAlign w:val="center"/>
          </w:tcPr>
          <w:p w14:paraId="12A74F3C">
            <w:pPr>
              <w:pStyle w:val="25"/>
              <w:spacing w:line="280" w:lineRule="exact"/>
              <w:jc w:val="center"/>
              <w:rPr>
                <w:sz w:val="21"/>
                <w:szCs w:val="21"/>
                <w:lang w:eastAsia="zh-CN"/>
              </w:rPr>
            </w:pPr>
            <w:r>
              <w:rPr>
                <w:rFonts w:hint="eastAsia"/>
                <w:sz w:val="21"/>
                <w:szCs w:val="21"/>
                <w:lang w:eastAsia="zh-CN"/>
              </w:rPr>
              <w:t>热熔焊搭</w:t>
            </w:r>
          </w:p>
          <w:p w14:paraId="37976EC3">
            <w:pPr>
              <w:pStyle w:val="25"/>
              <w:spacing w:line="280" w:lineRule="exact"/>
              <w:jc w:val="center"/>
              <w:rPr>
                <w:sz w:val="21"/>
                <w:szCs w:val="21"/>
                <w:lang w:eastAsia="zh-CN"/>
              </w:rPr>
            </w:pPr>
            <w:r>
              <w:rPr>
                <w:rFonts w:hint="eastAsia"/>
                <w:sz w:val="21"/>
                <w:szCs w:val="21"/>
                <w:lang w:eastAsia="zh-CN"/>
              </w:rPr>
              <w:t>接宽度</w:t>
            </w:r>
          </w:p>
        </w:tc>
        <w:tc>
          <w:tcPr>
            <w:tcW w:w="504" w:type="pct"/>
            <w:gridSpan w:val="2"/>
            <w:tcBorders>
              <w:top w:val="single" w:color="000000" w:sz="12" w:space="0"/>
              <w:left w:val="single" w:color="000000" w:sz="12" w:space="0"/>
              <w:bottom w:val="single" w:color="000000" w:sz="12" w:space="0"/>
              <w:right w:val="single" w:color="000000" w:sz="12" w:space="0"/>
            </w:tcBorders>
            <w:vAlign w:val="center"/>
          </w:tcPr>
          <w:p w14:paraId="478110FF">
            <w:pPr>
              <w:pStyle w:val="25"/>
              <w:spacing w:line="280" w:lineRule="exact"/>
              <w:jc w:val="center"/>
              <w:rPr>
                <w:sz w:val="21"/>
                <w:szCs w:val="21"/>
              </w:rPr>
            </w:pPr>
            <w:r>
              <w:rPr>
                <w:sz w:val="21"/>
                <w:szCs w:val="21"/>
              </w:rPr>
              <w:t>100±20</w:t>
            </w:r>
          </w:p>
        </w:tc>
        <w:tc>
          <w:tcPr>
            <w:tcW w:w="151" w:type="pct"/>
            <w:tcBorders>
              <w:top w:val="single" w:color="000000" w:sz="12" w:space="0"/>
              <w:left w:val="single" w:color="000000" w:sz="12" w:space="0"/>
              <w:bottom w:val="single" w:color="000000" w:sz="12" w:space="0"/>
              <w:right w:val="single" w:color="000000" w:sz="12" w:space="0"/>
            </w:tcBorders>
          </w:tcPr>
          <w:p w14:paraId="3D75DE87">
            <w:pPr>
              <w:pStyle w:val="25"/>
              <w:spacing w:line="202" w:lineRule="auto"/>
              <w:rPr>
                <w:sz w:val="21"/>
                <w:szCs w:val="21"/>
              </w:rPr>
            </w:pPr>
          </w:p>
        </w:tc>
        <w:tc>
          <w:tcPr>
            <w:tcW w:w="158" w:type="pct"/>
            <w:tcBorders>
              <w:top w:val="single" w:color="000000" w:sz="12" w:space="0"/>
              <w:left w:val="single" w:color="000000" w:sz="12" w:space="0"/>
              <w:bottom w:val="single" w:color="000000" w:sz="12" w:space="0"/>
              <w:right w:val="single" w:color="000000" w:sz="12" w:space="0"/>
            </w:tcBorders>
          </w:tcPr>
          <w:p w14:paraId="6DE6BD5A">
            <w:pPr>
              <w:pStyle w:val="25"/>
              <w:spacing w:line="202" w:lineRule="auto"/>
              <w:rPr>
                <w:sz w:val="21"/>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47FB1D81">
            <w:pPr>
              <w:pStyle w:val="25"/>
              <w:spacing w:line="202" w:lineRule="auto"/>
              <w:rPr>
                <w:sz w:val="21"/>
                <w:szCs w:val="21"/>
              </w:rPr>
            </w:pPr>
          </w:p>
        </w:tc>
        <w:tc>
          <w:tcPr>
            <w:tcW w:w="167" w:type="pct"/>
            <w:tcBorders>
              <w:top w:val="single" w:color="000000" w:sz="12" w:space="0"/>
              <w:left w:val="single" w:color="000000" w:sz="12" w:space="0"/>
              <w:bottom w:val="single" w:color="000000" w:sz="12" w:space="0"/>
              <w:right w:val="single" w:color="000000" w:sz="12" w:space="0"/>
            </w:tcBorders>
          </w:tcPr>
          <w:p w14:paraId="07A7C8CA">
            <w:pPr>
              <w:pStyle w:val="25"/>
              <w:spacing w:line="202" w:lineRule="auto"/>
              <w:rPr>
                <w:sz w:val="21"/>
                <w:szCs w:val="21"/>
              </w:rPr>
            </w:pPr>
          </w:p>
        </w:tc>
        <w:tc>
          <w:tcPr>
            <w:tcW w:w="160" w:type="pct"/>
            <w:tcBorders>
              <w:top w:val="single" w:color="000000" w:sz="12" w:space="0"/>
              <w:left w:val="single" w:color="000000" w:sz="12" w:space="0"/>
              <w:bottom w:val="single" w:color="000000" w:sz="12" w:space="0"/>
              <w:right w:val="single" w:color="000000" w:sz="12" w:space="0"/>
            </w:tcBorders>
          </w:tcPr>
          <w:p w14:paraId="4ACEA893">
            <w:pPr>
              <w:pStyle w:val="25"/>
              <w:spacing w:line="202" w:lineRule="auto"/>
              <w:rPr>
                <w:sz w:val="21"/>
                <w:szCs w:val="21"/>
              </w:rPr>
            </w:pPr>
          </w:p>
        </w:tc>
        <w:tc>
          <w:tcPr>
            <w:tcW w:w="152" w:type="pct"/>
            <w:tcBorders>
              <w:top w:val="single" w:color="000000" w:sz="12" w:space="0"/>
              <w:left w:val="single" w:color="000000" w:sz="12" w:space="0"/>
              <w:bottom w:val="single" w:color="000000" w:sz="12" w:space="0"/>
              <w:right w:val="single" w:color="000000" w:sz="12" w:space="0"/>
            </w:tcBorders>
          </w:tcPr>
          <w:p w14:paraId="7525FC45">
            <w:pPr>
              <w:pStyle w:val="25"/>
              <w:spacing w:line="202" w:lineRule="auto"/>
              <w:rPr>
                <w:sz w:val="21"/>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4D4BE059">
            <w:pPr>
              <w:pStyle w:val="25"/>
              <w:spacing w:line="202" w:lineRule="auto"/>
              <w:rPr>
                <w:sz w:val="21"/>
                <w:szCs w:val="21"/>
              </w:rPr>
            </w:pPr>
          </w:p>
        </w:tc>
        <w:tc>
          <w:tcPr>
            <w:tcW w:w="151" w:type="pct"/>
            <w:tcBorders>
              <w:top w:val="single" w:color="000000" w:sz="12" w:space="0"/>
              <w:left w:val="single" w:color="000000" w:sz="12" w:space="0"/>
              <w:bottom w:val="single" w:color="000000" w:sz="12" w:space="0"/>
              <w:right w:val="single" w:color="000000" w:sz="12" w:space="0"/>
            </w:tcBorders>
          </w:tcPr>
          <w:p w14:paraId="72EA84C7">
            <w:pPr>
              <w:pStyle w:val="25"/>
              <w:spacing w:line="202" w:lineRule="auto"/>
              <w:rPr>
                <w:sz w:val="21"/>
                <w:szCs w:val="21"/>
              </w:rPr>
            </w:pPr>
          </w:p>
        </w:tc>
        <w:tc>
          <w:tcPr>
            <w:tcW w:w="151" w:type="pct"/>
            <w:tcBorders>
              <w:top w:val="single" w:color="000000" w:sz="12" w:space="0"/>
              <w:left w:val="single" w:color="000000" w:sz="12" w:space="0"/>
              <w:bottom w:val="single" w:color="000000" w:sz="12" w:space="0"/>
              <w:right w:val="single" w:color="000000" w:sz="12" w:space="0"/>
            </w:tcBorders>
          </w:tcPr>
          <w:p w14:paraId="29F4CD51">
            <w:pPr>
              <w:pStyle w:val="25"/>
              <w:spacing w:line="202" w:lineRule="auto"/>
              <w:rPr>
                <w:sz w:val="21"/>
                <w:szCs w:val="21"/>
              </w:rPr>
            </w:pPr>
          </w:p>
        </w:tc>
        <w:tc>
          <w:tcPr>
            <w:tcW w:w="160" w:type="pct"/>
            <w:tcBorders>
              <w:top w:val="single" w:color="000000" w:sz="12" w:space="0"/>
              <w:left w:val="single" w:color="000000" w:sz="12" w:space="0"/>
              <w:bottom w:val="single" w:color="000000" w:sz="12" w:space="0"/>
              <w:right w:val="single" w:color="000000" w:sz="12" w:space="0"/>
            </w:tcBorders>
          </w:tcPr>
          <w:p w14:paraId="2F755C31">
            <w:pPr>
              <w:pStyle w:val="25"/>
              <w:spacing w:line="202" w:lineRule="auto"/>
              <w:rPr>
                <w:sz w:val="21"/>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445E8D61">
            <w:pPr>
              <w:pStyle w:val="25"/>
              <w:spacing w:line="202" w:lineRule="auto"/>
              <w:rPr>
                <w:sz w:val="21"/>
                <w:szCs w:val="21"/>
              </w:rPr>
            </w:pPr>
          </w:p>
        </w:tc>
        <w:tc>
          <w:tcPr>
            <w:tcW w:w="160" w:type="pct"/>
            <w:tcBorders>
              <w:top w:val="single" w:color="000000" w:sz="12" w:space="0"/>
              <w:left w:val="single" w:color="000000" w:sz="12" w:space="0"/>
              <w:bottom w:val="single" w:color="000000" w:sz="12" w:space="0"/>
              <w:right w:val="single" w:color="000000" w:sz="12" w:space="0"/>
            </w:tcBorders>
          </w:tcPr>
          <w:p w14:paraId="7A62AA4F">
            <w:pPr>
              <w:pStyle w:val="25"/>
              <w:spacing w:line="202" w:lineRule="auto"/>
              <w:rPr>
                <w:sz w:val="21"/>
                <w:szCs w:val="21"/>
              </w:rPr>
            </w:pPr>
          </w:p>
        </w:tc>
        <w:tc>
          <w:tcPr>
            <w:tcW w:w="152" w:type="pct"/>
            <w:gridSpan w:val="2"/>
            <w:tcBorders>
              <w:top w:val="single" w:color="000000" w:sz="12" w:space="0"/>
              <w:left w:val="single" w:color="000000" w:sz="12" w:space="0"/>
              <w:bottom w:val="single" w:color="000000" w:sz="12" w:space="0"/>
              <w:right w:val="single" w:color="000000" w:sz="12" w:space="0"/>
            </w:tcBorders>
          </w:tcPr>
          <w:p w14:paraId="362CA45E">
            <w:pPr>
              <w:pStyle w:val="25"/>
              <w:spacing w:line="202" w:lineRule="auto"/>
              <w:rPr>
                <w:sz w:val="21"/>
                <w:szCs w:val="21"/>
              </w:rPr>
            </w:pPr>
          </w:p>
        </w:tc>
        <w:tc>
          <w:tcPr>
            <w:tcW w:w="160" w:type="pct"/>
            <w:tcBorders>
              <w:top w:val="single" w:color="000000" w:sz="12" w:space="0"/>
              <w:left w:val="single" w:color="000000" w:sz="12" w:space="0"/>
              <w:bottom w:val="single" w:color="000000" w:sz="12" w:space="0"/>
              <w:right w:val="single" w:color="000000" w:sz="12" w:space="0"/>
            </w:tcBorders>
          </w:tcPr>
          <w:p w14:paraId="69AA73CD">
            <w:pPr>
              <w:pStyle w:val="25"/>
              <w:spacing w:line="202" w:lineRule="auto"/>
              <w:rPr>
                <w:sz w:val="21"/>
                <w:szCs w:val="21"/>
              </w:rPr>
            </w:pPr>
          </w:p>
        </w:tc>
        <w:tc>
          <w:tcPr>
            <w:tcW w:w="175" w:type="pct"/>
            <w:gridSpan w:val="2"/>
            <w:tcBorders>
              <w:top w:val="single" w:color="000000" w:sz="12" w:space="0"/>
              <w:left w:val="single" w:color="000000" w:sz="12" w:space="0"/>
              <w:bottom w:val="single" w:color="000000" w:sz="12" w:space="0"/>
              <w:right w:val="single" w:color="000000" w:sz="12" w:space="0"/>
            </w:tcBorders>
          </w:tcPr>
          <w:p w14:paraId="4B296E84">
            <w:pPr>
              <w:pStyle w:val="25"/>
              <w:spacing w:line="202" w:lineRule="auto"/>
              <w:rPr>
                <w:sz w:val="21"/>
                <w:szCs w:val="21"/>
              </w:rPr>
            </w:pPr>
          </w:p>
        </w:tc>
        <w:tc>
          <w:tcPr>
            <w:tcW w:w="321" w:type="pct"/>
            <w:tcBorders>
              <w:top w:val="single" w:color="000000" w:sz="12" w:space="0"/>
              <w:left w:val="single" w:color="000000" w:sz="12" w:space="0"/>
              <w:bottom w:val="single" w:color="000000" w:sz="12" w:space="0"/>
              <w:right w:val="single" w:color="000000" w:sz="12" w:space="0"/>
            </w:tcBorders>
          </w:tcPr>
          <w:p w14:paraId="0F819F23">
            <w:pPr>
              <w:pStyle w:val="25"/>
              <w:spacing w:line="202" w:lineRule="auto"/>
              <w:rPr>
                <w:sz w:val="21"/>
                <w:szCs w:val="21"/>
              </w:rPr>
            </w:pPr>
          </w:p>
        </w:tc>
        <w:tc>
          <w:tcPr>
            <w:tcW w:w="312" w:type="pct"/>
            <w:gridSpan w:val="2"/>
            <w:tcBorders>
              <w:top w:val="single" w:color="000000" w:sz="12" w:space="0"/>
              <w:left w:val="single" w:color="000000" w:sz="12" w:space="0"/>
              <w:bottom w:val="single" w:color="000000" w:sz="12" w:space="0"/>
              <w:right w:val="single" w:color="000000" w:sz="12" w:space="0"/>
            </w:tcBorders>
          </w:tcPr>
          <w:p w14:paraId="7AC2CBBE">
            <w:pPr>
              <w:pStyle w:val="25"/>
              <w:spacing w:line="202" w:lineRule="auto"/>
              <w:rPr>
                <w:sz w:val="21"/>
                <w:szCs w:val="21"/>
              </w:rPr>
            </w:pPr>
          </w:p>
        </w:tc>
        <w:tc>
          <w:tcPr>
            <w:tcW w:w="714" w:type="pct"/>
            <w:tcBorders>
              <w:top w:val="single" w:color="000000" w:sz="12" w:space="0"/>
              <w:left w:val="single" w:color="000000" w:sz="12" w:space="0"/>
              <w:bottom w:val="single" w:color="000000" w:sz="12" w:space="0"/>
              <w:right w:val="single" w:color="000000" w:sz="12" w:space="0"/>
            </w:tcBorders>
          </w:tcPr>
          <w:p w14:paraId="1E0F238C">
            <w:pPr>
              <w:pStyle w:val="25"/>
              <w:spacing w:line="202" w:lineRule="auto"/>
              <w:rPr>
                <w:sz w:val="21"/>
                <w:szCs w:val="21"/>
              </w:rPr>
            </w:pPr>
          </w:p>
        </w:tc>
      </w:tr>
      <w:tr w14:paraId="78CEA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5DA93A76">
            <w:pPr>
              <w:pStyle w:val="25"/>
              <w:spacing w:line="202" w:lineRule="auto"/>
              <w:jc w:val="center"/>
              <w:rPr>
                <w:sz w:val="21"/>
                <w:szCs w:val="21"/>
              </w:rPr>
            </w:pPr>
            <w:r>
              <w:rPr>
                <w:sz w:val="21"/>
                <w:szCs w:val="21"/>
              </w:rPr>
              <w:t>2</w:t>
            </w:r>
          </w:p>
        </w:tc>
        <w:tc>
          <w:tcPr>
            <w:tcW w:w="567" w:type="pct"/>
            <w:gridSpan w:val="2"/>
            <w:tcBorders>
              <w:top w:val="single" w:color="000000" w:sz="12" w:space="0"/>
              <w:left w:val="single" w:color="000000" w:sz="12" w:space="0"/>
              <w:bottom w:val="single" w:color="000000" w:sz="12" w:space="0"/>
              <w:right w:val="single" w:color="000000" w:sz="12" w:space="0"/>
            </w:tcBorders>
            <w:vAlign w:val="center"/>
          </w:tcPr>
          <w:p w14:paraId="403496A9">
            <w:pPr>
              <w:pStyle w:val="25"/>
              <w:spacing w:line="280" w:lineRule="exact"/>
              <w:jc w:val="center"/>
              <w:rPr>
                <w:spacing w:val="-2"/>
                <w:sz w:val="21"/>
                <w:szCs w:val="21"/>
              </w:rPr>
            </w:pPr>
            <w:r>
              <w:rPr>
                <w:spacing w:val="-2"/>
                <w:sz w:val="21"/>
                <w:szCs w:val="21"/>
              </w:rPr>
              <w:t>挤出焊搭</w:t>
            </w:r>
          </w:p>
          <w:p w14:paraId="3C84AA69">
            <w:pPr>
              <w:pStyle w:val="25"/>
              <w:spacing w:line="280" w:lineRule="exact"/>
              <w:jc w:val="center"/>
              <w:rPr>
                <w:sz w:val="21"/>
                <w:szCs w:val="21"/>
              </w:rPr>
            </w:pPr>
            <w:r>
              <w:rPr>
                <w:spacing w:val="-2"/>
                <w:sz w:val="21"/>
                <w:szCs w:val="21"/>
              </w:rPr>
              <w:t>接宽度</w:t>
            </w:r>
          </w:p>
        </w:tc>
        <w:tc>
          <w:tcPr>
            <w:tcW w:w="504" w:type="pct"/>
            <w:gridSpan w:val="2"/>
            <w:tcBorders>
              <w:top w:val="single" w:color="000000" w:sz="12" w:space="0"/>
              <w:left w:val="single" w:color="000000" w:sz="12" w:space="0"/>
              <w:bottom w:val="single" w:color="000000" w:sz="12" w:space="0"/>
              <w:right w:val="single" w:color="000000" w:sz="12" w:space="0"/>
            </w:tcBorders>
            <w:vAlign w:val="center"/>
          </w:tcPr>
          <w:p w14:paraId="488A4FE4">
            <w:pPr>
              <w:pStyle w:val="25"/>
              <w:spacing w:line="280" w:lineRule="exact"/>
              <w:jc w:val="center"/>
              <w:rPr>
                <w:sz w:val="21"/>
                <w:szCs w:val="21"/>
              </w:rPr>
            </w:pPr>
            <w:r>
              <w:rPr>
                <w:spacing w:val="-2"/>
                <w:sz w:val="21"/>
                <w:szCs w:val="21"/>
              </w:rPr>
              <w:t>75±20</w:t>
            </w:r>
          </w:p>
        </w:tc>
        <w:tc>
          <w:tcPr>
            <w:tcW w:w="151" w:type="pct"/>
            <w:tcBorders>
              <w:top w:val="single" w:color="000000" w:sz="12" w:space="0"/>
              <w:left w:val="single" w:color="000000" w:sz="12" w:space="0"/>
              <w:bottom w:val="single" w:color="000000" w:sz="12" w:space="0"/>
              <w:right w:val="single" w:color="000000" w:sz="12" w:space="0"/>
            </w:tcBorders>
          </w:tcPr>
          <w:p w14:paraId="7D27BE2F">
            <w:pPr>
              <w:spacing w:line="202" w:lineRule="auto"/>
              <w:rPr>
                <w:rFonts w:ascii="Arial"/>
                <w:szCs w:val="21"/>
              </w:rPr>
            </w:pPr>
          </w:p>
        </w:tc>
        <w:tc>
          <w:tcPr>
            <w:tcW w:w="158" w:type="pct"/>
            <w:tcBorders>
              <w:top w:val="single" w:color="000000" w:sz="12" w:space="0"/>
              <w:left w:val="single" w:color="000000" w:sz="12" w:space="0"/>
              <w:bottom w:val="single" w:color="000000" w:sz="12" w:space="0"/>
              <w:right w:val="single" w:color="000000" w:sz="12" w:space="0"/>
            </w:tcBorders>
          </w:tcPr>
          <w:p w14:paraId="78B8018A">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461FFDB3">
            <w:pPr>
              <w:spacing w:line="202" w:lineRule="auto"/>
              <w:rPr>
                <w:rFonts w:ascii="Arial"/>
                <w:szCs w:val="21"/>
              </w:rPr>
            </w:pPr>
          </w:p>
        </w:tc>
        <w:tc>
          <w:tcPr>
            <w:tcW w:w="167" w:type="pct"/>
            <w:tcBorders>
              <w:top w:val="single" w:color="000000" w:sz="12" w:space="0"/>
              <w:left w:val="single" w:color="000000" w:sz="12" w:space="0"/>
              <w:bottom w:val="single" w:color="000000" w:sz="12" w:space="0"/>
              <w:right w:val="single" w:color="000000" w:sz="12" w:space="0"/>
            </w:tcBorders>
          </w:tcPr>
          <w:p w14:paraId="54548B86">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4A79892B">
            <w:pPr>
              <w:spacing w:line="202" w:lineRule="auto"/>
              <w:rPr>
                <w:rFonts w:ascii="Arial"/>
                <w:szCs w:val="21"/>
              </w:rPr>
            </w:pPr>
          </w:p>
        </w:tc>
        <w:tc>
          <w:tcPr>
            <w:tcW w:w="152" w:type="pct"/>
            <w:tcBorders>
              <w:top w:val="single" w:color="000000" w:sz="12" w:space="0"/>
              <w:left w:val="single" w:color="000000" w:sz="12" w:space="0"/>
              <w:bottom w:val="single" w:color="000000" w:sz="12" w:space="0"/>
              <w:right w:val="single" w:color="000000" w:sz="12" w:space="0"/>
            </w:tcBorders>
          </w:tcPr>
          <w:p w14:paraId="33900945">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37C05CF5">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69BAE204">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417DAA71">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0D00759D">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65ACC33A">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2FCA74F1">
            <w:pPr>
              <w:spacing w:line="202" w:lineRule="auto"/>
              <w:rPr>
                <w:rFonts w:ascii="Arial"/>
                <w:szCs w:val="21"/>
              </w:rPr>
            </w:pPr>
          </w:p>
        </w:tc>
        <w:tc>
          <w:tcPr>
            <w:tcW w:w="152" w:type="pct"/>
            <w:gridSpan w:val="2"/>
            <w:tcBorders>
              <w:top w:val="single" w:color="000000" w:sz="12" w:space="0"/>
              <w:left w:val="single" w:color="000000" w:sz="12" w:space="0"/>
              <w:bottom w:val="single" w:color="000000" w:sz="12" w:space="0"/>
              <w:right w:val="single" w:color="000000" w:sz="12" w:space="0"/>
            </w:tcBorders>
          </w:tcPr>
          <w:p w14:paraId="04F51879">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49B8820B">
            <w:pPr>
              <w:spacing w:line="202" w:lineRule="auto"/>
              <w:rPr>
                <w:rFonts w:ascii="Arial"/>
                <w:szCs w:val="21"/>
              </w:rPr>
            </w:pPr>
          </w:p>
        </w:tc>
        <w:tc>
          <w:tcPr>
            <w:tcW w:w="175" w:type="pct"/>
            <w:gridSpan w:val="2"/>
            <w:tcBorders>
              <w:top w:val="single" w:color="000000" w:sz="12" w:space="0"/>
              <w:left w:val="single" w:color="000000" w:sz="12" w:space="0"/>
              <w:bottom w:val="single" w:color="000000" w:sz="12" w:space="0"/>
              <w:right w:val="single" w:color="000000" w:sz="12" w:space="0"/>
            </w:tcBorders>
          </w:tcPr>
          <w:p w14:paraId="4661C0A7">
            <w:pPr>
              <w:spacing w:line="202" w:lineRule="auto"/>
              <w:rPr>
                <w:rFonts w:ascii="Arial"/>
                <w:szCs w:val="21"/>
              </w:rPr>
            </w:pPr>
          </w:p>
        </w:tc>
        <w:tc>
          <w:tcPr>
            <w:tcW w:w="321" w:type="pct"/>
            <w:tcBorders>
              <w:top w:val="single" w:color="000000" w:sz="12" w:space="0"/>
              <w:left w:val="single" w:color="000000" w:sz="12" w:space="0"/>
              <w:bottom w:val="single" w:color="000000" w:sz="12" w:space="0"/>
              <w:right w:val="single" w:color="000000" w:sz="12" w:space="0"/>
            </w:tcBorders>
          </w:tcPr>
          <w:p w14:paraId="2F28ACA6">
            <w:pPr>
              <w:spacing w:line="202" w:lineRule="auto"/>
              <w:rPr>
                <w:rFonts w:ascii="Arial"/>
                <w:szCs w:val="21"/>
              </w:rPr>
            </w:pPr>
          </w:p>
        </w:tc>
        <w:tc>
          <w:tcPr>
            <w:tcW w:w="312" w:type="pct"/>
            <w:gridSpan w:val="2"/>
            <w:tcBorders>
              <w:top w:val="single" w:color="000000" w:sz="12" w:space="0"/>
              <w:left w:val="single" w:color="000000" w:sz="12" w:space="0"/>
              <w:bottom w:val="single" w:color="000000" w:sz="12" w:space="0"/>
              <w:right w:val="single" w:color="000000" w:sz="12" w:space="0"/>
            </w:tcBorders>
          </w:tcPr>
          <w:p w14:paraId="467417F3">
            <w:pPr>
              <w:spacing w:line="202" w:lineRule="auto"/>
              <w:rPr>
                <w:rFonts w:ascii="Arial"/>
                <w:szCs w:val="21"/>
              </w:rPr>
            </w:pPr>
          </w:p>
        </w:tc>
        <w:tc>
          <w:tcPr>
            <w:tcW w:w="714" w:type="pct"/>
            <w:tcBorders>
              <w:top w:val="single" w:color="000000" w:sz="12" w:space="0"/>
              <w:left w:val="single" w:color="000000" w:sz="12" w:space="0"/>
              <w:bottom w:val="single" w:color="000000" w:sz="12" w:space="0"/>
              <w:right w:val="single" w:color="000000" w:sz="12" w:space="0"/>
            </w:tcBorders>
          </w:tcPr>
          <w:p w14:paraId="6EC78F3B">
            <w:pPr>
              <w:spacing w:line="202" w:lineRule="auto"/>
              <w:rPr>
                <w:rFonts w:ascii="Arial"/>
                <w:szCs w:val="21"/>
              </w:rPr>
            </w:pPr>
          </w:p>
        </w:tc>
      </w:tr>
      <w:tr w14:paraId="13ED7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2C1BF0C2">
            <w:pPr>
              <w:pStyle w:val="25"/>
              <w:spacing w:line="202" w:lineRule="auto"/>
              <w:jc w:val="center"/>
              <w:rPr>
                <w:sz w:val="21"/>
                <w:szCs w:val="21"/>
              </w:rPr>
            </w:pPr>
            <w:r>
              <w:rPr>
                <w:position w:val="-2"/>
                <w:sz w:val="21"/>
                <w:szCs w:val="21"/>
              </w:rPr>
              <w:t>3</w:t>
            </w:r>
          </w:p>
        </w:tc>
        <w:tc>
          <w:tcPr>
            <w:tcW w:w="567" w:type="pct"/>
            <w:gridSpan w:val="2"/>
            <w:tcBorders>
              <w:top w:val="single" w:color="000000" w:sz="12" w:space="0"/>
              <w:left w:val="single" w:color="000000" w:sz="12" w:space="0"/>
              <w:bottom w:val="single" w:color="000000" w:sz="12" w:space="0"/>
              <w:right w:val="single" w:color="000000" w:sz="12" w:space="0"/>
            </w:tcBorders>
          </w:tcPr>
          <w:p w14:paraId="46F01C04">
            <w:pPr>
              <w:spacing w:line="202" w:lineRule="auto"/>
              <w:rPr>
                <w:rFonts w:ascii="Arial"/>
                <w:szCs w:val="21"/>
              </w:rPr>
            </w:pPr>
          </w:p>
        </w:tc>
        <w:tc>
          <w:tcPr>
            <w:tcW w:w="504" w:type="pct"/>
            <w:gridSpan w:val="2"/>
            <w:tcBorders>
              <w:top w:val="single" w:color="000000" w:sz="12" w:space="0"/>
              <w:left w:val="single" w:color="000000" w:sz="12" w:space="0"/>
              <w:bottom w:val="single" w:color="000000" w:sz="12" w:space="0"/>
              <w:right w:val="single" w:color="000000" w:sz="12" w:space="0"/>
            </w:tcBorders>
          </w:tcPr>
          <w:p w14:paraId="046FA19E">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4997EDE9">
            <w:pPr>
              <w:spacing w:line="202" w:lineRule="auto"/>
              <w:rPr>
                <w:rFonts w:ascii="Arial"/>
                <w:szCs w:val="21"/>
              </w:rPr>
            </w:pPr>
          </w:p>
        </w:tc>
        <w:tc>
          <w:tcPr>
            <w:tcW w:w="158" w:type="pct"/>
            <w:tcBorders>
              <w:top w:val="single" w:color="000000" w:sz="12" w:space="0"/>
              <w:left w:val="single" w:color="000000" w:sz="12" w:space="0"/>
              <w:bottom w:val="single" w:color="000000" w:sz="12" w:space="0"/>
              <w:right w:val="single" w:color="000000" w:sz="12" w:space="0"/>
            </w:tcBorders>
          </w:tcPr>
          <w:p w14:paraId="648ED05F">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55DCA65A">
            <w:pPr>
              <w:spacing w:line="202" w:lineRule="auto"/>
              <w:rPr>
                <w:rFonts w:ascii="Arial"/>
                <w:szCs w:val="21"/>
              </w:rPr>
            </w:pPr>
          </w:p>
        </w:tc>
        <w:tc>
          <w:tcPr>
            <w:tcW w:w="167" w:type="pct"/>
            <w:tcBorders>
              <w:top w:val="single" w:color="000000" w:sz="12" w:space="0"/>
              <w:left w:val="single" w:color="000000" w:sz="12" w:space="0"/>
              <w:bottom w:val="single" w:color="000000" w:sz="12" w:space="0"/>
              <w:right w:val="single" w:color="000000" w:sz="12" w:space="0"/>
            </w:tcBorders>
          </w:tcPr>
          <w:p w14:paraId="0CE69C5F">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06099B8B">
            <w:pPr>
              <w:spacing w:line="202" w:lineRule="auto"/>
              <w:rPr>
                <w:rFonts w:ascii="Arial"/>
                <w:szCs w:val="21"/>
              </w:rPr>
            </w:pPr>
          </w:p>
        </w:tc>
        <w:tc>
          <w:tcPr>
            <w:tcW w:w="152" w:type="pct"/>
            <w:tcBorders>
              <w:top w:val="single" w:color="000000" w:sz="12" w:space="0"/>
              <w:left w:val="single" w:color="000000" w:sz="12" w:space="0"/>
              <w:bottom w:val="single" w:color="000000" w:sz="12" w:space="0"/>
              <w:right w:val="single" w:color="000000" w:sz="12" w:space="0"/>
            </w:tcBorders>
          </w:tcPr>
          <w:p w14:paraId="39A0CB5C">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68A6542C">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4FF80E53">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7A4A6708">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135F98CB">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55755306">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10FEFEA0">
            <w:pPr>
              <w:spacing w:line="202" w:lineRule="auto"/>
              <w:rPr>
                <w:rFonts w:ascii="Arial"/>
                <w:szCs w:val="21"/>
              </w:rPr>
            </w:pPr>
          </w:p>
        </w:tc>
        <w:tc>
          <w:tcPr>
            <w:tcW w:w="152" w:type="pct"/>
            <w:gridSpan w:val="2"/>
            <w:tcBorders>
              <w:top w:val="single" w:color="000000" w:sz="12" w:space="0"/>
              <w:left w:val="single" w:color="000000" w:sz="12" w:space="0"/>
              <w:bottom w:val="single" w:color="000000" w:sz="12" w:space="0"/>
              <w:right w:val="single" w:color="000000" w:sz="12" w:space="0"/>
            </w:tcBorders>
          </w:tcPr>
          <w:p w14:paraId="217AF3C1">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04E5EC5D">
            <w:pPr>
              <w:spacing w:line="202" w:lineRule="auto"/>
              <w:rPr>
                <w:rFonts w:ascii="Arial"/>
                <w:szCs w:val="21"/>
              </w:rPr>
            </w:pPr>
          </w:p>
        </w:tc>
        <w:tc>
          <w:tcPr>
            <w:tcW w:w="175" w:type="pct"/>
            <w:gridSpan w:val="2"/>
            <w:tcBorders>
              <w:top w:val="single" w:color="000000" w:sz="12" w:space="0"/>
              <w:left w:val="single" w:color="000000" w:sz="12" w:space="0"/>
              <w:bottom w:val="single" w:color="000000" w:sz="12" w:space="0"/>
              <w:right w:val="single" w:color="000000" w:sz="12" w:space="0"/>
            </w:tcBorders>
          </w:tcPr>
          <w:p w14:paraId="03A95693">
            <w:pPr>
              <w:spacing w:line="202" w:lineRule="auto"/>
              <w:rPr>
                <w:rFonts w:ascii="Arial"/>
                <w:szCs w:val="21"/>
              </w:rPr>
            </w:pPr>
          </w:p>
        </w:tc>
        <w:tc>
          <w:tcPr>
            <w:tcW w:w="321" w:type="pct"/>
            <w:tcBorders>
              <w:top w:val="single" w:color="000000" w:sz="12" w:space="0"/>
              <w:left w:val="single" w:color="000000" w:sz="12" w:space="0"/>
              <w:bottom w:val="single" w:color="000000" w:sz="12" w:space="0"/>
              <w:right w:val="single" w:color="000000" w:sz="12" w:space="0"/>
            </w:tcBorders>
          </w:tcPr>
          <w:p w14:paraId="126AEE04">
            <w:pPr>
              <w:spacing w:line="202" w:lineRule="auto"/>
              <w:rPr>
                <w:rFonts w:ascii="Arial"/>
                <w:szCs w:val="21"/>
              </w:rPr>
            </w:pPr>
          </w:p>
        </w:tc>
        <w:tc>
          <w:tcPr>
            <w:tcW w:w="312" w:type="pct"/>
            <w:gridSpan w:val="2"/>
            <w:tcBorders>
              <w:top w:val="single" w:color="000000" w:sz="12" w:space="0"/>
              <w:left w:val="single" w:color="000000" w:sz="12" w:space="0"/>
              <w:bottom w:val="single" w:color="000000" w:sz="12" w:space="0"/>
              <w:right w:val="single" w:color="000000" w:sz="12" w:space="0"/>
            </w:tcBorders>
          </w:tcPr>
          <w:p w14:paraId="2B39D42A">
            <w:pPr>
              <w:spacing w:line="202" w:lineRule="auto"/>
              <w:rPr>
                <w:rFonts w:ascii="Arial"/>
                <w:szCs w:val="21"/>
              </w:rPr>
            </w:pPr>
          </w:p>
        </w:tc>
        <w:tc>
          <w:tcPr>
            <w:tcW w:w="714" w:type="pct"/>
            <w:tcBorders>
              <w:top w:val="single" w:color="000000" w:sz="12" w:space="0"/>
              <w:left w:val="single" w:color="000000" w:sz="12" w:space="0"/>
              <w:bottom w:val="single" w:color="000000" w:sz="12" w:space="0"/>
              <w:right w:val="single" w:color="000000" w:sz="12" w:space="0"/>
            </w:tcBorders>
          </w:tcPr>
          <w:p w14:paraId="648D1863">
            <w:pPr>
              <w:spacing w:line="202" w:lineRule="auto"/>
              <w:rPr>
                <w:rFonts w:ascii="Arial"/>
                <w:szCs w:val="21"/>
              </w:rPr>
            </w:pPr>
          </w:p>
        </w:tc>
      </w:tr>
      <w:tr w14:paraId="022F7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175208E3">
            <w:pPr>
              <w:pStyle w:val="25"/>
              <w:spacing w:line="202" w:lineRule="auto"/>
              <w:jc w:val="center"/>
              <w:rPr>
                <w:sz w:val="21"/>
                <w:szCs w:val="21"/>
              </w:rPr>
            </w:pPr>
            <w:r>
              <w:rPr>
                <w:position w:val="-2"/>
                <w:sz w:val="21"/>
                <w:szCs w:val="21"/>
              </w:rPr>
              <w:t>4</w:t>
            </w:r>
          </w:p>
        </w:tc>
        <w:tc>
          <w:tcPr>
            <w:tcW w:w="567" w:type="pct"/>
            <w:gridSpan w:val="2"/>
            <w:tcBorders>
              <w:top w:val="single" w:color="000000" w:sz="12" w:space="0"/>
              <w:left w:val="single" w:color="000000" w:sz="12" w:space="0"/>
              <w:bottom w:val="single" w:color="000000" w:sz="12" w:space="0"/>
              <w:right w:val="single" w:color="000000" w:sz="12" w:space="0"/>
            </w:tcBorders>
          </w:tcPr>
          <w:p w14:paraId="412BB3DF">
            <w:pPr>
              <w:spacing w:line="202" w:lineRule="auto"/>
              <w:rPr>
                <w:rFonts w:ascii="Arial"/>
                <w:szCs w:val="21"/>
              </w:rPr>
            </w:pPr>
          </w:p>
        </w:tc>
        <w:tc>
          <w:tcPr>
            <w:tcW w:w="504" w:type="pct"/>
            <w:gridSpan w:val="2"/>
            <w:tcBorders>
              <w:top w:val="single" w:color="000000" w:sz="12" w:space="0"/>
              <w:left w:val="single" w:color="000000" w:sz="12" w:space="0"/>
              <w:bottom w:val="single" w:color="000000" w:sz="12" w:space="0"/>
              <w:right w:val="single" w:color="000000" w:sz="12" w:space="0"/>
            </w:tcBorders>
          </w:tcPr>
          <w:p w14:paraId="44A04FD2">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55231503">
            <w:pPr>
              <w:spacing w:line="202" w:lineRule="auto"/>
              <w:rPr>
                <w:rFonts w:ascii="Arial"/>
                <w:szCs w:val="21"/>
              </w:rPr>
            </w:pPr>
          </w:p>
        </w:tc>
        <w:tc>
          <w:tcPr>
            <w:tcW w:w="158" w:type="pct"/>
            <w:tcBorders>
              <w:top w:val="single" w:color="000000" w:sz="12" w:space="0"/>
              <w:left w:val="single" w:color="000000" w:sz="12" w:space="0"/>
              <w:bottom w:val="single" w:color="000000" w:sz="12" w:space="0"/>
              <w:right w:val="single" w:color="000000" w:sz="12" w:space="0"/>
            </w:tcBorders>
          </w:tcPr>
          <w:p w14:paraId="3DE9F93E">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540BA19B">
            <w:pPr>
              <w:spacing w:line="202" w:lineRule="auto"/>
              <w:rPr>
                <w:rFonts w:ascii="Arial"/>
                <w:szCs w:val="21"/>
              </w:rPr>
            </w:pPr>
          </w:p>
        </w:tc>
        <w:tc>
          <w:tcPr>
            <w:tcW w:w="167" w:type="pct"/>
            <w:tcBorders>
              <w:top w:val="single" w:color="000000" w:sz="12" w:space="0"/>
              <w:left w:val="single" w:color="000000" w:sz="12" w:space="0"/>
              <w:bottom w:val="single" w:color="000000" w:sz="12" w:space="0"/>
              <w:right w:val="single" w:color="000000" w:sz="12" w:space="0"/>
            </w:tcBorders>
          </w:tcPr>
          <w:p w14:paraId="5D43883B">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02CE1FDF">
            <w:pPr>
              <w:spacing w:line="202" w:lineRule="auto"/>
              <w:rPr>
                <w:rFonts w:ascii="Arial"/>
                <w:szCs w:val="21"/>
              </w:rPr>
            </w:pPr>
          </w:p>
        </w:tc>
        <w:tc>
          <w:tcPr>
            <w:tcW w:w="152" w:type="pct"/>
            <w:tcBorders>
              <w:top w:val="single" w:color="000000" w:sz="12" w:space="0"/>
              <w:left w:val="single" w:color="000000" w:sz="12" w:space="0"/>
              <w:bottom w:val="single" w:color="000000" w:sz="12" w:space="0"/>
              <w:right w:val="single" w:color="000000" w:sz="12" w:space="0"/>
            </w:tcBorders>
          </w:tcPr>
          <w:p w14:paraId="38A958B9">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53BD7937">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26E012D1">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7D3E9B9D">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65E4BF02">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13809C00">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47ED7189">
            <w:pPr>
              <w:spacing w:line="202" w:lineRule="auto"/>
              <w:rPr>
                <w:rFonts w:ascii="Arial"/>
                <w:szCs w:val="21"/>
              </w:rPr>
            </w:pPr>
          </w:p>
        </w:tc>
        <w:tc>
          <w:tcPr>
            <w:tcW w:w="152" w:type="pct"/>
            <w:gridSpan w:val="2"/>
            <w:tcBorders>
              <w:top w:val="single" w:color="000000" w:sz="12" w:space="0"/>
              <w:left w:val="single" w:color="000000" w:sz="12" w:space="0"/>
              <w:bottom w:val="single" w:color="000000" w:sz="12" w:space="0"/>
              <w:right w:val="single" w:color="000000" w:sz="12" w:space="0"/>
            </w:tcBorders>
          </w:tcPr>
          <w:p w14:paraId="7B295DD2">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7D01454F">
            <w:pPr>
              <w:spacing w:line="202" w:lineRule="auto"/>
              <w:rPr>
                <w:rFonts w:ascii="Arial"/>
                <w:szCs w:val="21"/>
              </w:rPr>
            </w:pPr>
          </w:p>
        </w:tc>
        <w:tc>
          <w:tcPr>
            <w:tcW w:w="175" w:type="pct"/>
            <w:gridSpan w:val="2"/>
            <w:tcBorders>
              <w:top w:val="single" w:color="000000" w:sz="12" w:space="0"/>
              <w:left w:val="single" w:color="000000" w:sz="12" w:space="0"/>
              <w:bottom w:val="single" w:color="000000" w:sz="12" w:space="0"/>
              <w:right w:val="single" w:color="000000" w:sz="12" w:space="0"/>
            </w:tcBorders>
          </w:tcPr>
          <w:p w14:paraId="34CCEA00">
            <w:pPr>
              <w:spacing w:line="202" w:lineRule="auto"/>
              <w:rPr>
                <w:rFonts w:ascii="Arial"/>
                <w:szCs w:val="21"/>
              </w:rPr>
            </w:pPr>
          </w:p>
        </w:tc>
        <w:tc>
          <w:tcPr>
            <w:tcW w:w="321" w:type="pct"/>
            <w:tcBorders>
              <w:top w:val="single" w:color="000000" w:sz="12" w:space="0"/>
              <w:left w:val="single" w:color="000000" w:sz="12" w:space="0"/>
              <w:bottom w:val="single" w:color="000000" w:sz="12" w:space="0"/>
              <w:right w:val="single" w:color="000000" w:sz="12" w:space="0"/>
            </w:tcBorders>
          </w:tcPr>
          <w:p w14:paraId="3439D70B">
            <w:pPr>
              <w:spacing w:line="202" w:lineRule="auto"/>
              <w:rPr>
                <w:rFonts w:ascii="Arial"/>
                <w:szCs w:val="21"/>
              </w:rPr>
            </w:pPr>
          </w:p>
        </w:tc>
        <w:tc>
          <w:tcPr>
            <w:tcW w:w="312" w:type="pct"/>
            <w:gridSpan w:val="2"/>
            <w:tcBorders>
              <w:top w:val="single" w:color="000000" w:sz="12" w:space="0"/>
              <w:left w:val="single" w:color="000000" w:sz="12" w:space="0"/>
              <w:bottom w:val="single" w:color="000000" w:sz="12" w:space="0"/>
              <w:right w:val="single" w:color="000000" w:sz="12" w:space="0"/>
            </w:tcBorders>
          </w:tcPr>
          <w:p w14:paraId="29FBA10E">
            <w:pPr>
              <w:spacing w:line="202" w:lineRule="auto"/>
              <w:rPr>
                <w:rFonts w:ascii="Arial"/>
                <w:szCs w:val="21"/>
              </w:rPr>
            </w:pPr>
          </w:p>
        </w:tc>
        <w:tc>
          <w:tcPr>
            <w:tcW w:w="714" w:type="pct"/>
            <w:tcBorders>
              <w:top w:val="single" w:color="000000" w:sz="12" w:space="0"/>
              <w:left w:val="single" w:color="000000" w:sz="12" w:space="0"/>
              <w:bottom w:val="single" w:color="000000" w:sz="12" w:space="0"/>
              <w:right w:val="single" w:color="000000" w:sz="12" w:space="0"/>
            </w:tcBorders>
          </w:tcPr>
          <w:p w14:paraId="355E6AAE">
            <w:pPr>
              <w:spacing w:line="202" w:lineRule="auto"/>
              <w:rPr>
                <w:rFonts w:ascii="Arial"/>
                <w:szCs w:val="21"/>
              </w:rPr>
            </w:pPr>
          </w:p>
        </w:tc>
      </w:tr>
      <w:tr w14:paraId="5F7EB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193" w:type="pct"/>
            <w:tcBorders>
              <w:top w:val="single" w:color="000000" w:sz="12" w:space="0"/>
              <w:left w:val="single" w:color="000000" w:sz="12" w:space="0"/>
              <w:bottom w:val="single" w:color="000000" w:sz="12" w:space="0"/>
              <w:right w:val="single" w:color="000000" w:sz="12" w:space="0"/>
            </w:tcBorders>
            <w:vAlign w:val="center"/>
          </w:tcPr>
          <w:p w14:paraId="712E729B">
            <w:pPr>
              <w:pStyle w:val="25"/>
              <w:spacing w:line="202" w:lineRule="auto"/>
              <w:jc w:val="center"/>
              <w:rPr>
                <w:sz w:val="21"/>
                <w:szCs w:val="21"/>
              </w:rPr>
            </w:pPr>
            <w:r>
              <w:rPr>
                <w:position w:val="-2"/>
                <w:sz w:val="21"/>
                <w:szCs w:val="21"/>
              </w:rPr>
              <w:t>5</w:t>
            </w:r>
          </w:p>
        </w:tc>
        <w:tc>
          <w:tcPr>
            <w:tcW w:w="567" w:type="pct"/>
            <w:gridSpan w:val="2"/>
            <w:tcBorders>
              <w:top w:val="single" w:color="000000" w:sz="12" w:space="0"/>
              <w:left w:val="single" w:color="000000" w:sz="12" w:space="0"/>
              <w:bottom w:val="single" w:color="000000" w:sz="12" w:space="0"/>
              <w:right w:val="single" w:color="000000" w:sz="12" w:space="0"/>
            </w:tcBorders>
          </w:tcPr>
          <w:p w14:paraId="1DEFA50A">
            <w:pPr>
              <w:spacing w:line="202" w:lineRule="auto"/>
              <w:rPr>
                <w:rFonts w:ascii="Arial"/>
                <w:szCs w:val="21"/>
              </w:rPr>
            </w:pPr>
          </w:p>
        </w:tc>
        <w:tc>
          <w:tcPr>
            <w:tcW w:w="504" w:type="pct"/>
            <w:gridSpan w:val="2"/>
            <w:tcBorders>
              <w:top w:val="single" w:color="000000" w:sz="12" w:space="0"/>
              <w:left w:val="single" w:color="000000" w:sz="12" w:space="0"/>
              <w:bottom w:val="single" w:color="000000" w:sz="12" w:space="0"/>
              <w:right w:val="single" w:color="000000" w:sz="12" w:space="0"/>
            </w:tcBorders>
          </w:tcPr>
          <w:p w14:paraId="0D9B3D70">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1790AC22">
            <w:pPr>
              <w:spacing w:line="202" w:lineRule="auto"/>
              <w:rPr>
                <w:rFonts w:ascii="Arial"/>
                <w:szCs w:val="21"/>
              </w:rPr>
            </w:pPr>
          </w:p>
        </w:tc>
        <w:tc>
          <w:tcPr>
            <w:tcW w:w="158" w:type="pct"/>
            <w:tcBorders>
              <w:top w:val="single" w:color="000000" w:sz="12" w:space="0"/>
              <w:left w:val="single" w:color="000000" w:sz="12" w:space="0"/>
              <w:bottom w:val="single" w:color="000000" w:sz="12" w:space="0"/>
              <w:right w:val="single" w:color="000000" w:sz="12" w:space="0"/>
            </w:tcBorders>
          </w:tcPr>
          <w:p w14:paraId="242861E8">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3C40B4AF">
            <w:pPr>
              <w:spacing w:line="202" w:lineRule="auto"/>
              <w:rPr>
                <w:rFonts w:ascii="Arial"/>
                <w:szCs w:val="21"/>
              </w:rPr>
            </w:pPr>
          </w:p>
        </w:tc>
        <w:tc>
          <w:tcPr>
            <w:tcW w:w="167" w:type="pct"/>
            <w:tcBorders>
              <w:top w:val="single" w:color="000000" w:sz="12" w:space="0"/>
              <w:left w:val="single" w:color="000000" w:sz="12" w:space="0"/>
              <w:bottom w:val="single" w:color="000000" w:sz="12" w:space="0"/>
              <w:right w:val="single" w:color="000000" w:sz="12" w:space="0"/>
            </w:tcBorders>
          </w:tcPr>
          <w:p w14:paraId="19606848">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228D494E">
            <w:pPr>
              <w:spacing w:line="202" w:lineRule="auto"/>
              <w:rPr>
                <w:rFonts w:ascii="Arial"/>
                <w:szCs w:val="21"/>
              </w:rPr>
            </w:pPr>
          </w:p>
        </w:tc>
        <w:tc>
          <w:tcPr>
            <w:tcW w:w="152" w:type="pct"/>
            <w:tcBorders>
              <w:top w:val="single" w:color="000000" w:sz="12" w:space="0"/>
              <w:left w:val="single" w:color="000000" w:sz="12" w:space="0"/>
              <w:bottom w:val="single" w:color="000000" w:sz="12" w:space="0"/>
              <w:right w:val="single" w:color="000000" w:sz="12" w:space="0"/>
            </w:tcBorders>
          </w:tcPr>
          <w:p w14:paraId="21420330">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7C8117B5">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7F7781B2">
            <w:pPr>
              <w:spacing w:line="202" w:lineRule="auto"/>
              <w:rPr>
                <w:rFonts w:ascii="Arial"/>
                <w:szCs w:val="21"/>
              </w:rPr>
            </w:pPr>
          </w:p>
        </w:tc>
        <w:tc>
          <w:tcPr>
            <w:tcW w:w="151" w:type="pct"/>
            <w:tcBorders>
              <w:top w:val="single" w:color="000000" w:sz="12" w:space="0"/>
              <w:left w:val="single" w:color="000000" w:sz="12" w:space="0"/>
              <w:bottom w:val="single" w:color="000000" w:sz="12" w:space="0"/>
              <w:right w:val="single" w:color="000000" w:sz="12" w:space="0"/>
            </w:tcBorders>
          </w:tcPr>
          <w:p w14:paraId="26B78F1D">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6AFA1257">
            <w:pPr>
              <w:spacing w:line="202" w:lineRule="auto"/>
              <w:rPr>
                <w:rFonts w:ascii="Arial"/>
                <w:szCs w:val="21"/>
              </w:rPr>
            </w:pPr>
          </w:p>
        </w:tc>
        <w:tc>
          <w:tcPr>
            <w:tcW w:w="161" w:type="pct"/>
            <w:gridSpan w:val="2"/>
            <w:tcBorders>
              <w:top w:val="single" w:color="000000" w:sz="12" w:space="0"/>
              <w:left w:val="single" w:color="000000" w:sz="12" w:space="0"/>
              <w:bottom w:val="single" w:color="000000" w:sz="12" w:space="0"/>
              <w:right w:val="single" w:color="000000" w:sz="12" w:space="0"/>
            </w:tcBorders>
          </w:tcPr>
          <w:p w14:paraId="169E8666">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5A96B505">
            <w:pPr>
              <w:spacing w:line="202" w:lineRule="auto"/>
              <w:rPr>
                <w:rFonts w:ascii="Arial"/>
                <w:szCs w:val="21"/>
              </w:rPr>
            </w:pPr>
          </w:p>
        </w:tc>
        <w:tc>
          <w:tcPr>
            <w:tcW w:w="152" w:type="pct"/>
            <w:gridSpan w:val="2"/>
            <w:tcBorders>
              <w:top w:val="single" w:color="000000" w:sz="12" w:space="0"/>
              <w:left w:val="single" w:color="000000" w:sz="12" w:space="0"/>
              <w:bottom w:val="single" w:color="000000" w:sz="12" w:space="0"/>
              <w:right w:val="single" w:color="000000" w:sz="12" w:space="0"/>
            </w:tcBorders>
          </w:tcPr>
          <w:p w14:paraId="62AB62F8">
            <w:pPr>
              <w:spacing w:line="202" w:lineRule="auto"/>
              <w:rPr>
                <w:rFonts w:ascii="Arial"/>
                <w:szCs w:val="21"/>
              </w:rPr>
            </w:pPr>
          </w:p>
        </w:tc>
        <w:tc>
          <w:tcPr>
            <w:tcW w:w="160" w:type="pct"/>
            <w:tcBorders>
              <w:top w:val="single" w:color="000000" w:sz="12" w:space="0"/>
              <w:left w:val="single" w:color="000000" w:sz="12" w:space="0"/>
              <w:bottom w:val="single" w:color="000000" w:sz="12" w:space="0"/>
              <w:right w:val="single" w:color="000000" w:sz="12" w:space="0"/>
            </w:tcBorders>
          </w:tcPr>
          <w:p w14:paraId="6400C259">
            <w:pPr>
              <w:spacing w:line="202" w:lineRule="auto"/>
              <w:rPr>
                <w:rFonts w:ascii="Arial"/>
                <w:szCs w:val="21"/>
              </w:rPr>
            </w:pPr>
          </w:p>
        </w:tc>
        <w:tc>
          <w:tcPr>
            <w:tcW w:w="175" w:type="pct"/>
            <w:gridSpan w:val="2"/>
            <w:tcBorders>
              <w:top w:val="single" w:color="000000" w:sz="12" w:space="0"/>
              <w:left w:val="single" w:color="000000" w:sz="12" w:space="0"/>
              <w:bottom w:val="single" w:color="000000" w:sz="12" w:space="0"/>
              <w:right w:val="single" w:color="000000" w:sz="12" w:space="0"/>
            </w:tcBorders>
          </w:tcPr>
          <w:p w14:paraId="0C2CACA6">
            <w:pPr>
              <w:spacing w:line="202" w:lineRule="auto"/>
              <w:rPr>
                <w:rFonts w:ascii="Arial"/>
                <w:szCs w:val="21"/>
              </w:rPr>
            </w:pPr>
          </w:p>
        </w:tc>
        <w:tc>
          <w:tcPr>
            <w:tcW w:w="321" w:type="pct"/>
            <w:tcBorders>
              <w:top w:val="single" w:color="000000" w:sz="12" w:space="0"/>
              <w:left w:val="single" w:color="000000" w:sz="12" w:space="0"/>
              <w:bottom w:val="single" w:color="000000" w:sz="12" w:space="0"/>
              <w:right w:val="single" w:color="000000" w:sz="12" w:space="0"/>
            </w:tcBorders>
          </w:tcPr>
          <w:p w14:paraId="28E80764">
            <w:pPr>
              <w:spacing w:line="202" w:lineRule="auto"/>
              <w:rPr>
                <w:rFonts w:ascii="Arial"/>
                <w:szCs w:val="21"/>
              </w:rPr>
            </w:pPr>
          </w:p>
        </w:tc>
        <w:tc>
          <w:tcPr>
            <w:tcW w:w="312" w:type="pct"/>
            <w:gridSpan w:val="2"/>
            <w:tcBorders>
              <w:top w:val="single" w:color="000000" w:sz="12" w:space="0"/>
              <w:left w:val="single" w:color="000000" w:sz="12" w:space="0"/>
              <w:bottom w:val="single" w:color="000000" w:sz="12" w:space="0"/>
              <w:right w:val="single" w:color="000000" w:sz="12" w:space="0"/>
            </w:tcBorders>
          </w:tcPr>
          <w:p w14:paraId="68704BCF">
            <w:pPr>
              <w:spacing w:line="202" w:lineRule="auto"/>
              <w:rPr>
                <w:rFonts w:ascii="Arial"/>
                <w:szCs w:val="21"/>
              </w:rPr>
            </w:pPr>
          </w:p>
        </w:tc>
        <w:tc>
          <w:tcPr>
            <w:tcW w:w="714" w:type="pct"/>
            <w:tcBorders>
              <w:top w:val="single" w:color="000000" w:sz="12" w:space="0"/>
              <w:left w:val="single" w:color="000000" w:sz="12" w:space="0"/>
              <w:bottom w:val="single" w:color="000000" w:sz="12" w:space="0"/>
              <w:right w:val="single" w:color="000000" w:sz="12" w:space="0"/>
            </w:tcBorders>
          </w:tcPr>
          <w:p w14:paraId="37194527">
            <w:pPr>
              <w:spacing w:line="202" w:lineRule="auto"/>
              <w:rPr>
                <w:rFonts w:ascii="Arial"/>
                <w:szCs w:val="21"/>
              </w:rPr>
            </w:pPr>
          </w:p>
        </w:tc>
      </w:tr>
      <w:tr w14:paraId="3C9ED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93" w:type="pct"/>
            <w:vMerge w:val="restart"/>
            <w:tcBorders>
              <w:top w:val="single" w:color="000000" w:sz="12" w:space="0"/>
              <w:left w:val="single" w:color="000000" w:sz="12" w:space="0"/>
              <w:bottom w:val="single" w:color="000000" w:sz="12" w:space="0"/>
              <w:right w:val="single" w:color="000000" w:sz="12" w:space="0"/>
            </w:tcBorders>
            <w:textDirection w:val="tbRlV"/>
            <w:vAlign w:val="center"/>
          </w:tcPr>
          <w:p w14:paraId="1AC46FA7">
            <w:pPr>
              <w:pStyle w:val="25"/>
              <w:spacing w:line="202" w:lineRule="auto"/>
              <w:jc w:val="center"/>
              <w:rPr>
                <w:sz w:val="21"/>
                <w:szCs w:val="21"/>
              </w:rPr>
            </w:pPr>
            <w:r>
              <w:rPr>
                <w:sz w:val="21"/>
                <w:szCs w:val="21"/>
              </w:rPr>
              <w:t>承包单位自评意见</w:t>
            </w:r>
          </w:p>
        </w:tc>
        <w:tc>
          <w:tcPr>
            <w:tcW w:w="1711" w:type="pct"/>
            <w:gridSpan w:val="9"/>
            <w:vMerge w:val="restart"/>
            <w:tcBorders>
              <w:top w:val="single" w:color="000000" w:sz="12" w:space="0"/>
              <w:left w:val="single" w:color="000000" w:sz="12" w:space="0"/>
              <w:bottom w:val="single" w:color="000000" w:sz="12" w:space="0"/>
              <w:right w:val="single" w:color="000000" w:sz="12" w:space="0"/>
            </w:tcBorders>
          </w:tcPr>
          <w:p w14:paraId="7CFC2BA3">
            <w:pPr>
              <w:spacing w:line="202" w:lineRule="auto"/>
              <w:rPr>
                <w:rFonts w:ascii="Arial"/>
                <w:szCs w:val="21"/>
              </w:rPr>
            </w:pPr>
          </w:p>
          <w:p w14:paraId="7123017A">
            <w:pPr>
              <w:spacing w:line="202" w:lineRule="auto"/>
              <w:rPr>
                <w:rFonts w:ascii="Arial"/>
                <w:szCs w:val="21"/>
              </w:rPr>
            </w:pPr>
          </w:p>
          <w:p w14:paraId="66FC897F">
            <w:pPr>
              <w:spacing w:line="202" w:lineRule="auto"/>
              <w:rPr>
                <w:rFonts w:ascii="Arial"/>
                <w:szCs w:val="21"/>
              </w:rPr>
            </w:pPr>
          </w:p>
          <w:p w14:paraId="0133C7CC">
            <w:pPr>
              <w:pStyle w:val="25"/>
              <w:spacing w:before="49" w:line="202" w:lineRule="auto"/>
              <w:ind w:left="80"/>
              <w:rPr>
                <w:sz w:val="21"/>
                <w:szCs w:val="21"/>
                <w:lang w:eastAsia="zh-CN"/>
              </w:rPr>
            </w:pPr>
            <w:r>
              <w:rPr>
                <w:spacing w:val="2"/>
                <w:sz w:val="21"/>
                <w:szCs w:val="21"/>
                <w:lang w:eastAsia="zh-CN"/>
              </w:rPr>
              <w:t>项目负责人(签章):</w:t>
            </w:r>
          </w:p>
          <w:p w14:paraId="3A849DD9">
            <w:pPr>
              <w:pStyle w:val="25"/>
              <w:spacing w:before="3" w:line="202" w:lineRule="auto"/>
              <w:ind w:left="1170"/>
              <w:rPr>
                <w:sz w:val="21"/>
                <w:szCs w:val="21"/>
                <w:lang w:eastAsia="zh-CN"/>
              </w:rPr>
            </w:pPr>
            <w:r>
              <w:rPr>
                <w:spacing w:val="-6"/>
                <w:sz w:val="21"/>
                <w:szCs w:val="21"/>
                <w:lang w:eastAsia="zh-CN"/>
              </w:rPr>
              <w:t>年</w:t>
            </w:r>
            <w:r>
              <w:rPr>
                <w:spacing w:val="11"/>
                <w:sz w:val="21"/>
                <w:szCs w:val="21"/>
                <w:lang w:eastAsia="zh-CN"/>
              </w:rPr>
              <w:t xml:space="preserve"> </w:t>
            </w:r>
            <w:r>
              <w:rPr>
                <w:spacing w:val="-6"/>
                <w:sz w:val="21"/>
                <w:szCs w:val="21"/>
                <w:lang w:eastAsia="zh-CN"/>
              </w:rPr>
              <w:t>月</w:t>
            </w:r>
            <w:r>
              <w:rPr>
                <w:spacing w:val="11"/>
                <w:sz w:val="21"/>
                <w:szCs w:val="21"/>
                <w:lang w:eastAsia="zh-CN"/>
              </w:rPr>
              <w:t xml:space="preserve">   </w:t>
            </w:r>
            <w:r>
              <w:rPr>
                <w:spacing w:val="-6"/>
                <w:sz w:val="21"/>
                <w:szCs w:val="21"/>
                <w:lang w:eastAsia="zh-CN"/>
              </w:rPr>
              <w:t>日</w:t>
            </w:r>
          </w:p>
        </w:tc>
        <w:tc>
          <w:tcPr>
            <w:tcW w:w="312" w:type="pct"/>
            <w:gridSpan w:val="2"/>
            <w:vMerge w:val="restart"/>
            <w:tcBorders>
              <w:top w:val="single" w:color="000000" w:sz="12" w:space="0"/>
              <w:left w:val="single" w:color="000000" w:sz="12" w:space="0"/>
              <w:bottom w:val="single" w:color="000000" w:sz="12" w:space="0"/>
              <w:right w:val="single" w:color="000000" w:sz="12" w:space="0"/>
            </w:tcBorders>
            <w:textDirection w:val="tbRlV"/>
            <w:vAlign w:val="center"/>
          </w:tcPr>
          <w:p w14:paraId="0CA86547">
            <w:pPr>
              <w:pStyle w:val="25"/>
              <w:spacing w:line="202" w:lineRule="auto"/>
              <w:jc w:val="center"/>
              <w:rPr>
                <w:sz w:val="21"/>
                <w:szCs w:val="21"/>
              </w:rPr>
            </w:pPr>
            <w:r>
              <w:rPr>
                <w:sz w:val="21"/>
                <w:szCs w:val="21"/>
              </w:rPr>
              <w:t>监理意见</w:t>
            </w:r>
          </w:p>
        </w:tc>
        <w:tc>
          <w:tcPr>
            <w:tcW w:w="1755" w:type="pct"/>
            <w:gridSpan w:val="14"/>
            <w:vMerge w:val="restart"/>
            <w:tcBorders>
              <w:top w:val="single" w:color="000000" w:sz="12" w:space="0"/>
              <w:left w:val="single" w:color="000000" w:sz="12" w:space="0"/>
              <w:bottom w:val="single" w:color="000000" w:sz="12" w:space="0"/>
              <w:right w:val="single" w:color="000000" w:sz="12" w:space="0"/>
            </w:tcBorders>
          </w:tcPr>
          <w:p w14:paraId="334212C3">
            <w:pPr>
              <w:spacing w:line="202" w:lineRule="auto"/>
              <w:rPr>
                <w:rFonts w:ascii="Arial"/>
                <w:szCs w:val="21"/>
              </w:rPr>
            </w:pPr>
          </w:p>
          <w:p w14:paraId="08D67EA3">
            <w:pPr>
              <w:spacing w:line="202" w:lineRule="auto"/>
              <w:rPr>
                <w:rFonts w:ascii="Arial"/>
                <w:szCs w:val="21"/>
              </w:rPr>
            </w:pPr>
          </w:p>
          <w:p w14:paraId="27C4E4BF">
            <w:pPr>
              <w:spacing w:line="202" w:lineRule="auto"/>
              <w:rPr>
                <w:rFonts w:ascii="Arial"/>
                <w:szCs w:val="21"/>
              </w:rPr>
            </w:pPr>
          </w:p>
          <w:p w14:paraId="47882956">
            <w:pPr>
              <w:pStyle w:val="25"/>
              <w:spacing w:before="49" w:line="202" w:lineRule="auto"/>
              <w:ind w:left="126"/>
              <w:rPr>
                <w:sz w:val="21"/>
                <w:szCs w:val="21"/>
                <w:lang w:eastAsia="zh-CN"/>
              </w:rPr>
            </w:pPr>
            <w:r>
              <w:rPr>
                <w:spacing w:val="2"/>
                <w:sz w:val="21"/>
                <w:szCs w:val="21"/>
                <w:lang w:eastAsia="zh-CN"/>
              </w:rPr>
              <w:t>监理工程师(签章):</w:t>
            </w:r>
          </w:p>
          <w:p w14:paraId="4DA699B0">
            <w:pPr>
              <w:pStyle w:val="25"/>
              <w:spacing w:line="202" w:lineRule="auto"/>
              <w:ind w:left="1196"/>
              <w:rPr>
                <w:sz w:val="21"/>
                <w:szCs w:val="21"/>
                <w:lang w:eastAsia="zh-CN"/>
              </w:rPr>
            </w:pPr>
            <w:r>
              <w:rPr>
                <w:spacing w:val="-6"/>
                <w:sz w:val="21"/>
                <w:szCs w:val="21"/>
                <w:lang w:eastAsia="zh-CN"/>
              </w:rPr>
              <w:t>年</w:t>
            </w:r>
            <w:r>
              <w:rPr>
                <w:spacing w:val="21"/>
                <w:w w:val="101"/>
                <w:sz w:val="21"/>
                <w:szCs w:val="21"/>
                <w:lang w:eastAsia="zh-CN"/>
              </w:rPr>
              <w:t xml:space="preserve"> </w:t>
            </w:r>
            <w:r>
              <w:rPr>
                <w:spacing w:val="-6"/>
                <w:sz w:val="21"/>
                <w:szCs w:val="21"/>
                <w:lang w:eastAsia="zh-CN"/>
              </w:rPr>
              <w:t>月</w:t>
            </w:r>
            <w:r>
              <w:rPr>
                <w:spacing w:val="24"/>
                <w:sz w:val="21"/>
                <w:szCs w:val="21"/>
                <w:lang w:eastAsia="zh-CN"/>
              </w:rPr>
              <w:t xml:space="preserve">  </w:t>
            </w:r>
            <w:r>
              <w:rPr>
                <w:spacing w:val="-6"/>
                <w:sz w:val="21"/>
                <w:szCs w:val="21"/>
                <w:lang w:eastAsia="zh-CN"/>
              </w:rPr>
              <w:t>日</w:t>
            </w:r>
          </w:p>
        </w:tc>
        <w:tc>
          <w:tcPr>
            <w:tcW w:w="312" w:type="pct"/>
            <w:gridSpan w:val="2"/>
            <w:tcBorders>
              <w:top w:val="single" w:color="000000" w:sz="12" w:space="0"/>
              <w:left w:val="single" w:color="000000" w:sz="12" w:space="0"/>
              <w:bottom w:val="single" w:color="000000" w:sz="12" w:space="0"/>
              <w:right w:val="single" w:color="000000" w:sz="12" w:space="0"/>
            </w:tcBorders>
            <w:vAlign w:val="center"/>
          </w:tcPr>
          <w:p w14:paraId="0B62DFCA">
            <w:pPr>
              <w:pStyle w:val="25"/>
              <w:spacing w:line="360" w:lineRule="exact"/>
              <w:jc w:val="center"/>
              <w:rPr>
                <w:sz w:val="21"/>
                <w:szCs w:val="21"/>
              </w:rPr>
            </w:pPr>
            <w:r>
              <w:rPr>
                <w:spacing w:val="-2"/>
                <w:sz w:val="21"/>
                <w:szCs w:val="21"/>
              </w:rPr>
              <w:t>平均</w:t>
            </w:r>
          </w:p>
          <w:p w14:paraId="6B2FFC9B">
            <w:pPr>
              <w:pStyle w:val="25"/>
              <w:spacing w:line="360" w:lineRule="exact"/>
              <w:jc w:val="center"/>
              <w:rPr>
                <w:sz w:val="21"/>
                <w:szCs w:val="21"/>
              </w:rPr>
            </w:pPr>
            <w:r>
              <w:rPr>
                <w:spacing w:val="-2"/>
                <w:sz w:val="21"/>
                <w:szCs w:val="21"/>
              </w:rPr>
              <w:t>合格</w:t>
            </w:r>
          </w:p>
          <w:p w14:paraId="2AFAB74D">
            <w:pPr>
              <w:pStyle w:val="25"/>
              <w:spacing w:line="360" w:lineRule="exact"/>
              <w:jc w:val="center"/>
              <w:rPr>
                <w:sz w:val="21"/>
                <w:szCs w:val="21"/>
              </w:rPr>
            </w:pPr>
            <w:r>
              <w:rPr>
                <w:sz w:val="21"/>
                <w:szCs w:val="21"/>
              </w:rPr>
              <w:t>率</w:t>
            </w:r>
          </w:p>
          <w:p w14:paraId="6F56DB83">
            <w:pPr>
              <w:pStyle w:val="25"/>
              <w:spacing w:line="360" w:lineRule="exact"/>
              <w:jc w:val="center"/>
              <w:rPr>
                <w:sz w:val="21"/>
                <w:szCs w:val="21"/>
              </w:rPr>
            </w:pPr>
            <w:bookmarkStart w:id="252" w:name="OLE_LINK28"/>
            <w:r>
              <w:rPr>
                <w:spacing w:val="-8"/>
                <w:sz w:val="21"/>
                <w:szCs w:val="21"/>
              </w:rPr>
              <w:t>(%)</w:t>
            </w:r>
            <w:bookmarkEnd w:id="252"/>
          </w:p>
        </w:tc>
        <w:tc>
          <w:tcPr>
            <w:tcW w:w="714" w:type="pct"/>
            <w:tcBorders>
              <w:top w:val="single" w:color="000000" w:sz="12" w:space="0"/>
              <w:left w:val="single" w:color="000000" w:sz="12" w:space="0"/>
              <w:bottom w:val="single" w:color="000000" w:sz="12" w:space="0"/>
              <w:right w:val="single" w:color="000000" w:sz="12" w:space="0"/>
            </w:tcBorders>
          </w:tcPr>
          <w:p w14:paraId="723028EC">
            <w:pPr>
              <w:spacing w:line="202" w:lineRule="auto"/>
              <w:rPr>
                <w:rFonts w:ascii="Arial"/>
                <w:szCs w:val="21"/>
              </w:rPr>
            </w:pPr>
          </w:p>
        </w:tc>
      </w:tr>
      <w:tr w14:paraId="5D139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93" w:type="pct"/>
            <w:vMerge w:val="continue"/>
            <w:tcBorders>
              <w:top w:val="single" w:color="000000" w:sz="12" w:space="0"/>
              <w:left w:val="single" w:color="000000" w:sz="12" w:space="0"/>
              <w:bottom w:val="single" w:color="000000" w:sz="12" w:space="0"/>
              <w:right w:val="single" w:color="000000" w:sz="12" w:space="0"/>
            </w:tcBorders>
            <w:textDirection w:val="tbRlV"/>
          </w:tcPr>
          <w:p w14:paraId="354A0C8F">
            <w:pPr>
              <w:spacing w:line="202" w:lineRule="auto"/>
              <w:rPr>
                <w:rFonts w:ascii="Arial"/>
                <w:szCs w:val="21"/>
              </w:rPr>
            </w:pPr>
          </w:p>
        </w:tc>
        <w:tc>
          <w:tcPr>
            <w:tcW w:w="1711" w:type="pct"/>
            <w:gridSpan w:val="9"/>
            <w:vMerge w:val="continue"/>
            <w:tcBorders>
              <w:top w:val="single" w:color="000000" w:sz="12" w:space="0"/>
              <w:left w:val="single" w:color="000000" w:sz="12" w:space="0"/>
              <w:bottom w:val="single" w:color="000000" w:sz="12" w:space="0"/>
              <w:right w:val="single" w:color="000000" w:sz="12" w:space="0"/>
            </w:tcBorders>
          </w:tcPr>
          <w:p w14:paraId="74D095EC">
            <w:pPr>
              <w:spacing w:line="202" w:lineRule="auto"/>
              <w:rPr>
                <w:rFonts w:ascii="Arial"/>
                <w:szCs w:val="21"/>
              </w:rPr>
            </w:pPr>
          </w:p>
        </w:tc>
        <w:tc>
          <w:tcPr>
            <w:tcW w:w="312" w:type="pct"/>
            <w:gridSpan w:val="2"/>
            <w:vMerge w:val="continue"/>
            <w:tcBorders>
              <w:top w:val="single" w:color="000000" w:sz="12" w:space="0"/>
              <w:left w:val="single" w:color="000000" w:sz="12" w:space="0"/>
              <w:bottom w:val="single" w:color="000000" w:sz="12" w:space="0"/>
              <w:right w:val="single" w:color="000000" w:sz="12" w:space="0"/>
            </w:tcBorders>
            <w:textDirection w:val="tbRlV"/>
          </w:tcPr>
          <w:p w14:paraId="011485FC">
            <w:pPr>
              <w:spacing w:line="202" w:lineRule="auto"/>
              <w:rPr>
                <w:rFonts w:ascii="Arial"/>
                <w:szCs w:val="21"/>
              </w:rPr>
            </w:pPr>
          </w:p>
        </w:tc>
        <w:tc>
          <w:tcPr>
            <w:tcW w:w="1755" w:type="pct"/>
            <w:gridSpan w:val="14"/>
            <w:vMerge w:val="continue"/>
            <w:tcBorders>
              <w:top w:val="single" w:color="000000" w:sz="12" w:space="0"/>
              <w:left w:val="single" w:color="000000" w:sz="12" w:space="0"/>
              <w:bottom w:val="single" w:color="000000" w:sz="12" w:space="0"/>
              <w:right w:val="single" w:color="000000" w:sz="12" w:space="0"/>
            </w:tcBorders>
          </w:tcPr>
          <w:p w14:paraId="0B64C2C8">
            <w:pPr>
              <w:spacing w:line="202" w:lineRule="auto"/>
              <w:rPr>
                <w:rFonts w:ascii="Arial"/>
                <w:szCs w:val="21"/>
              </w:rPr>
            </w:pPr>
          </w:p>
        </w:tc>
        <w:tc>
          <w:tcPr>
            <w:tcW w:w="312" w:type="pct"/>
            <w:gridSpan w:val="2"/>
            <w:tcBorders>
              <w:top w:val="single" w:color="000000" w:sz="12" w:space="0"/>
              <w:left w:val="single" w:color="000000" w:sz="12" w:space="0"/>
              <w:bottom w:val="single" w:color="000000" w:sz="12" w:space="0"/>
              <w:right w:val="single" w:color="000000" w:sz="12" w:space="0"/>
            </w:tcBorders>
            <w:vAlign w:val="center"/>
          </w:tcPr>
          <w:p w14:paraId="339128E8">
            <w:pPr>
              <w:pStyle w:val="25"/>
              <w:spacing w:line="360" w:lineRule="exact"/>
              <w:jc w:val="center"/>
              <w:rPr>
                <w:spacing w:val="-3"/>
                <w:sz w:val="21"/>
                <w:szCs w:val="21"/>
              </w:rPr>
            </w:pPr>
            <w:r>
              <w:rPr>
                <w:spacing w:val="-3"/>
                <w:sz w:val="21"/>
                <w:szCs w:val="21"/>
              </w:rPr>
              <w:t>评定</w:t>
            </w:r>
          </w:p>
          <w:p w14:paraId="62DB1EBD">
            <w:pPr>
              <w:pStyle w:val="25"/>
              <w:spacing w:line="360" w:lineRule="exact"/>
              <w:jc w:val="center"/>
              <w:rPr>
                <w:sz w:val="21"/>
                <w:szCs w:val="21"/>
              </w:rPr>
            </w:pPr>
            <w:r>
              <w:rPr>
                <w:spacing w:val="-4"/>
                <w:sz w:val="21"/>
                <w:szCs w:val="21"/>
              </w:rPr>
              <w:t>等级</w:t>
            </w:r>
          </w:p>
        </w:tc>
        <w:tc>
          <w:tcPr>
            <w:tcW w:w="714" w:type="pct"/>
            <w:tcBorders>
              <w:top w:val="single" w:color="000000" w:sz="12" w:space="0"/>
              <w:left w:val="single" w:color="000000" w:sz="12" w:space="0"/>
              <w:bottom w:val="single" w:color="000000" w:sz="12" w:space="0"/>
              <w:right w:val="single" w:color="000000" w:sz="12" w:space="0"/>
            </w:tcBorders>
          </w:tcPr>
          <w:p w14:paraId="0B3721AD">
            <w:pPr>
              <w:spacing w:line="202" w:lineRule="auto"/>
              <w:rPr>
                <w:rFonts w:ascii="Arial"/>
                <w:szCs w:val="21"/>
              </w:rPr>
            </w:pPr>
          </w:p>
        </w:tc>
      </w:tr>
      <w:tr w14:paraId="78EED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000" w:type="pct"/>
            <w:gridSpan w:val="29"/>
            <w:tcBorders>
              <w:top w:val="single" w:color="000000" w:sz="12" w:space="0"/>
              <w:left w:val="single" w:color="000000" w:sz="12" w:space="0"/>
              <w:bottom w:val="single" w:color="000000" w:sz="12" w:space="0"/>
              <w:right w:val="single" w:color="000000" w:sz="12" w:space="0"/>
            </w:tcBorders>
          </w:tcPr>
          <w:p w14:paraId="54EBE64C">
            <w:pPr>
              <w:pStyle w:val="25"/>
              <w:spacing w:before="85" w:line="231" w:lineRule="auto"/>
              <w:ind w:left="75"/>
              <w:rPr>
                <w:sz w:val="21"/>
                <w:szCs w:val="21"/>
                <w:lang w:eastAsia="zh-CN"/>
              </w:rPr>
            </w:pPr>
            <w:r>
              <w:rPr>
                <w:spacing w:val="9"/>
                <w:sz w:val="21"/>
                <w:szCs w:val="21"/>
                <w:lang w:eastAsia="zh-CN"/>
              </w:rPr>
              <w:t>现场监理(签章):    技术负责人(签章</w:t>
            </w:r>
            <w:r>
              <w:rPr>
                <w:spacing w:val="8"/>
                <w:sz w:val="21"/>
                <w:szCs w:val="21"/>
                <w:lang w:eastAsia="zh-CN"/>
              </w:rPr>
              <w:t>):</w:t>
            </w:r>
            <w:r>
              <w:rPr>
                <w:spacing w:val="1"/>
                <w:sz w:val="21"/>
                <w:szCs w:val="21"/>
                <w:lang w:eastAsia="zh-CN"/>
              </w:rPr>
              <w:t xml:space="preserve">     </w:t>
            </w:r>
            <w:r>
              <w:rPr>
                <w:spacing w:val="8"/>
                <w:sz w:val="21"/>
                <w:szCs w:val="21"/>
                <w:lang w:eastAsia="zh-CN"/>
              </w:rPr>
              <w:t xml:space="preserve">记录人(签章): </w:t>
            </w:r>
            <w:r>
              <w:rPr>
                <w:rFonts w:hint="eastAsia"/>
                <w:spacing w:val="8"/>
                <w:sz w:val="21"/>
                <w:szCs w:val="21"/>
                <w:lang w:eastAsia="zh-CN"/>
              </w:rPr>
              <w:t xml:space="preserve">    </w:t>
            </w:r>
            <w:r>
              <w:rPr>
                <w:spacing w:val="8"/>
                <w:sz w:val="21"/>
                <w:szCs w:val="21"/>
                <w:lang w:eastAsia="zh-CN"/>
              </w:rPr>
              <w:t xml:space="preserve">  年</w:t>
            </w:r>
            <w:r>
              <w:rPr>
                <w:rFonts w:hint="eastAsia"/>
                <w:spacing w:val="8"/>
                <w:sz w:val="21"/>
                <w:szCs w:val="21"/>
                <w:lang w:eastAsia="zh-CN"/>
              </w:rPr>
              <w:t xml:space="preserve">  </w:t>
            </w:r>
            <w:r>
              <w:rPr>
                <w:spacing w:val="8"/>
                <w:sz w:val="21"/>
                <w:szCs w:val="21"/>
                <w:lang w:eastAsia="zh-CN"/>
              </w:rPr>
              <w:t>月  日</w:t>
            </w:r>
          </w:p>
        </w:tc>
      </w:tr>
    </w:tbl>
    <w:p w14:paraId="7D501D51">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05819674">
      <w:pPr>
        <w:rPr>
          <w:rFonts w:ascii="Times New Roman" w:hAnsi="Times New Roman" w:eastAsia="宋体" w:cs="Times New Roman"/>
          <w:sz w:val="24"/>
          <w:szCs w:val="21"/>
        </w:rPr>
      </w:pPr>
    </w:p>
    <w:p w14:paraId="57759484">
      <w:pPr>
        <w:pStyle w:val="4"/>
        <w:spacing w:before="319" w:beforeLines="100" w:after="319" w:afterLines="100" w:line="219" w:lineRule="auto"/>
        <w:jc w:val="center"/>
        <w:outlineLvl w:val="0"/>
        <w:rPr>
          <w:sz w:val="36"/>
          <w:szCs w:val="36"/>
          <w:lang w:eastAsia="zh-CN"/>
        </w:rPr>
      </w:pPr>
      <w:bookmarkStart w:id="253" w:name="_Toc7182"/>
      <w:r>
        <w:rPr>
          <w:b/>
          <w:bCs/>
          <w:spacing w:val="-5"/>
          <w:sz w:val="36"/>
          <w:szCs w:val="36"/>
          <w:lang w:eastAsia="zh-CN"/>
        </w:rPr>
        <w:t>本标准用词说明</w:t>
      </w:r>
      <w:bookmarkEnd w:id="253"/>
    </w:p>
    <w:p w14:paraId="54CF6484">
      <w:pPr>
        <w:pStyle w:val="4"/>
        <w:spacing w:line="500" w:lineRule="exact"/>
        <w:ind w:firstLine="540" w:firstLineChars="200"/>
        <w:rPr>
          <w:rFonts w:ascii="Times New Roman" w:hAnsi="Times New Roman" w:eastAsia="Times New Roman" w:cs="Times New Roman"/>
          <w:b w:val="0"/>
          <w:bCs w:val="0"/>
          <w:spacing w:val="-5"/>
          <w:sz w:val="28"/>
          <w:szCs w:val="28"/>
          <w:lang w:eastAsia="zh-CN"/>
        </w:rPr>
      </w:pPr>
      <w:r>
        <w:rPr>
          <w:rFonts w:ascii="Times New Roman" w:hAnsi="Times New Roman" w:eastAsia="Times New Roman" w:cs="Times New Roman"/>
          <w:b w:val="0"/>
          <w:bCs w:val="0"/>
          <w:spacing w:val="-5"/>
          <w:sz w:val="28"/>
          <w:szCs w:val="28"/>
          <w:lang w:eastAsia="zh-CN"/>
        </w:rPr>
        <w:t>1</w:t>
      </w:r>
      <w:r>
        <w:rPr>
          <w:rFonts w:hint="eastAsia" w:ascii="Times New Roman" w:hAnsi="Times New Roman" w:eastAsia="Times New Roman" w:cs="Times New Roman"/>
          <w:b w:val="0"/>
          <w:bCs w:val="0"/>
          <w:spacing w:val="-5"/>
          <w:sz w:val="28"/>
          <w:szCs w:val="28"/>
          <w:lang w:eastAsia="zh-CN"/>
        </w:rPr>
        <w:t xml:space="preserve">  </w:t>
      </w:r>
      <w:r>
        <w:rPr>
          <w:rFonts w:ascii="Times New Roman" w:hAnsi="Times New Roman" w:eastAsia="Times New Roman" w:cs="Times New Roman"/>
          <w:b w:val="0"/>
          <w:bCs w:val="0"/>
          <w:spacing w:val="-5"/>
          <w:sz w:val="28"/>
          <w:szCs w:val="28"/>
          <w:lang w:eastAsia="zh-CN"/>
        </w:rPr>
        <w:t>为便于在执行本标准条文时区别对待，对要求严格程度不同的用词说明如下：</w:t>
      </w:r>
    </w:p>
    <w:p w14:paraId="3350109E">
      <w:pPr>
        <w:pStyle w:val="4"/>
        <w:spacing w:line="500" w:lineRule="exact"/>
        <w:ind w:firstLine="810" w:firstLineChars="300"/>
        <w:rPr>
          <w:rFonts w:ascii="Times New Roman" w:hAnsi="Times New Roman" w:cs="Times New Roman"/>
          <w:b w:val="0"/>
          <w:bCs w:val="0"/>
          <w:spacing w:val="-5"/>
          <w:sz w:val="28"/>
          <w:szCs w:val="28"/>
          <w:lang w:eastAsia="zh-CN"/>
        </w:rPr>
      </w:pPr>
      <w:r>
        <w:rPr>
          <w:rFonts w:hint="eastAsia" w:ascii="Times New Roman" w:hAnsi="Times New Roman" w:cs="Times New Roman"/>
          <w:b w:val="0"/>
          <w:bCs w:val="0"/>
          <w:spacing w:val="-5"/>
          <w:sz w:val="28"/>
          <w:szCs w:val="28"/>
          <w:lang w:eastAsia="zh-CN"/>
        </w:rPr>
        <w:t>1）</w:t>
      </w:r>
      <w:r>
        <w:rPr>
          <w:rFonts w:ascii="Times New Roman" w:hAnsi="Times New Roman" w:eastAsia="Times New Roman" w:cs="Times New Roman"/>
          <w:b w:val="0"/>
          <w:bCs w:val="0"/>
          <w:spacing w:val="-5"/>
          <w:sz w:val="28"/>
          <w:szCs w:val="28"/>
          <w:lang w:eastAsia="zh-CN"/>
        </w:rPr>
        <w:t>表示很严格，非这样做不可的</w:t>
      </w:r>
      <w:r>
        <w:rPr>
          <w:rFonts w:hint="eastAsia" w:ascii="Times New Roman" w:hAnsi="Times New Roman" w:cs="Times New Roman"/>
          <w:b w:val="0"/>
          <w:bCs w:val="0"/>
          <w:spacing w:val="-5"/>
          <w:sz w:val="28"/>
          <w:szCs w:val="28"/>
          <w:lang w:eastAsia="zh-CN"/>
        </w:rPr>
        <w:t>：</w:t>
      </w:r>
    </w:p>
    <w:p w14:paraId="219A501F">
      <w:pPr>
        <w:pStyle w:val="4"/>
        <w:spacing w:line="500" w:lineRule="exact"/>
        <w:ind w:firstLine="810" w:firstLineChars="300"/>
        <w:rPr>
          <w:rFonts w:ascii="Times New Roman" w:hAnsi="Times New Roman" w:eastAsia="Times New Roman" w:cs="Times New Roman"/>
          <w:b w:val="0"/>
          <w:bCs w:val="0"/>
          <w:spacing w:val="-5"/>
          <w:sz w:val="28"/>
          <w:szCs w:val="28"/>
          <w:lang w:eastAsia="zh-CN"/>
        </w:rPr>
      </w:pPr>
      <w:r>
        <w:rPr>
          <w:rFonts w:ascii="Times New Roman" w:hAnsi="Times New Roman" w:eastAsia="Times New Roman" w:cs="Times New Roman"/>
          <w:b w:val="0"/>
          <w:bCs w:val="0"/>
          <w:spacing w:val="-5"/>
          <w:sz w:val="28"/>
          <w:szCs w:val="28"/>
          <w:lang w:eastAsia="zh-CN"/>
        </w:rPr>
        <w:t>正面词采用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必须</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反面词采用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严禁</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 xml:space="preserve"> </w:t>
      </w:r>
    </w:p>
    <w:p w14:paraId="38007D1E">
      <w:pPr>
        <w:pStyle w:val="4"/>
        <w:spacing w:line="500" w:lineRule="exact"/>
        <w:ind w:firstLine="810" w:firstLineChars="300"/>
        <w:rPr>
          <w:rFonts w:ascii="Times New Roman" w:hAnsi="Times New Roman" w:cs="Times New Roman"/>
          <w:b w:val="0"/>
          <w:bCs w:val="0"/>
          <w:spacing w:val="-5"/>
          <w:sz w:val="28"/>
          <w:szCs w:val="28"/>
          <w:lang w:eastAsia="zh-CN"/>
        </w:rPr>
      </w:pPr>
      <w:r>
        <w:rPr>
          <w:rFonts w:hint="eastAsia" w:ascii="Times New Roman" w:hAnsi="Times New Roman" w:cs="Times New Roman"/>
          <w:b w:val="0"/>
          <w:bCs w:val="0"/>
          <w:spacing w:val="-5"/>
          <w:sz w:val="28"/>
          <w:szCs w:val="28"/>
          <w:lang w:eastAsia="zh-CN"/>
        </w:rPr>
        <w:t>2）</w:t>
      </w:r>
      <w:r>
        <w:rPr>
          <w:rFonts w:ascii="Times New Roman" w:hAnsi="Times New Roman" w:eastAsia="Times New Roman" w:cs="Times New Roman"/>
          <w:b w:val="0"/>
          <w:bCs w:val="0"/>
          <w:spacing w:val="-5"/>
          <w:sz w:val="28"/>
          <w:szCs w:val="28"/>
          <w:lang w:eastAsia="zh-CN"/>
        </w:rPr>
        <w:t>表示严格，在正常情况下均应这样做的</w:t>
      </w:r>
      <w:r>
        <w:rPr>
          <w:rFonts w:hint="eastAsia" w:ascii="Times New Roman" w:hAnsi="Times New Roman" w:cs="Times New Roman"/>
          <w:b w:val="0"/>
          <w:bCs w:val="0"/>
          <w:spacing w:val="-5"/>
          <w:sz w:val="28"/>
          <w:szCs w:val="28"/>
          <w:lang w:eastAsia="zh-CN"/>
        </w:rPr>
        <w:t>：</w:t>
      </w:r>
    </w:p>
    <w:p w14:paraId="05CCC929">
      <w:pPr>
        <w:pStyle w:val="4"/>
        <w:spacing w:line="500" w:lineRule="exact"/>
        <w:ind w:firstLine="810" w:firstLineChars="300"/>
        <w:rPr>
          <w:rFonts w:ascii="Times New Roman" w:hAnsi="Times New Roman" w:cs="Times New Roman"/>
          <w:b w:val="0"/>
          <w:bCs w:val="0"/>
          <w:spacing w:val="-5"/>
          <w:sz w:val="28"/>
          <w:szCs w:val="28"/>
          <w:lang w:eastAsia="zh-CN"/>
        </w:rPr>
      </w:pPr>
      <w:r>
        <w:rPr>
          <w:rFonts w:ascii="Times New Roman" w:hAnsi="Times New Roman" w:eastAsia="Times New Roman" w:cs="Times New Roman"/>
          <w:b w:val="0"/>
          <w:bCs w:val="0"/>
          <w:spacing w:val="-5"/>
          <w:sz w:val="28"/>
          <w:szCs w:val="28"/>
          <w:lang w:eastAsia="zh-CN"/>
        </w:rPr>
        <w:t>正面词采用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应</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反面词采用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不应</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或</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不得</w:t>
      </w:r>
      <w:r>
        <w:rPr>
          <w:rFonts w:hint="eastAsia" w:ascii="Times New Roman" w:hAnsi="Times New Roman" w:cs="Times New Roman"/>
          <w:b w:val="0"/>
          <w:bCs w:val="0"/>
          <w:spacing w:val="-5"/>
          <w:sz w:val="28"/>
          <w:szCs w:val="28"/>
          <w:lang w:eastAsia="zh-CN"/>
        </w:rPr>
        <w:t>”：</w:t>
      </w:r>
    </w:p>
    <w:p w14:paraId="1C4DD488">
      <w:pPr>
        <w:pStyle w:val="4"/>
        <w:spacing w:line="500" w:lineRule="exact"/>
        <w:ind w:firstLine="810" w:firstLineChars="300"/>
        <w:rPr>
          <w:rFonts w:ascii="Times New Roman" w:hAnsi="Times New Roman" w:eastAsia="Times New Roman" w:cs="Times New Roman"/>
          <w:b w:val="0"/>
          <w:bCs w:val="0"/>
          <w:spacing w:val="-5"/>
          <w:sz w:val="28"/>
          <w:szCs w:val="28"/>
          <w:lang w:eastAsia="zh-CN"/>
        </w:rPr>
      </w:pPr>
      <w:r>
        <w:rPr>
          <w:rFonts w:hint="eastAsia" w:ascii="Times New Roman" w:hAnsi="Times New Roman" w:cs="Times New Roman"/>
          <w:b w:val="0"/>
          <w:bCs w:val="0"/>
          <w:spacing w:val="-5"/>
          <w:sz w:val="28"/>
          <w:szCs w:val="28"/>
          <w:lang w:eastAsia="zh-CN"/>
        </w:rPr>
        <w:t>3）</w:t>
      </w:r>
      <w:r>
        <w:rPr>
          <w:rFonts w:ascii="Times New Roman" w:hAnsi="Times New Roman" w:eastAsia="Times New Roman" w:cs="Times New Roman"/>
          <w:b w:val="0"/>
          <w:bCs w:val="0"/>
          <w:spacing w:val="-5"/>
          <w:sz w:val="28"/>
          <w:szCs w:val="28"/>
          <w:lang w:eastAsia="zh-CN"/>
        </w:rPr>
        <w:t>表示允许稍有选择</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 xml:space="preserve">在条件许可时首先应这样做的： </w:t>
      </w:r>
    </w:p>
    <w:p w14:paraId="70DF2671">
      <w:pPr>
        <w:pStyle w:val="4"/>
        <w:spacing w:line="500" w:lineRule="exact"/>
        <w:ind w:firstLine="810" w:firstLineChars="300"/>
        <w:rPr>
          <w:rFonts w:ascii="Times New Roman" w:hAnsi="Times New Roman" w:cs="Times New Roman"/>
          <w:b w:val="0"/>
          <w:bCs w:val="0"/>
          <w:spacing w:val="-5"/>
          <w:sz w:val="28"/>
          <w:szCs w:val="28"/>
          <w:lang w:eastAsia="zh-CN"/>
        </w:rPr>
      </w:pPr>
      <w:r>
        <w:rPr>
          <w:rFonts w:ascii="Times New Roman" w:hAnsi="Times New Roman" w:eastAsia="Times New Roman" w:cs="Times New Roman"/>
          <w:b w:val="0"/>
          <w:bCs w:val="0"/>
          <w:spacing w:val="-5"/>
          <w:sz w:val="28"/>
          <w:szCs w:val="28"/>
          <w:lang w:eastAsia="zh-CN"/>
        </w:rPr>
        <w:t>正面词采用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宜</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反面词采用</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不宜</w:t>
      </w:r>
      <w:r>
        <w:rPr>
          <w:rFonts w:hint="eastAsia" w:ascii="Times New Roman" w:hAnsi="Times New Roman" w:cs="Times New Roman"/>
          <w:b w:val="0"/>
          <w:bCs w:val="0"/>
          <w:spacing w:val="-5"/>
          <w:sz w:val="28"/>
          <w:szCs w:val="28"/>
          <w:lang w:eastAsia="zh-CN"/>
        </w:rPr>
        <w:t>”；</w:t>
      </w:r>
    </w:p>
    <w:p w14:paraId="3BD2B05E">
      <w:pPr>
        <w:pStyle w:val="4"/>
        <w:spacing w:line="500" w:lineRule="exact"/>
        <w:ind w:firstLine="810" w:firstLineChars="300"/>
        <w:rPr>
          <w:rFonts w:ascii="Times New Roman" w:hAnsi="Times New Roman" w:eastAsia="Times New Roman" w:cs="Times New Roman"/>
          <w:b w:val="0"/>
          <w:bCs w:val="0"/>
          <w:spacing w:val="-5"/>
          <w:sz w:val="28"/>
          <w:szCs w:val="28"/>
          <w:lang w:eastAsia="zh-CN"/>
        </w:rPr>
      </w:pPr>
      <w:r>
        <w:rPr>
          <w:rFonts w:hint="eastAsia" w:ascii="Times New Roman" w:hAnsi="Times New Roman" w:cs="Times New Roman"/>
          <w:b w:val="0"/>
          <w:bCs w:val="0"/>
          <w:spacing w:val="-5"/>
          <w:sz w:val="28"/>
          <w:szCs w:val="28"/>
          <w:lang w:eastAsia="zh-CN"/>
        </w:rPr>
        <w:t>4）</w:t>
      </w:r>
      <w:r>
        <w:rPr>
          <w:rFonts w:ascii="Times New Roman" w:hAnsi="Times New Roman" w:eastAsia="Times New Roman" w:cs="Times New Roman"/>
          <w:b w:val="0"/>
          <w:bCs w:val="0"/>
          <w:spacing w:val="-5"/>
          <w:sz w:val="28"/>
          <w:szCs w:val="28"/>
          <w:lang w:eastAsia="zh-CN"/>
        </w:rPr>
        <w:t xml:space="preserve">表示有选择，在一定条件下可以这样做的，采用 </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可</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w:t>
      </w:r>
    </w:p>
    <w:p w14:paraId="1CC4CE9B">
      <w:pPr>
        <w:pStyle w:val="4"/>
        <w:spacing w:line="500" w:lineRule="exact"/>
        <w:ind w:firstLine="540" w:firstLineChars="200"/>
        <w:rPr>
          <w:rFonts w:ascii="Times New Roman" w:hAnsi="Times New Roman" w:cs="Times New Roman"/>
          <w:b w:val="0"/>
          <w:bCs w:val="0"/>
          <w:spacing w:val="-5"/>
          <w:sz w:val="28"/>
          <w:szCs w:val="28"/>
          <w:lang w:eastAsia="zh-CN"/>
        </w:rPr>
      </w:pPr>
      <w:r>
        <w:rPr>
          <w:rFonts w:ascii="Times New Roman" w:hAnsi="Times New Roman" w:eastAsia="Times New Roman" w:cs="Times New Roman"/>
          <w:b w:val="0"/>
          <w:bCs w:val="0"/>
          <w:spacing w:val="-5"/>
          <w:sz w:val="28"/>
          <w:szCs w:val="28"/>
          <w:lang w:eastAsia="zh-CN"/>
        </w:rPr>
        <w:t xml:space="preserve">2 </w:t>
      </w:r>
      <w:r>
        <w:rPr>
          <w:rFonts w:hint="eastAsia" w:ascii="Times New Roman" w:hAnsi="Times New Roman" w:cs="Times New Roman"/>
          <w:b w:val="0"/>
          <w:bCs w:val="0"/>
          <w:spacing w:val="-5"/>
          <w:sz w:val="28"/>
          <w:szCs w:val="28"/>
          <w:lang w:eastAsia="zh-CN"/>
        </w:rPr>
        <w:t xml:space="preserve"> </w:t>
      </w:r>
      <w:r>
        <w:rPr>
          <w:rFonts w:ascii="Times New Roman" w:hAnsi="Times New Roman" w:eastAsia="Times New Roman" w:cs="Times New Roman"/>
          <w:b w:val="0"/>
          <w:bCs w:val="0"/>
          <w:spacing w:val="-5"/>
          <w:sz w:val="28"/>
          <w:szCs w:val="28"/>
          <w:lang w:eastAsia="zh-CN"/>
        </w:rPr>
        <w:t>条文中指明应按其他有关标准执行的写法为</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应符合</w:t>
      </w:r>
      <w:r>
        <w:rPr>
          <w:rFonts w:ascii="Times New Roman" w:hAnsi="Times New Roman" w:eastAsia="Times New Roman" w:cs="Times New Roman"/>
          <w:b w:val="0"/>
          <w:bCs w:val="0"/>
          <w:spacing w:val="-5"/>
          <w:sz w:val="28"/>
          <w:szCs w:val="28"/>
          <w:vertAlign w:val="superscript"/>
          <w:lang w:eastAsia="zh-CN"/>
        </w:rPr>
        <w:t>……</w:t>
      </w:r>
      <w:r>
        <w:rPr>
          <w:rFonts w:ascii="Times New Roman" w:hAnsi="Times New Roman" w:eastAsia="Times New Roman" w:cs="Times New Roman"/>
          <w:b w:val="0"/>
          <w:bCs w:val="0"/>
          <w:spacing w:val="-5"/>
          <w:sz w:val="28"/>
          <w:szCs w:val="28"/>
          <w:lang w:eastAsia="zh-CN"/>
        </w:rPr>
        <w:t>的规定</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或</w:t>
      </w:r>
      <w:r>
        <w:rPr>
          <w:rFonts w:hint="eastAsia" w:ascii="Times New Roman" w:hAnsi="Times New Roman" w:cs="Times New Roman"/>
          <w:b w:val="0"/>
          <w:bCs w:val="0"/>
          <w:spacing w:val="-5"/>
          <w:sz w:val="28"/>
          <w:szCs w:val="28"/>
          <w:lang w:eastAsia="zh-CN"/>
        </w:rPr>
        <w:t>“</w:t>
      </w:r>
      <w:r>
        <w:rPr>
          <w:rFonts w:ascii="Times New Roman" w:hAnsi="Times New Roman" w:eastAsia="Times New Roman" w:cs="Times New Roman"/>
          <w:b w:val="0"/>
          <w:bCs w:val="0"/>
          <w:spacing w:val="-5"/>
          <w:sz w:val="28"/>
          <w:szCs w:val="28"/>
          <w:lang w:eastAsia="zh-CN"/>
        </w:rPr>
        <w:t>应按</w:t>
      </w:r>
      <w:r>
        <w:rPr>
          <w:rFonts w:ascii="Times New Roman" w:hAnsi="Times New Roman" w:eastAsia="Times New Roman" w:cs="Times New Roman"/>
          <w:b w:val="0"/>
          <w:bCs w:val="0"/>
          <w:spacing w:val="-5"/>
          <w:sz w:val="28"/>
          <w:szCs w:val="28"/>
          <w:vertAlign w:val="superscript"/>
          <w:lang w:eastAsia="zh-CN"/>
        </w:rPr>
        <w:t>……</w:t>
      </w:r>
      <w:r>
        <w:rPr>
          <w:rFonts w:ascii="Times New Roman" w:hAnsi="Times New Roman" w:eastAsia="Times New Roman" w:cs="Times New Roman"/>
          <w:b w:val="0"/>
          <w:bCs w:val="0"/>
          <w:spacing w:val="-5"/>
          <w:sz w:val="28"/>
          <w:szCs w:val="28"/>
          <w:lang w:eastAsia="zh-CN"/>
        </w:rPr>
        <w:t>执行</w:t>
      </w:r>
      <w:r>
        <w:rPr>
          <w:rFonts w:hint="eastAsia" w:ascii="Times New Roman" w:hAnsi="Times New Roman" w:cs="Times New Roman"/>
          <w:b w:val="0"/>
          <w:bCs w:val="0"/>
          <w:spacing w:val="-5"/>
          <w:sz w:val="28"/>
          <w:szCs w:val="28"/>
          <w:lang w:eastAsia="zh-CN"/>
        </w:rPr>
        <w:t>”。</w:t>
      </w:r>
    </w:p>
    <w:p w14:paraId="4536DC96">
      <w:pPr>
        <w:pStyle w:val="4"/>
        <w:spacing w:line="500" w:lineRule="exact"/>
        <w:ind w:firstLine="540" w:firstLineChars="200"/>
        <w:rPr>
          <w:rFonts w:ascii="Times New Roman" w:hAnsi="Times New Roman" w:cs="Times New Roman"/>
          <w:spacing w:val="-5"/>
          <w:sz w:val="28"/>
          <w:szCs w:val="28"/>
          <w:lang w:eastAsia="zh-CN"/>
        </w:rPr>
      </w:pPr>
    </w:p>
    <w:p w14:paraId="64B93CE2">
      <w:pPr>
        <w:pStyle w:val="4"/>
        <w:spacing w:line="500" w:lineRule="exact"/>
        <w:ind w:firstLine="540" w:firstLineChars="200"/>
        <w:rPr>
          <w:rFonts w:ascii="Times New Roman" w:hAnsi="Times New Roman" w:cs="Times New Roman"/>
          <w:spacing w:val="-5"/>
          <w:sz w:val="28"/>
          <w:szCs w:val="28"/>
          <w:lang w:eastAsia="zh-CN"/>
        </w:rPr>
      </w:pPr>
    </w:p>
    <w:p w14:paraId="31619480">
      <w:pPr>
        <w:rPr>
          <w:rFonts w:ascii="Times New Roman" w:hAnsi="Times New Roman" w:eastAsia="宋体" w:cs="Times New Roman"/>
          <w:sz w:val="24"/>
          <w:szCs w:val="21"/>
        </w:rPr>
      </w:pPr>
      <w:r>
        <w:rPr>
          <w:rFonts w:hint="eastAsia" w:ascii="Times New Roman" w:hAnsi="Times New Roman" w:eastAsia="宋体" w:cs="Times New Roman"/>
          <w:sz w:val="24"/>
          <w:szCs w:val="21"/>
        </w:rPr>
        <w:br w:type="page"/>
      </w:r>
    </w:p>
    <w:p w14:paraId="078AC9A5">
      <w:pPr>
        <w:pStyle w:val="4"/>
        <w:spacing w:before="319" w:beforeLines="100" w:after="319" w:afterLines="100"/>
        <w:rPr>
          <w:b/>
          <w:bCs/>
          <w:spacing w:val="-8"/>
          <w:sz w:val="18"/>
          <w:szCs w:val="18"/>
          <w:lang w:eastAsia="zh-CN"/>
        </w:rPr>
      </w:pPr>
    </w:p>
    <w:p w14:paraId="72667BEE">
      <w:pPr>
        <w:pStyle w:val="4"/>
        <w:spacing w:before="319" w:beforeLines="100" w:after="319" w:afterLines="100" w:line="219" w:lineRule="auto"/>
        <w:jc w:val="center"/>
        <w:outlineLvl w:val="0"/>
        <w:rPr>
          <w:b/>
          <w:bCs/>
          <w:spacing w:val="-5"/>
          <w:sz w:val="36"/>
          <w:szCs w:val="36"/>
          <w:lang w:eastAsia="zh-CN"/>
        </w:rPr>
      </w:pPr>
      <w:bookmarkStart w:id="254" w:name="_Toc5409"/>
      <w:r>
        <w:rPr>
          <w:b/>
          <w:bCs/>
          <w:spacing w:val="-5"/>
          <w:sz w:val="36"/>
          <w:szCs w:val="36"/>
          <w:lang w:eastAsia="zh-CN"/>
        </w:rPr>
        <w:t>引用标准名录</w:t>
      </w:r>
      <w:bookmarkEnd w:id="254"/>
    </w:p>
    <w:p w14:paraId="60AD541E">
      <w:pPr>
        <w:pStyle w:val="4"/>
        <w:spacing w:line="500" w:lineRule="exact"/>
        <w:rPr>
          <w:spacing w:val="4"/>
          <w:sz w:val="28"/>
          <w:szCs w:val="28"/>
          <w:lang w:eastAsia="zh-CN"/>
        </w:rPr>
      </w:pPr>
      <w:r>
        <w:rPr>
          <w:rFonts w:hint="eastAsia"/>
          <w:spacing w:val="-5"/>
          <w:sz w:val="28"/>
          <w:szCs w:val="28"/>
          <w:lang w:eastAsia="zh-CN"/>
        </w:rPr>
        <w:t>1 《土工试验方法标准》GB/T 50123</w:t>
      </w:r>
      <w:r>
        <w:rPr>
          <w:rFonts w:hint="eastAsia"/>
          <w:spacing w:val="4"/>
          <w:sz w:val="28"/>
          <w:szCs w:val="28"/>
          <w:lang w:eastAsia="zh-CN"/>
        </w:rPr>
        <w:t xml:space="preserve">    </w:t>
      </w:r>
    </w:p>
    <w:p w14:paraId="7480EA12">
      <w:pPr>
        <w:pStyle w:val="4"/>
        <w:spacing w:line="500" w:lineRule="exact"/>
        <w:rPr>
          <w:sz w:val="28"/>
          <w:szCs w:val="28"/>
          <w:lang w:eastAsia="zh-CN"/>
        </w:rPr>
      </w:pPr>
      <w:r>
        <w:rPr>
          <w:rFonts w:hint="eastAsia"/>
          <w:spacing w:val="-6"/>
          <w:sz w:val="28"/>
          <w:szCs w:val="28"/>
          <w:lang w:eastAsia="zh-CN"/>
        </w:rPr>
        <w:t>2 《建筑边坡工程技术规范》GB 50330</w:t>
      </w:r>
    </w:p>
    <w:p w14:paraId="10A0B951">
      <w:pPr>
        <w:pStyle w:val="4"/>
        <w:spacing w:line="500" w:lineRule="exact"/>
        <w:rPr>
          <w:spacing w:val="-7"/>
          <w:sz w:val="28"/>
          <w:szCs w:val="28"/>
          <w:lang w:eastAsia="zh-CN"/>
        </w:rPr>
      </w:pPr>
      <w:r>
        <w:rPr>
          <w:rFonts w:hint="eastAsia"/>
          <w:spacing w:val="-7"/>
          <w:sz w:val="28"/>
          <w:szCs w:val="28"/>
          <w:lang w:eastAsia="zh-CN"/>
        </w:rPr>
        <w:t>3 《生活垃圾卫生填埋场防渗系统工程技术标准》GB/T 51403</w:t>
      </w:r>
    </w:p>
    <w:p w14:paraId="00F206D0">
      <w:pPr>
        <w:pStyle w:val="4"/>
        <w:spacing w:line="500" w:lineRule="exact"/>
        <w:rPr>
          <w:sz w:val="28"/>
          <w:szCs w:val="28"/>
          <w:lang w:eastAsia="zh-CN"/>
        </w:rPr>
      </w:pPr>
      <w:r>
        <w:rPr>
          <w:rFonts w:hint="eastAsia"/>
          <w:spacing w:val="4"/>
          <w:sz w:val="28"/>
          <w:szCs w:val="28"/>
          <w:lang w:eastAsia="zh-CN"/>
        </w:rPr>
        <w:t xml:space="preserve">4 </w:t>
      </w:r>
      <w:r>
        <w:rPr>
          <w:rFonts w:hint="eastAsia"/>
          <w:spacing w:val="-7"/>
          <w:sz w:val="28"/>
          <w:szCs w:val="28"/>
          <w:lang w:eastAsia="zh-CN"/>
        </w:rPr>
        <w:t>生活垃圾卫生填埋场岩土工程技术规范》CJJ 176</w:t>
      </w:r>
    </w:p>
    <w:p w14:paraId="5FFBF762">
      <w:pPr>
        <w:pStyle w:val="4"/>
        <w:spacing w:line="500" w:lineRule="exact"/>
        <w:rPr>
          <w:sz w:val="28"/>
          <w:szCs w:val="28"/>
          <w:lang w:eastAsia="zh-CN"/>
        </w:rPr>
      </w:pPr>
      <w:r>
        <w:rPr>
          <w:rFonts w:hint="eastAsia"/>
          <w:spacing w:val="-7"/>
          <w:sz w:val="28"/>
          <w:szCs w:val="28"/>
          <w:lang w:eastAsia="zh-CN"/>
        </w:rPr>
        <w:t>5</w:t>
      </w:r>
      <w:r>
        <w:rPr>
          <w:rFonts w:hint="eastAsia"/>
          <w:spacing w:val="4"/>
          <w:sz w:val="28"/>
          <w:szCs w:val="28"/>
          <w:lang w:eastAsia="zh-CN"/>
        </w:rPr>
        <w:t>《生活垃圾填埋场防渗土工膜渗漏破损探测技术规程</w:t>
      </w:r>
      <w:r>
        <w:rPr>
          <w:rFonts w:hint="eastAsia"/>
          <w:spacing w:val="-7"/>
          <w:sz w:val="28"/>
          <w:szCs w:val="28"/>
          <w:lang w:eastAsia="zh-CN"/>
        </w:rPr>
        <w:t>》CJJ/T 214</w:t>
      </w:r>
    </w:p>
    <w:p w14:paraId="604E4FAE">
      <w:pPr>
        <w:pStyle w:val="4"/>
        <w:spacing w:line="500" w:lineRule="exact"/>
        <w:rPr>
          <w:spacing w:val="-7"/>
          <w:sz w:val="28"/>
          <w:szCs w:val="28"/>
          <w:lang w:eastAsia="zh-CN"/>
        </w:rPr>
      </w:pPr>
      <w:r>
        <w:rPr>
          <w:rFonts w:hint="eastAsia"/>
          <w:spacing w:val="-6"/>
          <w:sz w:val="28"/>
          <w:szCs w:val="28"/>
          <w:lang w:eastAsia="zh-CN"/>
        </w:rPr>
        <w:t>6</w:t>
      </w:r>
      <w:r>
        <w:rPr>
          <w:rFonts w:hint="eastAsia"/>
          <w:spacing w:val="-7"/>
          <w:sz w:val="28"/>
          <w:szCs w:val="28"/>
          <w:lang w:eastAsia="zh-CN"/>
        </w:rPr>
        <w:t xml:space="preserve"> 《垃圾填埋场用高密度聚乙烯土工膜》CJ/T 234</w:t>
      </w:r>
    </w:p>
    <w:p w14:paraId="3753ACCA">
      <w:pPr>
        <w:pStyle w:val="4"/>
        <w:spacing w:line="500" w:lineRule="exact"/>
        <w:rPr>
          <w:sz w:val="28"/>
          <w:szCs w:val="28"/>
          <w:lang w:eastAsia="zh-CN"/>
        </w:rPr>
      </w:pPr>
      <w:r>
        <w:rPr>
          <w:rFonts w:hint="eastAsia"/>
          <w:spacing w:val="-7"/>
          <w:sz w:val="28"/>
          <w:szCs w:val="28"/>
          <w:lang w:eastAsia="zh-CN"/>
        </w:rPr>
        <w:t>7</w:t>
      </w:r>
      <w:r>
        <w:rPr>
          <w:rFonts w:hint="eastAsia"/>
          <w:spacing w:val="-6"/>
          <w:sz w:val="28"/>
          <w:szCs w:val="28"/>
          <w:lang w:eastAsia="zh-CN"/>
        </w:rPr>
        <w:t xml:space="preserve"> 《垃圾填埋场用高密度聚乙烯管材》CJ/T 3</w:t>
      </w:r>
      <w:r>
        <w:rPr>
          <w:rFonts w:hint="eastAsia"/>
          <w:spacing w:val="-7"/>
          <w:sz w:val="28"/>
          <w:szCs w:val="28"/>
          <w:lang w:eastAsia="zh-CN"/>
        </w:rPr>
        <w:t>71</w:t>
      </w:r>
    </w:p>
    <w:p w14:paraId="20188E69">
      <w:pPr>
        <w:pStyle w:val="4"/>
        <w:spacing w:line="500" w:lineRule="exact"/>
        <w:rPr>
          <w:sz w:val="28"/>
          <w:szCs w:val="28"/>
          <w:lang w:eastAsia="zh-CN"/>
        </w:rPr>
      </w:pPr>
      <w:r>
        <w:rPr>
          <w:rFonts w:hint="eastAsia"/>
          <w:spacing w:val="-5"/>
          <w:sz w:val="28"/>
          <w:szCs w:val="28"/>
          <w:lang w:eastAsia="zh-CN"/>
        </w:rPr>
        <w:t>8</w:t>
      </w:r>
      <w:r>
        <w:rPr>
          <w:rFonts w:hint="eastAsia"/>
          <w:spacing w:val="15"/>
          <w:w w:val="101"/>
          <w:sz w:val="28"/>
          <w:szCs w:val="28"/>
          <w:lang w:eastAsia="zh-CN"/>
        </w:rPr>
        <w:t xml:space="preserve"> </w:t>
      </w:r>
      <w:r>
        <w:rPr>
          <w:rFonts w:hint="eastAsia"/>
          <w:spacing w:val="-7"/>
          <w:sz w:val="28"/>
          <w:szCs w:val="28"/>
          <w:lang w:eastAsia="zh-CN"/>
        </w:rPr>
        <w:t>《垃圾填埋场用非织造土工布》CJ/T</w:t>
      </w:r>
      <w:r>
        <w:rPr>
          <w:rFonts w:hint="eastAsia"/>
          <w:spacing w:val="21"/>
          <w:sz w:val="28"/>
          <w:szCs w:val="28"/>
          <w:lang w:eastAsia="zh-CN"/>
        </w:rPr>
        <w:t xml:space="preserve"> </w:t>
      </w:r>
      <w:r>
        <w:rPr>
          <w:rFonts w:hint="eastAsia"/>
          <w:spacing w:val="-7"/>
          <w:sz w:val="28"/>
          <w:szCs w:val="28"/>
          <w:lang w:eastAsia="zh-CN"/>
        </w:rPr>
        <w:t>430</w:t>
      </w:r>
      <w:r>
        <w:rPr>
          <w:rFonts w:hint="eastAsia"/>
          <w:sz w:val="28"/>
          <w:szCs w:val="28"/>
          <w:lang w:eastAsia="zh-CN"/>
        </w:rPr>
        <w:t xml:space="preserve"> </w:t>
      </w:r>
    </w:p>
    <w:p w14:paraId="691C217E">
      <w:pPr>
        <w:pStyle w:val="4"/>
        <w:spacing w:line="500" w:lineRule="exact"/>
        <w:rPr>
          <w:sz w:val="28"/>
          <w:szCs w:val="28"/>
          <w:lang w:eastAsia="zh-CN"/>
        </w:rPr>
      </w:pPr>
      <w:r>
        <w:rPr>
          <w:rFonts w:hint="eastAsia"/>
          <w:spacing w:val="-5"/>
          <w:sz w:val="28"/>
          <w:szCs w:val="28"/>
          <w:lang w:eastAsia="zh-CN"/>
        </w:rPr>
        <w:t>9 《垃圾填埋场用土工滤网》CJ/T 437</w:t>
      </w:r>
    </w:p>
    <w:p w14:paraId="773DC652">
      <w:pPr>
        <w:pStyle w:val="4"/>
        <w:spacing w:line="500" w:lineRule="exact"/>
        <w:rPr>
          <w:spacing w:val="2"/>
          <w:sz w:val="28"/>
          <w:szCs w:val="28"/>
          <w:lang w:eastAsia="zh-CN"/>
        </w:rPr>
      </w:pPr>
      <w:r>
        <w:rPr>
          <w:rFonts w:hint="eastAsia"/>
          <w:spacing w:val="-5"/>
          <w:sz w:val="28"/>
          <w:szCs w:val="28"/>
          <w:lang w:eastAsia="zh-CN"/>
        </w:rPr>
        <w:t>10 《垃圾填理场用土工排水网》CJ/T 452</w:t>
      </w:r>
      <w:r>
        <w:rPr>
          <w:rFonts w:hint="eastAsia"/>
          <w:spacing w:val="2"/>
          <w:sz w:val="28"/>
          <w:szCs w:val="28"/>
          <w:lang w:eastAsia="zh-CN"/>
        </w:rPr>
        <w:t xml:space="preserve"> </w:t>
      </w:r>
    </w:p>
    <w:p w14:paraId="17EE390B">
      <w:pPr>
        <w:pStyle w:val="4"/>
        <w:spacing w:line="500" w:lineRule="exact"/>
        <w:rPr>
          <w:sz w:val="28"/>
          <w:szCs w:val="28"/>
          <w:lang w:eastAsia="zh-CN"/>
        </w:rPr>
      </w:pPr>
      <w:r>
        <w:rPr>
          <w:rFonts w:hint="eastAsia"/>
          <w:spacing w:val="-5"/>
          <w:sz w:val="28"/>
          <w:szCs w:val="28"/>
          <w:lang w:eastAsia="zh-CN"/>
        </w:rPr>
        <w:t>11 《钠基膨润土防水毯》JG/T 193</w:t>
      </w:r>
    </w:p>
    <w:p w14:paraId="290F1B36">
      <w:pPr>
        <w:pStyle w:val="4"/>
        <w:spacing w:line="500" w:lineRule="exact"/>
        <w:rPr>
          <w:spacing w:val="-8"/>
          <w:sz w:val="28"/>
          <w:szCs w:val="28"/>
          <w:lang w:eastAsia="zh-CN"/>
        </w:rPr>
      </w:pPr>
      <w:r>
        <w:rPr>
          <w:rFonts w:hint="eastAsia"/>
          <w:spacing w:val="-7"/>
          <w:sz w:val="28"/>
          <w:szCs w:val="28"/>
          <w:lang w:eastAsia="zh-CN"/>
        </w:rPr>
        <w:t>12 《水利水电工程边坡设计规范》SL</w:t>
      </w:r>
      <w:r>
        <w:rPr>
          <w:rFonts w:hint="eastAsia"/>
          <w:spacing w:val="40"/>
          <w:w w:val="101"/>
          <w:sz w:val="28"/>
          <w:szCs w:val="28"/>
          <w:lang w:eastAsia="zh-CN"/>
        </w:rPr>
        <w:t xml:space="preserve"> </w:t>
      </w:r>
      <w:r>
        <w:rPr>
          <w:rFonts w:hint="eastAsia"/>
          <w:spacing w:val="-8"/>
          <w:sz w:val="28"/>
          <w:szCs w:val="28"/>
          <w:lang w:eastAsia="zh-CN"/>
        </w:rPr>
        <w:t>386</w:t>
      </w:r>
    </w:p>
    <w:p w14:paraId="4393B3A5">
      <w:pPr>
        <w:rPr>
          <w:rFonts w:ascii="宋体" w:hAnsi="宋体" w:eastAsia="宋体" w:cs="宋体"/>
          <w:spacing w:val="-8"/>
          <w:sz w:val="28"/>
          <w:szCs w:val="28"/>
        </w:rPr>
      </w:pPr>
      <w:r>
        <w:rPr>
          <w:rFonts w:hint="eastAsia" w:ascii="宋体" w:hAnsi="宋体" w:eastAsia="宋体" w:cs="宋体"/>
          <w:spacing w:val="-8"/>
          <w:sz w:val="28"/>
          <w:szCs w:val="28"/>
        </w:rPr>
        <w:br w:type="page"/>
      </w:r>
    </w:p>
    <w:p w14:paraId="145F904B">
      <w:pPr>
        <w:rPr>
          <w:rFonts w:ascii="黑体" w:eastAsia="黑体"/>
          <w:sz w:val="44"/>
        </w:rPr>
      </w:pPr>
    </w:p>
    <w:p w14:paraId="312F4E6F">
      <w:pPr>
        <w:jc w:val="center"/>
        <w:rPr>
          <w:rFonts w:ascii="黑体" w:eastAsia="黑体"/>
          <w:sz w:val="44"/>
        </w:rPr>
      </w:pPr>
    </w:p>
    <w:p w14:paraId="7EE0D335">
      <w:pPr>
        <w:jc w:val="center"/>
        <w:rPr>
          <w:rFonts w:ascii="黑体" w:eastAsia="黑体"/>
          <w:sz w:val="44"/>
        </w:rPr>
      </w:pPr>
    </w:p>
    <w:p w14:paraId="1213A51F">
      <w:pPr>
        <w:jc w:val="center"/>
        <w:rPr>
          <w:rFonts w:ascii="黑体" w:eastAsia="黑体"/>
          <w:sz w:val="44"/>
        </w:rPr>
      </w:pPr>
      <w:r>
        <w:rPr>
          <w:rFonts w:hint="eastAsia" w:ascii="黑体" w:eastAsia="黑体"/>
          <w:sz w:val="44"/>
        </w:rPr>
        <w:t>中国建筑业协会团体标准</w:t>
      </w:r>
    </w:p>
    <w:p w14:paraId="16B25C53">
      <w:pPr>
        <w:jc w:val="center"/>
        <w:rPr>
          <w:rFonts w:ascii="宋体" w:hAnsi="宋体"/>
        </w:rPr>
      </w:pPr>
    </w:p>
    <w:p w14:paraId="538C8942">
      <w:pPr>
        <w:jc w:val="center"/>
        <w:rPr>
          <w:rFonts w:ascii="黑体" w:eastAsia="黑体"/>
          <w:sz w:val="48"/>
        </w:rPr>
      </w:pPr>
      <w:r>
        <w:rPr>
          <w:rFonts w:hint="eastAsia" w:ascii="黑体" w:eastAsia="黑体"/>
          <w:sz w:val="48"/>
        </w:rPr>
        <w:t>垃圾填埋场防渗工程技术标准</w:t>
      </w:r>
    </w:p>
    <w:p w14:paraId="517A9027">
      <w:pPr>
        <w:spacing w:line="360" w:lineRule="auto"/>
        <w:jc w:val="center"/>
        <w:rPr>
          <w:rFonts w:ascii="Times New Roman" w:hAnsi="Times New Roman" w:cs="Times New Roman"/>
          <w:sz w:val="28"/>
          <w:szCs w:val="16"/>
        </w:rPr>
      </w:pPr>
      <w:r>
        <w:rPr>
          <w:rFonts w:ascii="Times New Roman" w:hAnsi="Times New Roman" w:cs="Times New Roman"/>
          <w:sz w:val="28"/>
          <w:szCs w:val="16"/>
        </w:rPr>
        <w:t>Technical standard for anti-seepage</w:t>
      </w:r>
    </w:p>
    <w:p w14:paraId="65F90693">
      <w:pPr>
        <w:spacing w:line="360" w:lineRule="auto"/>
        <w:jc w:val="center"/>
        <w:rPr>
          <w:rFonts w:ascii="Times New Roman" w:hAnsi="Times New Roman" w:cs="Times New Roman"/>
          <w:sz w:val="28"/>
          <w:szCs w:val="16"/>
        </w:rPr>
      </w:pPr>
      <w:r>
        <w:rPr>
          <w:rFonts w:ascii="Times New Roman" w:hAnsi="Times New Roman" w:cs="Times New Roman"/>
          <w:sz w:val="28"/>
          <w:szCs w:val="16"/>
        </w:rPr>
        <w:t xml:space="preserve"> engineering of landfill sites</w:t>
      </w:r>
    </w:p>
    <w:p w14:paraId="1D7E3083">
      <w:pPr>
        <w:jc w:val="center"/>
        <w:outlineLvl w:val="0"/>
        <w:rPr>
          <w:rFonts w:ascii="宋体"/>
          <w:sz w:val="32"/>
        </w:rPr>
      </w:pPr>
      <w:r>
        <w:rPr>
          <w:rFonts w:hint="eastAsia" w:ascii="宋体"/>
          <w:sz w:val="32"/>
        </w:rPr>
        <w:t>条文说明</w:t>
      </w:r>
    </w:p>
    <w:p w14:paraId="0D17D5C7">
      <w:pPr>
        <w:jc w:val="center"/>
        <w:rPr>
          <w:rFonts w:ascii="宋体" w:hAnsi="宋体"/>
        </w:rPr>
      </w:pPr>
    </w:p>
    <w:p w14:paraId="6670F202">
      <w:pPr>
        <w:rPr>
          <w:rFonts w:ascii="宋体" w:hAnsi="宋体"/>
        </w:rPr>
      </w:pPr>
    </w:p>
    <w:p w14:paraId="160111D8">
      <w:pPr>
        <w:jc w:val="center"/>
        <w:rPr>
          <w:rFonts w:ascii="宋体" w:hAnsi="宋体"/>
        </w:rPr>
      </w:pPr>
    </w:p>
    <w:p w14:paraId="42163A26">
      <w:pPr>
        <w:jc w:val="center"/>
        <w:rPr>
          <w:rFonts w:ascii="宋体" w:hAnsi="宋体"/>
        </w:rPr>
      </w:pPr>
    </w:p>
    <w:p w14:paraId="69C1A3DC">
      <w:pPr>
        <w:jc w:val="center"/>
        <w:rPr>
          <w:rFonts w:ascii="宋体" w:hAnsi="宋体"/>
        </w:rPr>
      </w:pPr>
    </w:p>
    <w:p w14:paraId="44B829E1">
      <w:pPr>
        <w:jc w:val="center"/>
        <w:rPr>
          <w:rFonts w:ascii="宋体" w:hAnsi="宋体"/>
        </w:rPr>
      </w:pPr>
    </w:p>
    <w:p w14:paraId="682B7959">
      <w:pPr>
        <w:jc w:val="center"/>
        <w:rPr>
          <w:rFonts w:ascii="宋体" w:hAnsi="宋体"/>
        </w:rPr>
      </w:pPr>
    </w:p>
    <w:p w14:paraId="66DB38A6">
      <w:pPr>
        <w:jc w:val="center"/>
        <w:rPr>
          <w:rFonts w:ascii="宋体" w:hAnsi="宋体"/>
        </w:rPr>
      </w:pPr>
    </w:p>
    <w:p w14:paraId="03193909">
      <w:pPr>
        <w:jc w:val="center"/>
        <w:rPr>
          <w:rFonts w:ascii="宋体" w:hAnsi="宋体"/>
        </w:rPr>
      </w:pPr>
    </w:p>
    <w:p w14:paraId="79ADC3FD">
      <w:pPr>
        <w:jc w:val="center"/>
        <w:rPr>
          <w:rFonts w:ascii="宋体" w:hAnsi="宋体"/>
          <w:b/>
          <w:bCs/>
        </w:rPr>
      </w:pPr>
    </w:p>
    <w:p w14:paraId="1A44CA2F">
      <w:pPr>
        <w:jc w:val="center"/>
        <w:rPr>
          <w:rFonts w:ascii="宋体" w:hAnsi="宋体"/>
          <w:b/>
          <w:bCs/>
        </w:rPr>
      </w:pPr>
    </w:p>
    <w:p w14:paraId="5C0D2EA3">
      <w:pPr>
        <w:jc w:val="center"/>
        <w:rPr>
          <w:rFonts w:ascii="宋体" w:hAnsi="宋体"/>
          <w:b/>
          <w:bCs/>
        </w:rPr>
      </w:pPr>
    </w:p>
    <w:p w14:paraId="00C2FA96">
      <w:pPr>
        <w:jc w:val="center"/>
        <w:rPr>
          <w:rFonts w:ascii="宋体" w:hAnsi="宋体"/>
          <w:b/>
          <w:bCs/>
        </w:rPr>
      </w:pPr>
    </w:p>
    <w:p w14:paraId="5313F806">
      <w:pPr>
        <w:jc w:val="center"/>
        <w:rPr>
          <w:rFonts w:ascii="宋体" w:hAnsi="宋体"/>
          <w:b/>
          <w:bCs/>
        </w:rPr>
      </w:pPr>
    </w:p>
    <w:p w14:paraId="401EEC7A">
      <w:pPr>
        <w:jc w:val="center"/>
        <w:rPr>
          <w:rFonts w:ascii="宋体" w:hAnsi="宋体"/>
          <w:b/>
          <w:bCs/>
        </w:rPr>
      </w:pPr>
    </w:p>
    <w:p w14:paraId="7D62D1A5">
      <w:pPr>
        <w:jc w:val="center"/>
        <w:rPr>
          <w:rFonts w:ascii="宋体" w:hAnsi="宋体"/>
          <w:b/>
          <w:bCs/>
        </w:rPr>
      </w:pPr>
    </w:p>
    <w:p w14:paraId="5311922A">
      <w:pPr>
        <w:jc w:val="center"/>
        <w:rPr>
          <w:rFonts w:ascii="宋体" w:hAnsi="宋体"/>
          <w:b/>
          <w:bCs/>
        </w:rPr>
      </w:pPr>
    </w:p>
    <w:p w14:paraId="64212C66">
      <w:pPr>
        <w:jc w:val="center"/>
        <w:rPr>
          <w:rFonts w:ascii="宋体" w:hAnsi="宋体"/>
          <w:b/>
          <w:bCs/>
        </w:rPr>
      </w:pPr>
    </w:p>
    <w:p w14:paraId="67B12868">
      <w:pPr>
        <w:jc w:val="center"/>
        <w:rPr>
          <w:rFonts w:ascii="宋体" w:hAnsi="宋体"/>
          <w:b/>
          <w:bCs/>
        </w:rPr>
      </w:pPr>
    </w:p>
    <w:p w14:paraId="12681871">
      <w:pPr>
        <w:jc w:val="center"/>
        <w:rPr>
          <w:rFonts w:ascii="宋体" w:hAnsi="宋体"/>
          <w:b/>
          <w:bCs/>
        </w:rPr>
      </w:pPr>
    </w:p>
    <w:p w14:paraId="3E7E67CA">
      <w:pPr>
        <w:spacing w:line="360" w:lineRule="auto"/>
        <w:jc w:val="center"/>
        <w:rPr>
          <w:rFonts w:ascii="宋体" w:hAnsi="宋体"/>
          <w:b/>
          <w:bCs/>
        </w:rPr>
      </w:pPr>
      <w:r>
        <w:rPr>
          <w:rFonts w:ascii="宋体" w:hAnsi="宋体"/>
          <w:b/>
          <w:bCs/>
        </w:rPr>
        <w:br w:type="page"/>
      </w:r>
    </w:p>
    <w:p w14:paraId="126087D4">
      <w:pPr>
        <w:pStyle w:val="4"/>
        <w:keepNext w:val="0"/>
        <w:keepLines w:val="0"/>
        <w:pageBreakBefore w:val="0"/>
        <w:widowControl w:val="0"/>
        <w:kinsoku/>
        <w:wordWrap/>
        <w:overflowPunct/>
        <w:topLinePunct w:val="0"/>
        <w:autoSpaceDE/>
        <w:autoSpaceDN/>
        <w:bidi w:val="0"/>
        <w:adjustRightInd/>
        <w:snapToGrid/>
        <w:spacing w:before="319" w:beforeLines="100" w:after="161" w:afterLines="50" w:line="240" w:lineRule="auto"/>
        <w:jc w:val="center"/>
        <w:textAlignment w:val="auto"/>
        <w:outlineLvl w:val="0"/>
        <w:rPr>
          <w:rFonts w:hint="eastAsia"/>
          <w:b/>
          <w:bCs/>
          <w:spacing w:val="-5"/>
          <w:sz w:val="36"/>
          <w:szCs w:val="36"/>
          <w:lang w:eastAsia="zh-CN"/>
        </w:rPr>
      </w:pPr>
      <w:r>
        <w:rPr>
          <w:rFonts w:hint="eastAsia"/>
          <w:b/>
          <w:bCs/>
          <w:spacing w:val="-5"/>
          <w:sz w:val="36"/>
          <w:szCs w:val="36"/>
          <w:lang w:eastAsia="zh-CN"/>
        </w:rPr>
        <w:t>编制说明</w:t>
      </w:r>
    </w:p>
    <w:p w14:paraId="23C5DC78">
      <w:pPr>
        <w:pStyle w:val="4"/>
        <w:keepNext w:val="0"/>
        <w:keepLines w:val="0"/>
        <w:pageBreakBefore w:val="0"/>
        <w:widowControl w:val="0"/>
        <w:kinsoku/>
        <w:wordWrap/>
        <w:overflowPunct/>
        <w:topLinePunct w:val="0"/>
        <w:autoSpaceDE/>
        <w:autoSpaceDN/>
        <w:bidi w:val="0"/>
        <w:adjustRightInd/>
        <w:snapToGrid/>
        <w:spacing w:before="319" w:beforeLines="100" w:after="161" w:afterLines="50" w:line="240" w:lineRule="auto"/>
        <w:jc w:val="center"/>
        <w:textAlignment w:val="auto"/>
        <w:outlineLvl w:val="0"/>
        <w:rPr>
          <w:rFonts w:hint="eastAsia"/>
          <w:b/>
          <w:bCs/>
          <w:spacing w:val="-5"/>
          <w:sz w:val="24"/>
          <w:szCs w:val="24"/>
          <w:lang w:eastAsia="zh-CN"/>
        </w:rPr>
      </w:pPr>
    </w:p>
    <w:p w14:paraId="1C478285">
      <w:pPr>
        <w:widowControl/>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为规范垃圾填埋场防渗工程的材料要求、设计、施工、验收及维护，满足垃圾填埋场使用功能，编制了《垃圾填埋场防渗工程技术标准》。</w:t>
      </w:r>
    </w:p>
    <w:p w14:paraId="7E66EC1F">
      <w:pPr>
        <w:widowControl/>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本标准</w:t>
      </w:r>
      <w:r>
        <w:rPr>
          <w:rFonts w:hint="eastAsia" w:ascii="Times New Roman" w:hAnsi="Times New Roman" w:eastAsia="宋体" w:cs="Times New Roman"/>
          <w:sz w:val="24"/>
          <w:lang w:eastAsia="zh-CN"/>
        </w:rPr>
        <w:t>编制</w:t>
      </w:r>
      <w:r>
        <w:rPr>
          <w:rFonts w:hint="eastAsia" w:ascii="Times New Roman" w:hAnsi="Times New Roman" w:eastAsia="宋体" w:cs="Times New Roman"/>
          <w:sz w:val="24"/>
        </w:rPr>
        <w:t>过程中，编制组进行了广泛的垃圾填埋场防渗系统材料、设计技术、关键施工工艺、工程验收规定、运营及维护技术的调查研究，总结了我国工程建设中垃圾填埋场项目的实践经验，同时参考了国外先进技术法规、技术标准，编制本标准。</w:t>
      </w:r>
    </w:p>
    <w:p w14:paraId="4D7D7039">
      <w:pPr>
        <w:widowControl/>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为便于广大设计、施工、科研、学校等单位有关人员在使用本标准时能正确理解和执行条文规定，《垃圾填埋场防渗工程技术标准》编制组按章、节、条顺序编制了本标准的条文说明，对条文规定的目的、依据以及执行中需注意的有关事项进行了说明。但是，本条文说明不具备与标准正文同等的法律效力，仅供使用者作为理解和把握标准规定的参考。</w:t>
      </w:r>
    </w:p>
    <w:p w14:paraId="60472A6C">
      <w:pPr>
        <w:rPr>
          <w:rFonts w:ascii="仿宋_GB2312" w:hAnsi="楷体" w:eastAsia="仿宋_GB2312"/>
          <w:sz w:val="24"/>
        </w:rPr>
      </w:pPr>
      <w:r>
        <w:rPr>
          <w:rFonts w:hint="eastAsia" w:ascii="仿宋_GB2312" w:hAnsi="楷体" w:eastAsia="仿宋_GB2312"/>
          <w:sz w:val="24"/>
        </w:rPr>
        <w:br w:type="page"/>
      </w:r>
    </w:p>
    <w:p w14:paraId="25336AC5">
      <w:pPr>
        <w:keepNext w:val="0"/>
        <w:keepLines w:val="0"/>
        <w:pageBreakBefore w:val="0"/>
        <w:widowControl w:val="0"/>
        <w:kinsoku/>
        <w:wordWrap/>
        <w:overflowPunct/>
        <w:topLinePunct w:val="0"/>
        <w:autoSpaceDE/>
        <w:autoSpaceDN/>
        <w:bidi w:val="0"/>
        <w:adjustRightInd/>
        <w:snapToGrid/>
        <w:spacing w:before="157" w:beforeLines="50" w:after="313" w:afterLines="100" w:line="360" w:lineRule="auto"/>
        <w:jc w:val="center"/>
        <w:textAlignment w:val="auto"/>
        <w:rPr>
          <w:rFonts w:ascii="黑体" w:hAnsi="黑体" w:eastAsia="黑体" w:cs="黑体"/>
          <w:sz w:val="32"/>
          <w:szCs w:val="32"/>
        </w:rPr>
      </w:pPr>
      <w:r>
        <w:rPr>
          <w:rFonts w:hint="eastAsia" w:ascii="黑体" w:hAnsi="黑体" w:eastAsia="黑体" w:cs="黑体"/>
          <w:sz w:val="32"/>
          <w:szCs w:val="32"/>
        </w:rPr>
        <w:t>目  次</w:t>
      </w:r>
    </w:p>
    <w:p w14:paraId="63B8878A">
      <w:pPr>
        <w:pStyle w:val="7"/>
        <w:tabs>
          <w:tab w:val="right" w:leader="dot" w:pos="8312"/>
        </w:tabs>
        <w:spacing w:line="360" w:lineRule="auto"/>
        <w:rPr>
          <w:sz w:val="24"/>
          <w:szCs w:val="32"/>
        </w:rPr>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"_Toc11725" </w:instrText>
      </w:r>
      <w:r>
        <w:fldChar w:fldCharType="separate"/>
      </w:r>
      <w:r>
        <w:rPr>
          <w:rFonts w:hint="eastAsia" w:ascii="黑体" w:hAnsi="黑体" w:eastAsia="黑体" w:cs="Times New Roman"/>
          <w:bCs/>
          <w:sz w:val="24"/>
          <w:szCs w:val="40"/>
        </w:rPr>
        <w:t>1  总  则</w:t>
      </w:r>
      <w:r>
        <w:rPr>
          <w:sz w:val="24"/>
          <w:szCs w:val="32"/>
        </w:rPr>
        <w:tab/>
      </w:r>
      <w:r>
        <w:rPr>
          <w:sz w:val="24"/>
          <w:szCs w:val="32"/>
        </w:rPr>
        <w:fldChar w:fldCharType="begin"/>
      </w:r>
      <w:r>
        <w:rPr>
          <w:sz w:val="24"/>
          <w:szCs w:val="32"/>
        </w:rPr>
        <w:instrText xml:space="preserve"> PAGEREF _Toc11725 \h </w:instrText>
      </w:r>
      <w:r>
        <w:rPr>
          <w:sz w:val="24"/>
          <w:szCs w:val="32"/>
        </w:rPr>
        <w:fldChar w:fldCharType="separate"/>
      </w:r>
      <w:r>
        <w:rPr>
          <w:sz w:val="24"/>
          <w:szCs w:val="32"/>
        </w:rPr>
        <w:t>7</w:t>
      </w:r>
      <w:r>
        <w:rPr>
          <w:sz w:val="24"/>
          <w:szCs w:val="32"/>
        </w:rPr>
        <w:fldChar w:fldCharType="end"/>
      </w:r>
      <w:r>
        <w:rPr>
          <w:sz w:val="24"/>
          <w:szCs w:val="32"/>
        </w:rPr>
        <w:fldChar w:fldCharType="end"/>
      </w:r>
    </w:p>
    <w:p w14:paraId="097D57D9">
      <w:pPr>
        <w:pStyle w:val="7"/>
        <w:tabs>
          <w:tab w:val="right" w:leader="dot" w:pos="8312"/>
        </w:tabs>
        <w:spacing w:line="360" w:lineRule="auto"/>
        <w:rPr>
          <w:sz w:val="24"/>
          <w:szCs w:val="32"/>
        </w:rPr>
      </w:pPr>
      <w:r>
        <w:fldChar w:fldCharType="begin"/>
      </w:r>
      <w:r>
        <w:instrText xml:space="preserve"> HYPERLINK \l "_Toc18522" </w:instrText>
      </w:r>
      <w:r>
        <w:fldChar w:fldCharType="separate"/>
      </w:r>
      <w:r>
        <w:rPr>
          <w:rFonts w:hint="eastAsia" w:ascii="黑体" w:hAnsi="黑体" w:eastAsia="黑体" w:cs="Times New Roman"/>
          <w:bCs/>
          <w:sz w:val="24"/>
          <w:szCs w:val="40"/>
        </w:rPr>
        <w:t>3  防渗系统工程材料</w:t>
      </w:r>
      <w:r>
        <w:rPr>
          <w:sz w:val="24"/>
          <w:szCs w:val="32"/>
        </w:rPr>
        <w:tab/>
      </w:r>
      <w:r>
        <w:rPr>
          <w:sz w:val="24"/>
          <w:szCs w:val="32"/>
        </w:rPr>
        <w:fldChar w:fldCharType="begin"/>
      </w:r>
      <w:r>
        <w:rPr>
          <w:sz w:val="24"/>
          <w:szCs w:val="32"/>
        </w:rPr>
        <w:instrText xml:space="preserve"> PAGEREF _Toc18522 \h </w:instrText>
      </w:r>
      <w:r>
        <w:rPr>
          <w:sz w:val="24"/>
          <w:szCs w:val="32"/>
        </w:rPr>
        <w:fldChar w:fldCharType="separate"/>
      </w:r>
      <w:r>
        <w:rPr>
          <w:sz w:val="24"/>
          <w:szCs w:val="32"/>
        </w:rPr>
        <w:t>10</w:t>
      </w:r>
      <w:r>
        <w:rPr>
          <w:sz w:val="24"/>
          <w:szCs w:val="32"/>
        </w:rPr>
        <w:fldChar w:fldCharType="end"/>
      </w:r>
      <w:r>
        <w:rPr>
          <w:sz w:val="24"/>
          <w:szCs w:val="32"/>
        </w:rPr>
        <w:fldChar w:fldCharType="end"/>
      </w:r>
    </w:p>
    <w:p w14:paraId="750CF03A">
      <w:pPr>
        <w:pStyle w:val="8"/>
        <w:tabs>
          <w:tab w:val="right" w:leader="dot" w:pos="8312"/>
        </w:tabs>
        <w:spacing w:line="360" w:lineRule="auto"/>
        <w:rPr>
          <w:sz w:val="24"/>
          <w:szCs w:val="32"/>
        </w:rPr>
      </w:pPr>
      <w:r>
        <w:fldChar w:fldCharType="begin"/>
      </w:r>
      <w:r>
        <w:instrText xml:space="preserve"> HYPERLINK \l "_Toc7121" </w:instrText>
      </w:r>
      <w:r>
        <w:fldChar w:fldCharType="separate"/>
      </w:r>
      <w:r>
        <w:rPr>
          <w:rFonts w:hint="eastAsia" w:asciiTheme="minorEastAsia" w:hAnsiTheme="minorEastAsia"/>
          <w:sz w:val="24"/>
          <w:szCs w:val="32"/>
        </w:rPr>
        <w:t>3.1一般规定</w:t>
      </w:r>
      <w:r>
        <w:rPr>
          <w:sz w:val="24"/>
          <w:szCs w:val="32"/>
        </w:rPr>
        <w:tab/>
      </w:r>
      <w:r>
        <w:rPr>
          <w:sz w:val="24"/>
          <w:szCs w:val="32"/>
        </w:rPr>
        <w:fldChar w:fldCharType="begin"/>
      </w:r>
      <w:r>
        <w:rPr>
          <w:sz w:val="24"/>
          <w:szCs w:val="32"/>
        </w:rPr>
        <w:instrText xml:space="preserve"> PAGEREF _Toc7121 \h </w:instrText>
      </w:r>
      <w:r>
        <w:rPr>
          <w:sz w:val="24"/>
          <w:szCs w:val="32"/>
        </w:rPr>
        <w:fldChar w:fldCharType="separate"/>
      </w:r>
      <w:r>
        <w:rPr>
          <w:sz w:val="24"/>
          <w:szCs w:val="32"/>
        </w:rPr>
        <w:t>10</w:t>
      </w:r>
      <w:r>
        <w:rPr>
          <w:sz w:val="24"/>
          <w:szCs w:val="32"/>
        </w:rPr>
        <w:fldChar w:fldCharType="end"/>
      </w:r>
      <w:r>
        <w:rPr>
          <w:sz w:val="24"/>
          <w:szCs w:val="32"/>
        </w:rPr>
        <w:fldChar w:fldCharType="end"/>
      </w:r>
    </w:p>
    <w:p w14:paraId="0BE4435B">
      <w:pPr>
        <w:pStyle w:val="8"/>
        <w:tabs>
          <w:tab w:val="right" w:leader="dot" w:pos="8312"/>
        </w:tabs>
        <w:spacing w:line="360" w:lineRule="auto"/>
        <w:rPr>
          <w:sz w:val="24"/>
          <w:szCs w:val="32"/>
        </w:rPr>
      </w:pPr>
      <w:r>
        <w:fldChar w:fldCharType="begin"/>
      </w:r>
      <w:r>
        <w:instrText xml:space="preserve"> HYPERLINK \l "_Toc13722" </w:instrText>
      </w:r>
      <w:r>
        <w:fldChar w:fldCharType="separate"/>
      </w:r>
      <w:r>
        <w:rPr>
          <w:rFonts w:hint="eastAsia" w:asciiTheme="minorEastAsia" w:hAnsiTheme="minorEastAsia"/>
          <w:sz w:val="24"/>
          <w:szCs w:val="32"/>
        </w:rPr>
        <w:t>3.2 高密度聚乙烯土工膜</w:t>
      </w:r>
      <w:r>
        <w:rPr>
          <w:sz w:val="24"/>
          <w:szCs w:val="32"/>
        </w:rPr>
        <w:tab/>
      </w:r>
      <w:r>
        <w:rPr>
          <w:sz w:val="24"/>
          <w:szCs w:val="32"/>
        </w:rPr>
        <w:fldChar w:fldCharType="begin"/>
      </w:r>
      <w:r>
        <w:rPr>
          <w:sz w:val="24"/>
          <w:szCs w:val="32"/>
        </w:rPr>
        <w:instrText xml:space="preserve"> PAGEREF _Toc13722 \h </w:instrText>
      </w:r>
      <w:r>
        <w:rPr>
          <w:sz w:val="24"/>
          <w:szCs w:val="32"/>
        </w:rPr>
        <w:fldChar w:fldCharType="separate"/>
      </w:r>
      <w:r>
        <w:rPr>
          <w:sz w:val="24"/>
          <w:szCs w:val="32"/>
        </w:rPr>
        <w:t>10</w:t>
      </w:r>
      <w:r>
        <w:rPr>
          <w:sz w:val="24"/>
          <w:szCs w:val="32"/>
        </w:rPr>
        <w:fldChar w:fldCharType="end"/>
      </w:r>
      <w:r>
        <w:rPr>
          <w:sz w:val="24"/>
          <w:szCs w:val="32"/>
        </w:rPr>
        <w:fldChar w:fldCharType="end"/>
      </w:r>
    </w:p>
    <w:p w14:paraId="43BEFB0F">
      <w:pPr>
        <w:pStyle w:val="8"/>
        <w:tabs>
          <w:tab w:val="right" w:leader="dot" w:pos="8312"/>
        </w:tabs>
        <w:spacing w:line="360" w:lineRule="auto"/>
        <w:rPr>
          <w:sz w:val="24"/>
          <w:szCs w:val="32"/>
        </w:rPr>
      </w:pPr>
      <w:r>
        <w:fldChar w:fldCharType="begin"/>
      </w:r>
      <w:r>
        <w:instrText xml:space="preserve"> HYPERLINK \l "_Toc29540" </w:instrText>
      </w:r>
      <w:r>
        <w:fldChar w:fldCharType="separate"/>
      </w:r>
      <w:r>
        <w:rPr>
          <w:rFonts w:hint="eastAsia" w:asciiTheme="minorEastAsia" w:hAnsiTheme="minorEastAsia"/>
          <w:sz w:val="24"/>
          <w:szCs w:val="32"/>
        </w:rPr>
        <w:t>3.3 钠基膨润土防水毯（GCL）</w:t>
      </w:r>
      <w:r>
        <w:rPr>
          <w:sz w:val="24"/>
          <w:szCs w:val="32"/>
        </w:rPr>
        <w:tab/>
      </w:r>
      <w:r>
        <w:rPr>
          <w:sz w:val="24"/>
          <w:szCs w:val="32"/>
        </w:rPr>
        <w:fldChar w:fldCharType="begin"/>
      </w:r>
      <w:r>
        <w:rPr>
          <w:sz w:val="24"/>
          <w:szCs w:val="32"/>
        </w:rPr>
        <w:instrText xml:space="preserve"> PAGEREF _Toc29540 \h </w:instrText>
      </w:r>
      <w:r>
        <w:rPr>
          <w:sz w:val="24"/>
          <w:szCs w:val="32"/>
        </w:rPr>
        <w:fldChar w:fldCharType="separate"/>
      </w:r>
      <w:r>
        <w:rPr>
          <w:sz w:val="24"/>
          <w:szCs w:val="32"/>
        </w:rPr>
        <w:t>11</w:t>
      </w:r>
      <w:r>
        <w:rPr>
          <w:sz w:val="24"/>
          <w:szCs w:val="32"/>
        </w:rPr>
        <w:fldChar w:fldCharType="end"/>
      </w:r>
      <w:r>
        <w:rPr>
          <w:sz w:val="24"/>
          <w:szCs w:val="32"/>
        </w:rPr>
        <w:fldChar w:fldCharType="end"/>
      </w:r>
    </w:p>
    <w:p w14:paraId="7E7A2FD3">
      <w:pPr>
        <w:pStyle w:val="8"/>
        <w:tabs>
          <w:tab w:val="right" w:leader="dot" w:pos="8312"/>
        </w:tabs>
        <w:spacing w:line="360" w:lineRule="auto"/>
        <w:rPr>
          <w:sz w:val="24"/>
          <w:szCs w:val="32"/>
        </w:rPr>
      </w:pPr>
      <w:r>
        <w:fldChar w:fldCharType="begin"/>
      </w:r>
      <w:r>
        <w:instrText xml:space="preserve"> HYPERLINK \l "_Toc390" </w:instrText>
      </w:r>
      <w:r>
        <w:fldChar w:fldCharType="separate"/>
      </w:r>
      <w:r>
        <w:rPr>
          <w:rFonts w:hint="eastAsia" w:asciiTheme="minorEastAsia" w:hAnsiTheme="minorEastAsia"/>
          <w:sz w:val="24"/>
          <w:szCs w:val="32"/>
        </w:rPr>
        <w:t>3.4土工布和土工滤网</w:t>
      </w:r>
      <w:r>
        <w:rPr>
          <w:sz w:val="24"/>
          <w:szCs w:val="32"/>
        </w:rPr>
        <w:tab/>
      </w:r>
      <w:r>
        <w:rPr>
          <w:sz w:val="24"/>
          <w:szCs w:val="32"/>
        </w:rPr>
        <w:fldChar w:fldCharType="begin"/>
      </w:r>
      <w:r>
        <w:rPr>
          <w:sz w:val="24"/>
          <w:szCs w:val="32"/>
        </w:rPr>
        <w:instrText xml:space="preserve"> PAGEREF _Toc390 \h </w:instrText>
      </w:r>
      <w:r>
        <w:rPr>
          <w:sz w:val="24"/>
          <w:szCs w:val="32"/>
        </w:rPr>
        <w:fldChar w:fldCharType="separate"/>
      </w:r>
      <w:r>
        <w:rPr>
          <w:sz w:val="24"/>
          <w:szCs w:val="32"/>
        </w:rPr>
        <w:t>11</w:t>
      </w:r>
      <w:r>
        <w:rPr>
          <w:sz w:val="24"/>
          <w:szCs w:val="32"/>
        </w:rPr>
        <w:fldChar w:fldCharType="end"/>
      </w:r>
      <w:r>
        <w:rPr>
          <w:sz w:val="24"/>
          <w:szCs w:val="32"/>
        </w:rPr>
        <w:fldChar w:fldCharType="end"/>
      </w:r>
    </w:p>
    <w:p w14:paraId="69B4F3A4">
      <w:pPr>
        <w:pStyle w:val="8"/>
        <w:tabs>
          <w:tab w:val="right" w:leader="dot" w:pos="8312"/>
        </w:tabs>
        <w:spacing w:line="360" w:lineRule="auto"/>
        <w:rPr>
          <w:sz w:val="24"/>
          <w:szCs w:val="32"/>
        </w:rPr>
      </w:pPr>
      <w:r>
        <w:fldChar w:fldCharType="begin"/>
      </w:r>
      <w:r>
        <w:instrText xml:space="preserve"> HYPERLINK \l "_Toc1489" </w:instrText>
      </w:r>
      <w:r>
        <w:fldChar w:fldCharType="separate"/>
      </w:r>
      <w:r>
        <w:rPr>
          <w:rFonts w:hint="eastAsia" w:asciiTheme="minorEastAsia" w:hAnsiTheme="minorEastAsia"/>
          <w:sz w:val="24"/>
          <w:szCs w:val="32"/>
        </w:rPr>
        <w:t>3.5土工排水网</w:t>
      </w:r>
      <w:r>
        <w:rPr>
          <w:sz w:val="24"/>
          <w:szCs w:val="32"/>
        </w:rPr>
        <w:tab/>
      </w:r>
      <w:r>
        <w:rPr>
          <w:sz w:val="24"/>
          <w:szCs w:val="32"/>
        </w:rPr>
        <w:fldChar w:fldCharType="begin"/>
      </w:r>
      <w:r>
        <w:rPr>
          <w:sz w:val="24"/>
          <w:szCs w:val="32"/>
        </w:rPr>
        <w:instrText xml:space="preserve"> PAGEREF _Toc1489 \h </w:instrText>
      </w:r>
      <w:r>
        <w:rPr>
          <w:sz w:val="24"/>
          <w:szCs w:val="32"/>
        </w:rPr>
        <w:fldChar w:fldCharType="separate"/>
      </w:r>
      <w:r>
        <w:rPr>
          <w:sz w:val="24"/>
          <w:szCs w:val="32"/>
        </w:rPr>
        <w:t>11</w:t>
      </w:r>
      <w:r>
        <w:rPr>
          <w:sz w:val="24"/>
          <w:szCs w:val="32"/>
        </w:rPr>
        <w:fldChar w:fldCharType="end"/>
      </w:r>
      <w:r>
        <w:rPr>
          <w:sz w:val="24"/>
          <w:szCs w:val="32"/>
        </w:rPr>
        <w:fldChar w:fldCharType="end"/>
      </w:r>
    </w:p>
    <w:p w14:paraId="549417B5">
      <w:pPr>
        <w:pStyle w:val="8"/>
        <w:tabs>
          <w:tab w:val="right" w:leader="dot" w:pos="8312"/>
        </w:tabs>
        <w:spacing w:line="360" w:lineRule="auto"/>
        <w:rPr>
          <w:sz w:val="24"/>
          <w:szCs w:val="32"/>
        </w:rPr>
      </w:pPr>
      <w:r>
        <w:fldChar w:fldCharType="begin"/>
      </w:r>
      <w:r>
        <w:instrText xml:space="preserve"> HYPERLINK \l "_Toc7498" </w:instrText>
      </w:r>
      <w:r>
        <w:fldChar w:fldCharType="separate"/>
      </w:r>
      <w:r>
        <w:rPr>
          <w:rFonts w:hint="eastAsia" w:asciiTheme="minorEastAsia" w:hAnsiTheme="minorEastAsia"/>
          <w:sz w:val="24"/>
          <w:szCs w:val="32"/>
        </w:rPr>
        <w:t>3.6 高密度聚乙烯管材</w:t>
      </w:r>
      <w:r>
        <w:rPr>
          <w:sz w:val="24"/>
          <w:szCs w:val="32"/>
        </w:rPr>
        <w:tab/>
      </w:r>
      <w:r>
        <w:rPr>
          <w:sz w:val="24"/>
          <w:szCs w:val="32"/>
        </w:rPr>
        <w:fldChar w:fldCharType="begin"/>
      </w:r>
      <w:r>
        <w:rPr>
          <w:sz w:val="24"/>
          <w:szCs w:val="32"/>
        </w:rPr>
        <w:instrText xml:space="preserve"> PAGEREF _Toc7498 \h </w:instrText>
      </w:r>
      <w:r>
        <w:rPr>
          <w:sz w:val="24"/>
          <w:szCs w:val="32"/>
        </w:rPr>
        <w:fldChar w:fldCharType="separate"/>
      </w:r>
      <w:r>
        <w:rPr>
          <w:sz w:val="24"/>
          <w:szCs w:val="32"/>
        </w:rPr>
        <w:t>12</w:t>
      </w:r>
      <w:r>
        <w:rPr>
          <w:sz w:val="24"/>
          <w:szCs w:val="32"/>
        </w:rPr>
        <w:fldChar w:fldCharType="end"/>
      </w:r>
      <w:r>
        <w:rPr>
          <w:sz w:val="24"/>
          <w:szCs w:val="32"/>
        </w:rPr>
        <w:fldChar w:fldCharType="end"/>
      </w:r>
    </w:p>
    <w:p w14:paraId="58A89E21">
      <w:pPr>
        <w:pStyle w:val="7"/>
        <w:tabs>
          <w:tab w:val="right" w:leader="dot" w:pos="8312"/>
        </w:tabs>
        <w:spacing w:line="360" w:lineRule="auto"/>
        <w:rPr>
          <w:sz w:val="24"/>
          <w:szCs w:val="32"/>
        </w:rPr>
      </w:pPr>
      <w:r>
        <w:fldChar w:fldCharType="begin"/>
      </w:r>
      <w:r>
        <w:instrText xml:space="preserve"> HYPERLINK \l "_Toc6268" </w:instrText>
      </w:r>
      <w:r>
        <w:fldChar w:fldCharType="separate"/>
      </w:r>
      <w:r>
        <w:rPr>
          <w:rFonts w:hint="eastAsia" w:ascii="黑体" w:hAnsi="黑体" w:eastAsia="黑体" w:cs="Times New Roman"/>
          <w:bCs/>
          <w:sz w:val="24"/>
          <w:szCs w:val="40"/>
        </w:rPr>
        <w:t>4  防渗系统工程设计</w:t>
      </w:r>
      <w:r>
        <w:rPr>
          <w:sz w:val="24"/>
          <w:szCs w:val="32"/>
        </w:rPr>
        <w:tab/>
      </w:r>
      <w:r>
        <w:rPr>
          <w:sz w:val="24"/>
          <w:szCs w:val="32"/>
        </w:rPr>
        <w:fldChar w:fldCharType="begin"/>
      </w:r>
      <w:r>
        <w:rPr>
          <w:sz w:val="24"/>
          <w:szCs w:val="32"/>
        </w:rPr>
        <w:instrText xml:space="preserve"> PAGEREF _Toc6268 \h </w:instrText>
      </w:r>
      <w:r>
        <w:rPr>
          <w:sz w:val="24"/>
          <w:szCs w:val="32"/>
        </w:rPr>
        <w:fldChar w:fldCharType="separate"/>
      </w:r>
      <w:r>
        <w:rPr>
          <w:sz w:val="24"/>
          <w:szCs w:val="32"/>
        </w:rPr>
        <w:t>13</w:t>
      </w:r>
      <w:r>
        <w:rPr>
          <w:sz w:val="24"/>
          <w:szCs w:val="32"/>
        </w:rPr>
        <w:fldChar w:fldCharType="end"/>
      </w:r>
      <w:r>
        <w:rPr>
          <w:sz w:val="24"/>
          <w:szCs w:val="32"/>
        </w:rPr>
        <w:fldChar w:fldCharType="end"/>
      </w:r>
    </w:p>
    <w:p w14:paraId="053538AE">
      <w:pPr>
        <w:pStyle w:val="8"/>
        <w:tabs>
          <w:tab w:val="right" w:leader="dot" w:pos="8312"/>
        </w:tabs>
        <w:spacing w:line="360" w:lineRule="auto"/>
        <w:rPr>
          <w:sz w:val="24"/>
          <w:szCs w:val="32"/>
        </w:rPr>
      </w:pPr>
      <w:r>
        <w:fldChar w:fldCharType="begin"/>
      </w:r>
      <w:r>
        <w:instrText xml:space="preserve"> HYPERLINK \l "_Toc5634" </w:instrText>
      </w:r>
      <w:r>
        <w:fldChar w:fldCharType="separate"/>
      </w:r>
      <w:r>
        <w:rPr>
          <w:rFonts w:hint="eastAsia" w:asciiTheme="minorEastAsia" w:hAnsiTheme="minorEastAsia"/>
          <w:sz w:val="24"/>
          <w:szCs w:val="32"/>
        </w:rPr>
        <w:t>4.1 一般规定</w:t>
      </w:r>
      <w:r>
        <w:rPr>
          <w:sz w:val="24"/>
          <w:szCs w:val="32"/>
        </w:rPr>
        <w:tab/>
      </w:r>
      <w:r>
        <w:rPr>
          <w:sz w:val="24"/>
          <w:szCs w:val="32"/>
        </w:rPr>
        <w:fldChar w:fldCharType="begin"/>
      </w:r>
      <w:r>
        <w:rPr>
          <w:sz w:val="24"/>
          <w:szCs w:val="32"/>
        </w:rPr>
        <w:instrText xml:space="preserve"> PAGEREF _Toc5634 \h </w:instrText>
      </w:r>
      <w:r>
        <w:rPr>
          <w:sz w:val="24"/>
          <w:szCs w:val="32"/>
        </w:rPr>
        <w:fldChar w:fldCharType="separate"/>
      </w:r>
      <w:r>
        <w:rPr>
          <w:sz w:val="24"/>
          <w:szCs w:val="32"/>
        </w:rPr>
        <w:t>13</w:t>
      </w:r>
      <w:r>
        <w:rPr>
          <w:sz w:val="24"/>
          <w:szCs w:val="32"/>
        </w:rPr>
        <w:fldChar w:fldCharType="end"/>
      </w:r>
      <w:r>
        <w:rPr>
          <w:sz w:val="24"/>
          <w:szCs w:val="32"/>
        </w:rPr>
        <w:fldChar w:fldCharType="end"/>
      </w:r>
    </w:p>
    <w:p w14:paraId="4ED53465">
      <w:pPr>
        <w:pStyle w:val="8"/>
        <w:tabs>
          <w:tab w:val="right" w:leader="dot" w:pos="8312"/>
        </w:tabs>
        <w:spacing w:line="360" w:lineRule="auto"/>
        <w:rPr>
          <w:sz w:val="24"/>
          <w:szCs w:val="32"/>
        </w:rPr>
      </w:pPr>
      <w:r>
        <w:fldChar w:fldCharType="begin"/>
      </w:r>
      <w:r>
        <w:instrText xml:space="preserve"> HYPERLINK \l "_Toc29773" </w:instrText>
      </w:r>
      <w:r>
        <w:fldChar w:fldCharType="separate"/>
      </w:r>
      <w:r>
        <w:rPr>
          <w:rFonts w:hint="eastAsia" w:asciiTheme="minorEastAsia" w:hAnsiTheme="minorEastAsia"/>
          <w:sz w:val="24"/>
          <w:szCs w:val="32"/>
        </w:rPr>
        <w:t>4.2 防渗系统</w:t>
      </w:r>
      <w:r>
        <w:rPr>
          <w:sz w:val="24"/>
          <w:szCs w:val="32"/>
        </w:rPr>
        <w:tab/>
      </w:r>
      <w:r>
        <w:rPr>
          <w:sz w:val="24"/>
          <w:szCs w:val="32"/>
        </w:rPr>
        <w:fldChar w:fldCharType="begin"/>
      </w:r>
      <w:r>
        <w:rPr>
          <w:sz w:val="24"/>
          <w:szCs w:val="32"/>
        </w:rPr>
        <w:instrText xml:space="preserve"> PAGEREF _Toc29773 \h </w:instrText>
      </w:r>
      <w:r>
        <w:rPr>
          <w:sz w:val="24"/>
          <w:szCs w:val="32"/>
        </w:rPr>
        <w:fldChar w:fldCharType="separate"/>
      </w:r>
      <w:r>
        <w:rPr>
          <w:sz w:val="24"/>
          <w:szCs w:val="32"/>
        </w:rPr>
        <w:t>13</w:t>
      </w:r>
      <w:r>
        <w:rPr>
          <w:sz w:val="24"/>
          <w:szCs w:val="32"/>
        </w:rPr>
        <w:fldChar w:fldCharType="end"/>
      </w:r>
      <w:r>
        <w:rPr>
          <w:sz w:val="24"/>
          <w:szCs w:val="32"/>
        </w:rPr>
        <w:fldChar w:fldCharType="end"/>
      </w:r>
    </w:p>
    <w:p w14:paraId="1C3A38DC">
      <w:pPr>
        <w:pStyle w:val="8"/>
        <w:tabs>
          <w:tab w:val="right" w:leader="dot" w:pos="8312"/>
        </w:tabs>
        <w:spacing w:line="360" w:lineRule="auto"/>
        <w:rPr>
          <w:sz w:val="24"/>
          <w:szCs w:val="32"/>
        </w:rPr>
      </w:pPr>
      <w:r>
        <w:fldChar w:fldCharType="begin"/>
      </w:r>
      <w:r>
        <w:instrText xml:space="preserve"> HYPERLINK \l "_Toc4365" </w:instrText>
      </w:r>
      <w:r>
        <w:fldChar w:fldCharType="separate"/>
      </w:r>
      <w:r>
        <w:rPr>
          <w:rFonts w:hint="eastAsia" w:asciiTheme="minorEastAsia" w:hAnsiTheme="minorEastAsia"/>
          <w:sz w:val="24"/>
          <w:szCs w:val="32"/>
        </w:rPr>
        <w:t>4.3 基础层</w:t>
      </w:r>
      <w:r>
        <w:rPr>
          <w:sz w:val="24"/>
          <w:szCs w:val="32"/>
        </w:rPr>
        <w:tab/>
      </w:r>
      <w:r>
        <w:rPr>
          <w:sz w:val="24"/>
          <w:szCs w:val="32"/>
        </w:rPr>
        <w:fldChar w:fldCharType="begin"/>
      </w:r>
      <w:r>
        <w:rPr>
          <w:sz w:val="24"/>
          <w:szCs w:val="32"/>
        </w:rPr>
        <w:instrText xml:space="preserve"> PAGEREF _Toc4365 \h </w:instrText>
      </w:r>
      <w:r>
        <w:rPr>
          <w:sz w:val="24"/>
          <w:szCs w:val="32"/>
        </w:rPr>
        <w:fldChar w:fldCharType="separate"/>
      </w:r>
      <w:r>
        <w:rPr>
          <w:sz w:val="24"/>
          <w:szCs w:val="32"/>
        </w:rPr>
        <w:t>15</w:t>
      </w:r>
      <w:r>
        <w:rPr>
          <w:sz w:val="24"/>
          <w:szCs w:val="32"/>
        </w:rPr>
        <w:fldChar w:fldCharType="end"/>
      </w:r>
      <w:r>
        <w:rPr>
          <w:sz w:val="24"/>
          <w:szCs w:val="32"/>
        </w:rPr>
        <w:fldChar w:fldCharType="end"/>
      </w:r>
    </w:p>
    <w:p w14:paraId="66CA92CC">
      <w:pPr>
        <w:pStyle w:val="8"/>
        <w:tabs>
          <w:tab w:val="right" w:leader="dot" w:pos="8312"/>
        </w:tabs>
        <w:spacing w:line="360" w:lineRule="auto"/>
        <w:rPr>
          <w:sz w:val="24"/>
          <w:szCs w:val="32"/>
        </w:rPr>
      </w:pPr>
      <w:r>
        <w:fldChar w:fldCharType="begin"/>
      </w:r>
      <w:r>
        <w:instrText xml:space="preserve"> HYPERLINK \l "_Toc3916" </w:instrText>
      </w:r>
      <w:r>
        <w:fldChar w:fldCharType="separate"/>
      </w:r>
      <w:r>
        <w:rPr>
          <w:rFonts w:hint="eastAsia" w:asciiTheme="minorEastAsia" w:hAnsiTheme="minorEastAsia"/>
          <w:sz w:val="24"/>
          <w:szCs w:val="32"/>
        </w:rPr>
        <w:t>4.4 防渗层</w:t>
      </w:r>
      <w:r>
        <w:rPr>
          <w:sz w:val="24"/>
          <w:szCs w:val="32"/>
        </w:rPr>
        <w:tab/>
      </w:r>
      <w:r>
        <w:rPr>
          <w:sz w:val="24"/>
          <w:szCs w:val="32"/>
        </w:rPr>
        <w:fldChar w:fldCharType="begin"/>
      </w:r>
      <w:r>
        <w:rPr>
          <w:sz w:val="24"/>
          <w:szCs w:val="32"/>
        </w:rPr>
        <w:instrText xml:space="preserve"> PAGEREF _Toc3916 \h </w:instrText>
      </w:r>
      <w:r>
        <w:rPr>
          <w:sz w:val="24"/>
          <w:szCs w:val="32"/>
        </w:rPr>
        <w:fldChar w:fldCharType="separate"/>
      </w:r>
      <w:r>
        <w:rPr>
          <w:sz w:val="24"/>
          <w:szCs w:val="32"/>
        </w:rPr>
        <w:t>16</w:t>
      </w:r>
      <w:r>
        <w:rPr>
          <w:sz w:val="24"/>
          <w:szCs w:val="32"/>
        </w:rPr>
        <w:fldChar w:fldCharType="end"/>
      </w:r>
      <w:r>
        <w:rPr>
          <w:sz w:val="24"/>
          <w:szCs w:val="32"/>
        </w:rPr>
        <w:fldChar w:fldCharType="end"/>
      </w:r>
    </w:p>
    <w:p w14:paraId="12EA9E7D">
      <w:pPr>
        <w:pStyle w:val="8"/>
        <w:tabs>
          <w:tab w:val="right" w:leader="dot" w:pos="8312"/>
        </w:tabs>
        <w:spacing w:line="360" w:lineRule="auto"/>
        <w:rPr>
          <w:sz w:val="24"/>
          <w:szCs w:val="32"/>
        </w:rPr>
      </w:pPr>
      <w:r>
        <w:fldChar w:fldCharType="begin"/>
      </w:r>
      <w:r>
        <w:instrText xml:space="preserve"> HYPERLINK \l "_Toc25160" </w:instrText>
      </w:r>
      <w:r>
        <w:fldChar w:fldCharType="separate"/>
      </w:r>
      <w:r>
        <w:rPr>
          <w:rFonts w:hint="eastAsia" w:asciiTheme="minorEastAsia" w:hAnsiTheme="minorEastAsia"/>
          <w:sz w:val="24"/>
          <w:szCs w:val="32"/>
        </w:rPr>
        <w:t>4.5 渗沥液收集导排系统</w:t>
      </w:r>
      <w:r>
        <w:rPr>
          <w:sz w:val="24"/>
          <w:szCs w:val="32"/>
        </w:rPr>
        <w:tab/>
      </w:r>
      <w:r>
        <w:rPr>
          <w:sz w:val="24"/>
          <w:szCs w:val="32"/>
        </w:rPr>
        <w:fldChar w:fldCharType="begin"/>
      </w:r>
      <w:r>
        <w:rPr>
          <w:sz w:val="24"/>
          <w:szCs w:val="32"/>
        </w:rPr>
        <w:instrText xml:space="preserve"> PAGEREF _Toc25160 \h </w:instrText>
      </w:r>
      <w:r>
        <w:rPr>
          <w:sz w:val="24"/>
          <w:szCs w:val="32"/>
        </w:rPr>
        <w:fldChar w:fldCharType="separate"/>
      </w:r>
      <w:r>
        <w:rPr>
          <w:sz w:val="24"/>
          <w:szCs w:val="32"/>
        </w:rPr>
        <w:t>17</w:t>
      </w:r>
      <w:r>
        <w:rPr>
          <w:sz w:val="24"/>
          <w:szCs w:val="32"/>
        </w:rPr>
        <w:fldChar w:fldCharType="end"/>
      </w:r>
      <w:r>
        <w:rPr>
          <w:sz w:val="24"/>
          <w:szCs w:val="32"/>
        </w:rPr>
        <w:fldChar w:fldCharType="end"/>
      </w:r>
    </w:p>
    <w:p w14:paraId="4332ABE4">
      <w:pPr>
        <w:pStyle w:val="8"/>
        <w:tabs>
          <w:tab w:val="right" w:leader="dot" w:pos="8312"/>
        </w:tabs>
        <w:spacing w:line="360" w:lineRule="auto"/>
        <w:rPr>
          <w:sz w:val="24"/>
          <w:szCs w:val="32"/>
        </w:rPr>
      </w:pPr>
      <w:r>
        <w:fldChar w:fldCharType="begin"/>
      </w:r>
      <w:r>
        <w:instrText xml:space="preserve"> HYPERLINK \l "_Toc23096" </w:instrText>
      </w:r>
      <w:r>
        <w:fldChar w:fldCharType="separate"/>
      </w:r>
      <w:r>
        <w:rPr>
          <w:rFonts w:hint="eastAsia" w:asciiTheme="minorEastAsia" w:hAnsiTheme="minorEastAsia"/>
          <w:sz w:val="24"/>
          <w:szCs w:val="32"/>
        </w:rPr>
        <w:t>4.6 地下水收集导排系统</w:t>
      </w:r>
      <w:r>
        <w:rPr>
          <w:sz w:val="24"/>
          <w:szCs w:val="32"/>
        </w:rPr>
        <w:tab/>
      </w:r>
      <w:r>
        <w:rPr>
          <w:sz w:val="24"/>
          <w:szCs w:val="32"/>
        </w:rPr>
        <w:fldChar w:fldCharType="begin"/>
      </w:r>
      <w:r>
        <w:rPr>
          <w:sz w:val="24"/>
          <w:szCs w:val="32"/>
        </w:rPr>
        <w:instrText xml:space="preserve"> PAGEREF _Toc23096 \h </w:instrText>
      </w:r>
      <w:r>
        <w:rPr>
          <w:sz w:val="24"/>
          <w:szCs w:val="32"/>
        </w:rPr>
        <w:fldChar w:fldCharType="separate"/>
      </w:r>
      <w:r>
        <w:rPr>
          <w:sz w:val="24"/>
          <w:szCs w:val="32"/>
        </w:rPr>
        <w:t>18</w:t>
      </w:r>
      <w:r>
        <w:rPr>
          <w:sz w:val="24"/>
          <w:szCs w:val="32"/>
        </w:rPr>
        <w:fldChar w:fldCharType="end"/>
      </w:r>
      <w:r>
        <w:rPr>
          <w:sz w:val="24"/>
          <w:szCs w:val="32"/>
        </w:rPr>
        <w:fldChar w:fldCharType="end"/>
      </w:r>
    </w:p>
    <w:p w14:paraId="1862CC7B">
      <w:pPr>
        <w:pStyle w:val="8"/>
        <w:tabs>
          <w:tab w:val="right" w:leader="dot" w:pos="8312"/>
        </w:tabs>
        <w:spacing w:line="360" w:lineRule="auto"/>
        <w:rPr>
          <w:sz w:val="24"/>
          <w:szCs w:val="32"/>
        </w:rPr>
      </w:pPr>
      <w:r>
        <w:fldChar w:fldCharType="begin"/>
      </w:r>
      <w:r>
        <w:instrText xml:space="preserve"> HYPERLINK \l "_Toc9530" </w:instrText>
      </w:r>
      <w:r>
        <w:fldChar w:fldCharType="separate"/>
      </w:r>
      <w:r>
        <w:rPr>
          <w:rFonts w:hint="eastAsia" w:asciiTheme="minorEastAsia" w:hAnsiTheme="minorEastAsia"/>
          <w:sz w:val="24"/>
          <w:szCs w:val="32"/>
        </w:rPr>
        <w:t>4.7 渗沥液调节池防渗</w:t>
      </w:r>
      <w:r>
        <w:rPr>
          <w:sz w:val="24"/>
          <w:szCs w:val="32"/>
        </w:rPr>
        <w:tab/>
      </w:r>
      <w:r>
        <w:rPr>
          <w:sz w:val="24"/>
          <w:szCs w:val="32"/>
        </w:rPr>
        <w:fldChar w:fldCharType="begin"/>
      </w:r>
      <w:r>
        <w:rPr>
          <w:sz w:val="24"/>
          <w:szCs w:val="32"/>
        </w:rPr>
        <w:instrText xml:space="preserve"> PAGEREF _Toc9530 \h </w:instrText>
      </w:r>
      <w:r>
        <w:rPr>
          <w:sz w:val="24"/>
          <w:szCs w:val="32"/>
        </w:rPr>
        <w:fldChar w:fldCharType="separate"/>
      </w:r>
      <w:r>
        <w:rPr>
          <w:sz w:val="24"/>
          <w:szCs w:val="32"/>
        </w:rPr>
        <w:t>19</w:t>
      </w:r>
      <w:r>
        <w:rPr>
          <w:sz w:val="24"/>
          <w:szCs w:val="32"/>
        </w:rPr>
        <w:fldChar w:fldCharType="end"/>
      </w:r>
      <w:r>
        <w:rPr>
          <w:sz w:val="24"/>
          <w:szCs w:val="32"/>
        </w:rPr>
        <w:fldChar w:fldCharType="end"/>
      </w:r>
    </w:p>
    <w:p w14:paraId="1813EE32">
      <w:pPr>
        <w:pStyle w:val="7"/>
        <w:tabs>
          <w:tab w:val="right" w:leader="dot" w:pos="8312"/>
        </w:tabs>
        <w:spacing w:line="360" w:lineRule="auto"/>
        <w:rPr>
          <w:sz w:val="24"/>
          <w:szCs w:val="32"/>
        </w:rPr>
      </w:pPr>
      <w:r>
        <w:fldChar w:fldCharType="begin"/>
      </w:r>
      <w:r>
        <w:instrText xml:space="preserve"> HYPERLINK \l "_Toc5579" </w:instrText>
      </w:r>
      <w:r>
        <w:fldChar w:fldCharType="separate"/>
      </w:r>
      <w:r>
        <w:rPr>
          <w:rFonts w:hint="eastAsia" w:ascii="黑体" w:hAnsi="黑体" w:eastAsia="黑体" w:cs="Times New Roman"/>
          <w:bCs/>
          <w:sz w:val="24"/>
          <w:szCs w:val="40"/>
        </w:rPr>
        <w:t>5  防渗系统工程施工</w:t>
      </w:r>
      <w:r>
        <w:rPr>
          <w:sz w:val="24"/>
          <w:szCs w:val="32"/>
        </w:rPr>
        <w:tab/>
      </w:r>
      <w:r>
        <w:rPr>
          <w:sz w:val="24"/>
          <w:szCs w:val="32"/>
        </w:rPr>
        <w:fldChar w:fldCharType="begin"/>
      </w:r>
      <w:r>
        <w:rPr>
          <w:sz w:val="24"/>
          <w:szCs w:val="32"/>
        </w:rPr>
        <w:instrText xml:space="preserve"> PAGEREF _Toc5579 \h </w:instrText>
      </w:r>
      <w:r>
        <w:rPr>
          <w:sz w:val="24"/>
          <w:szCs w:val="32"/>
        </w:rPr>
        <w:fldChar w:fldCharType="separate"/>
      </w:r>
      <w:r>
        <w:rPr>
          <w:sz w:val="24"/>
          <w:szCs w:val="32"/>
        </w:rPr>
        <w:t>21</w:t>
      </w:r>
      <w:r>
        <w:rPr>
          <w:sz w:val="24"/>
          <w:szCs w:val="32"/>
        </w:rPr>
        <w:fldChar w:fldCharType="end"/>
      </w:r>
      <w:r>
        <w:rPr>
          <w:sz w:val="24"/>
          <w:szCs w:val="32"/>
        </w:rPr>
        <w:fldChar w:fldCharType="end"/>
      </w:r>
    </w:p>
    <w:p w14:paraId="5467E1C1">
      <w:pPr>
        <w:pStyle w:val="8"/>
        <w:tabs>
          <w:tab w:val="right" w:leader="dot" w:pos="8312"/>
        </w:tabs>
        <w:spacing w:line="360" w:lineRule="auto"/>
        <w:rPr>
          <w:sz w:val="24"/>
          <w:szCs w:val="32"/>
        </w:rPr>
      </w:pPr>
      <w:r>
        <w:fldChar w:fldCharType="begin"/>
      </w:r>
      <w:r>
        <w:instrText xml:space="preserve"> HYPERLINK \l "_Toc7554" </w:instrText>
      </w:r>
      <w:r>
        <w:fldChar w:fldCharType="separate"/>
      </w:r>
      <w:r>
        <w:rPr>
          <w:rFonts w:hint="eastAsia" w:asciiTheme="minorEastAsia" w:hAnsiTheme="minorEastAsia"/>
          <w:sz w:val="24"/>
          <w:szCs w:val="32"/>
        </w:rPr>
        <w:t>5.1 一般规定</w:t>
      </w:r>
      <w:r>
        <w:rPr>
          <w:sz w:val="24"/>
          <w:szCs w:val="32"/>
        </w:rPr>
        <w:tab/>
      </w:r>
      <w:r>
        <w:rPr>
          <w:sz w:val="24"/>
          <w:szCs w:val="32"/>
        </w:rPr>
        <w:fldChar w:fldCharType="begin"/>
      </w:r>
      <w:r>
        <w:rPr>
          <w:sz w:val="24"/>
          <w:szCs w:val="32"/>
        </w:rPr>
        <w:instrText xml:space="preserve"> PAGEREF _Toc7554 \h </w:instrText>
      </w:r>
      <w:r>
        <w:rPr>
          <w:sz w:val="24"/>
          <w:szCs w:val="32"/>
        </w:rPr>
        <w:fldChar w:fldCharType="separate"/>
      </w:r>
      <w:r>
        <w:rPr>
          <w:sz w:val="24"/>
          <w:szCs w:val="32"/>
        </w:rPr>
        <w:t>21</w:t>
      </w:r>
      <w:r>
        <w:rPr>
          <w:sz w:val="24"/>
          <w:szCs w:val="32"/>
        </w:rPr>
        <w:fldChar w:fldCharType="end"/>
      </w:r>
      <w:r>
        <w:rPr>
          <w:sz w:val="24"/>
          <w:szCs w:val="32"/>
        </w:rPr>
        <w:fldChar w:fldCharType="end"/>
      </w:r>
    </w:p>
    <w:p w14:paraId="698C1672">
      <w:pPr>
        <w:pStyle w:val="8"/>
        <w:tabs>
          <w:tab w:val="right" w:leader="dot" w:pos="8312"/>
        </w:tabs>
        <w:spacing w:line="360" w:lineRule="auto"/>
        <w:rPr>
          <w:sz w:val="24"/>
          <w:szCs w:val="32"/>
        </w:rPr>
      </w:pPr>
      <w:r>
        <w:fldChar w:fldCharType="begin"/>
      </w:r>
      <w:r>
        <w:instrText xml:space="preserve"> HYPERLINK \l "_Toc24729" </w:instrText>
      </w:r>
      <w:r>
        <w:fldChar w:fldCharType="separate"/>
      </w:r>
      <w:r>
        <w:rPr>
          <w:rFonts w:hint="eastAsia" w:asciiTheme="minorEastAsia" w:hAnsiTheme="minorEastAsia"/>
          <w:sz w:val="24"/>
          <w:szCs w:val="32"/>
        </w:rPr>
        <w:t>5.2 基础层施工</w:t>
      </w:r>
      <w:r>
        <w:rPr>
          <w:sz w:val="24"/>
          <w:szCs w:val="32"/>
        </w:rPr>
        <w:tab/>
      </w:r>
      <w:r>
        <w:rPr>
          <w:sz w:val="24"/>
          <w:szCs w:val="32"/>
        </w:rPr>
        <w:fldChar w:fldCharType="begin"/>
      </w:r>
      <w:r>
        <w:rPr>
          <w:sz w:val="24"/>
          <w:szCs w:val="32"/>
        </w:rPr>
        <w:instrText xml:space="preserve"> PAGEREF _Toc24729 \h </w:instrText>
      </w:r>
      <w:r>
        <w:rPr>
          <w:sz w:val="24"/>
          <w:szCs w:val="32"/>
        </w:rPr>
        <w:fldChar w:fldCharType="separate"/>
      </w:r>
      <w:r>
        <w:rPr>
          <w:sz w:val="24"/>
          <w:szCs w:val="32"/>
        </w:rPr>
        <w:t>21</w:t>
      </w:r>
      <w:r>
        <w:rPr>
          <w:sz w:val="24"/>
          <w:szCs w:val="32"/>
        </w:rPr>
        <w:fldChar w:fldCharType="end"/>
      </w:r>
      <w:r>
        <w:rPr>
          <w:sz w:val="24"/>
          <w:szCs w:val="32"/>
        </w:rPr>
        <w:fldChar w:fldCharType="end"/>
      </w:r>
    </w:p>
    <w:p w14:paraId="5178F843">
      <w:pPr>
        <w:pStyle w:val="8"/>
        <w:tabs>
          <w:tab w:val="right" w:leader="dot" w:pos="8312"/>
        </w:tabs>
        <w:spacing w:line="360" w:lineRule="auto"/>
        <w:rPr>
          <w:sz w:val="24"/>
          <w:szCs w:val="32"/>
        </w:rPr>
      </w:pPr>
      <w:r>
        <w:fldChar w:fldCharType="begin"/>
      </w:r>
      <w:r>
        <w:instrText xml:space="preserve"> HYPERLINK \l "_Toc6101" </w:instrText>
      </w:r>
      <w:r>
        <w:fldChar w:fldCharType="separate"/>
      </w:r>
      <w:r>
        <w:rPr>
          <w:rFonts w:hint="eastAsia" w:asciiTheme="minorEastAsia" w:hAnsiTheme="minorEastAsia"/>
          <w:sz w:val="24"/>
          <w:szCs w:val="32"/>
        </w:rPr>
        <w:t>5.3 压实黏土防渗层施工</w:t>
      </w:r>
      <w:r>
        <w:rPr>
          <w:sz w:val="24"/>
          <w:szCs w:val="32"/>
        </w:rPr>
        <w:tab/>
      </w:r>
      <w:r>
        <w:rPr>
          <w:sz w:val="24"/>
          <w:szCs w:val="32"/>
        </w:rPr>
        <w:fldChar w:fldCharType="begin"/>
      </w:r>
      <w:r>
        <w:rPr>
          <w:sz w:val="24"/>
          <w:szCs w:val="32"/>
        </w:rPr>
        <w:instrText xml:space="preserve"> PAGEREF _Toc6101 \h </w:instrText>
      </w:r>
      <w:r>
        <w:rPr>
          <w:sz w:val="24"/>
          <w:szCs w:val="32"/>
        </w:rPr>
        <w:fldChar w:fldCharType="separate"/>
      </w:r>
      <w:r>
        <w:rPr>
          <w:sz w:val="24"/>
          <w:szCs w:val="32"/>
        </w:rPr>
        <w:t>21</w:t>
      </w:r>
      <w:r>
        <w:rPr>
          <w:sz w:val="24"/>
          <w:szCs w:val="32"/>
        </w:rPr>
        <w:fldChar w:fldCharType="end"/>
      </w:r>
      <w:r>
        <w:rPr>
          <w:sz w:val="24"/>
          <w:szCs w:val="32"/>
        </w:rPr>
        <w:fldChar w:fldCharType="end"/>
      </w:r>
    </w:p>
    <w:p w14:paraId="7C929230">
      <w:pPr>
        <w:pStyle w:val="8"/>
        <w:tabs>
          <w:tab w:val="right" w:leader="dot" w:pos="8312"/>
        </w:tabs>
        <w:spacing w:line="360" w:lineRule="auto"/>
        <w:rPr>
          <w:sz w:val="24"/>
          <w:szCs w:val="32"/>
        </w:rPr>
      </w:pPr>
      <w:r>
        <w:fldChar w:fldCharType="begin"/>
      </w:r>
      <w:r>
        <w:instrText xml:space="preserve"> HYPERLINK \l "_Toc778" </w:instrText>
      </w:r>
      <w:r>
        <w:fldChar w:fldCharType="separate"/>
      </w:r>
      <w:r>
        <w:rPr>
          <w:rFonts w:hint="eastAsia" w:asciiTheme="minorEastAsia" w:hAnsiTheme="minorEastAsia"/>
          <w:sz w:val="24"/>
          <w:szCs w:val="32"/>
        </w:rPr>
        <w:t>5.4 高密度聚乙烯土工膜铺设</w:t>
      </w:r>
      <w:r>
        <w:rPr>
          <w:sz w:val="24"/>
          <w:szCs w:val="32"/>
        </w:rPr>
        <w:tab/>
      </w:r>
      <w:r>
        <w:rPr>
          <w:sz w:val="24"/>
          <w:szCs w:val="32"/>
        </w:rPr>
        <w:fldChar w:fldCharType="begin"/>
      </w:r>
      <w:r>
        <w:rPr>
          <w:sz w:val="24"/>
          <w:szCs w:val="32"/>
        </w:rPr>
        <w:instrText xml:space="preserve"> PAGEREF _Toc778 \h </w:instrText>
      </w:r>
      <w:r>
        <w:rPr>
          <w:sz w:val="24"/>
          <w:szCs w:val="32"/>
        </w:rPr>
        <w:fldChar w:fldCharType="separate"/>
      </w:r>
      <w:r>
        <w:rPr>
          <w:sz w:val="24"/>
          <w:szCs w:val="32"/>
        </w:rPr>
        <w:t>22</w:t>
      </w:r>
      <w:r>
        <w:rPr>
          <w:sz w:val="24"/>
          <w:szCs w:val="32"/>
        </w:rPr>
        <w:fldChar w:fldCharType="end"/>
      </w:r>
      <w:r>
        <w:rPr>
          <w:sz w:val="24"/>
          <w:szCs w:val="32"/>
        </w:rPr>
        <w:fldChar w:fldCharType="end"/>
      </w:r>
    </w:p>
    <w:p w14:paraId="532BCBB3">
      <w:pPr>
        <w:pStyle w:val="8"/>
        <w:tabs>
          <w:tab w:val="right" w:leader="dot" w:pos="8312"/>
        </w:tabs>
        <w:spacing w:line="360" w:lineRule="auto"/>
        <w:rPr>
          <w:sz w:val="24"/>
          <w:szCs w:val="32"/>
        </w:rPr>
      </w:pPr>
      <w:r>
        <w:fldChar w:fldCharType="begin"/>
      </w:r>
      <w:r>
        <w:instrText xml:space="preserve"> HYPERLINK \l "_Toc5980" </w:instrText>
      </w:r>
      <w:r>
        <w:fldChar w:fldCharType="separate"/>
      </w:r>
      <w:r>
        <w:rPr>
          <w:rFonts w:hint="eastAsia" w:asciiTheme="minorEastAsia" w:hAnsiTheme="minorEastAsia"/>
          <w:sz w:val="24"/>
          <w:szCs w:val="32"/>
        </w:rPr>
        <w:t>5.5 土工布铺设</w:t>
      </w:r>
      <w:r>
        <w:rPr>
          <w:sz w:val="24"/>
          <w:szCs w:val="32"/>
        </w:rPr>
        <w:tab/>
      </w:r>
      <w:r>
        <w:rPr>
          <w:sz w:val="24"/>
          <w:szCs w:val="32"/>
        </w:rPr>
        <w:fldChar w:fldCharType="begin"/>
      </w:r>
      <w:r>
        <w:rPr>
          <w:sz w:val="24"/>
          <w:szCs w:val="32"/>
        </w:rPr>
        <w:instrText xml:space="preserve"> PAGEREF _Toc5980 \h </w:instrText>
      </w:r>
      <w:r>
        <w:rPr>
          <w:sz w:val="24"/>
          <w:szCs w:val="32"/>
        </w:rPr>
        <w:fldChar w:fldCharType="separate"/>
      </w:r>
      <w:r>
        <w:rPr>
          <w:sz w:val="24"/>
          <w:szCs w:val="32"/>
        </w:rPr>
        <w:t>23</w:t>
      </w:r>
      <w:r>
        <w:rPr>
          <w:sz w:val="24"/>
          <w:szCs w:val="32"/>
        </w:rPr>
        <w:fldChar w:fldCharType="end"/>
      </w:r>
      <w:r>
        <w:rPr>
          <w:sz w:val="24"/>
          <w:szCs w:val="32"/>
        </w:rPr>
        <w:fldChar w:fldCharType="end"/>
      </w:r>
    </w:p>
    <w:p w14:paraId="0F4D9180">
      <w:pPr>
        <w:pStyle w:val="8"/>
        <w:tabs>
          <w:tab w:val="right" w:leader="dot" w:pos="8312"/>
        </w:tabs>
        <w:spacing w:line="360" w:lineRule="auto"/>
        <w:rPr>
          <w:sz w:val="24"/>
          <w:szCs w:val="32"/>
        </w:rPr>
      </w:pPr>
      <w:r>
        <w:fldChar w:fldCharType="begin"/>
      </w:r>
      <w:r>
        <w:instrText xml:space="preserve"> HYPERLINK \l "_Toc32388" </w:instrText>
      </w:r>
      <w:r>
        <w:fldChar w:fldCharType="separate"/>
      </w:r>
      <w:r>
        <w:rPr>
          <w:rFonts w:hint="eastAsia" w:asciiTheme="minorEastAsia" w:hAnsiTheme="minorEastAsia"/>
          <w:sz w:val="24"/>
          <w:szCs w:val="32"/>
        </w:rPr>
        <w:t>5.6 膨润土防水毯铺设</w:t>
      </w:r>
      <w:r>
        <w:rPr>
          <w:sz w:val="24"/>
          <w:szCs w:val="32"/>
        </w:rPr>
        <w:tab/>
      </w:r>
      <w:r>
        <w:rPr>
          <w:sz w:val="24"/>
          <w:szCs w:val="32"/>
        </w:rPr>
        <w:fldChar w:fldCharType="begin"/>
      </w:r>
      <w:r>
        <w:rPr>
          <w:sz w:val="24"/>
          <w:szCs w:val="32"/>
        </w:rPr>
        <w:instrText xml:space="preserve"> PAGEREF _Toc32388 \h </w:instrText>
      </w:r>
      <w:r>
        <w:rPr>
          <w:sz w:val="24"/>
          <w:szCs w:val="32"/>
        </w:rPr>
        <w:fldChar w:fldCharType="separate"/>
      </w:r>
      <w:r>
        <w:rPr>
          <w:sz w:val="24"/>
          <w:szCs w:val="32"/>
        </w:rPr>
        <w:t>24</w:t>
      </w:r>
      <w:r>
        <w:rPr>
          <w:sz w:val="24"/>
          <w:szCs w:val="32"/>
        </w:rPr>
        <w:fldChar w:fldCharType="end"/>
      </w:r>
      <w:r>
        <w:rPr>
          <w:sz w:val="24"/>
          <w:szCs w:val="32"/>
        </w:rPr>
        <w:fldChar w:fldCharType="end"/>
      </w:r>
    </w:p>
    <w:p w14:paraId="6F50DFAD">
      <w:pPr>
        <w:pStyle w:val="8"/>
        <w:tabs>
          <w:tab w:val="right" w:leader="dot" w:pos="8312"/>
        </w:tabs>
        <w:spacing w:line="360" w:lineRule="auto"/>
        <w:rPr>
          <w:sz w:val="24"/>
          <w:szCs w:val="32"/>
        </w:rPr>
      </w:pPr>
      <w:r>
        <w:fldChar w:fldCharType="begin"/>
      </w:r>
      <w:r>
        <w:instrText xml:space="preserve"> HYPERLINK \l "_Toc10979" </w:instrText>
      </w:r>
      <w:r>
        <w:fldChar w:fldCharType="separate"/>
      </w:r>
      <w:r>
        <w:rPr>
          <w:rFonts w:hint="eastAsia" w:asciiTheme="minorEastAsia" w:hAnsiTheme="minorEastAsia"/>
          <w:sz w:val="24"/>
          <w:szCs w:val="32"/>
        </w:rPr>
        <w:t>5.7 土工复合排水网铺设</w:t>
      </w:r>
      <w:r>
        <w:rPr>
          <w:sz w:val="24"/>
          <w:szCs w:val="32"/>
        </w:rPr>
        <w:tab/>
      </w:r>
      <w:r>
        <w:rPr>
          <w:sz w:val="24"/>
          <w:szCs w:val="32"/>
        </w:rPr>
        <w:fldChar w:fldCharType="begin"/>
      </w:r>
      <w:r>
        <w:rPr>
          <w:sz w:val="24"/>
          <w:szCs w:val="32"/>
        </w:rPr>
        <w:instrText xml:space="preserve"> PAGEREF _Toc10979 \h </w:instrText>
      </w:r>
      <w:r>
        <w:rPr>
          <w:sz w:val="24"/>
          <w:szCs w:val="32"/>
        </w:rPr>
        <w:fldChar w:fldCharType="separate"/>
      </w:r>
      <w:r>
        <w:rPr>
          <w:sz w:val="24"/>
          <w:szCs w:val="32"/>
        </w:rPr>
        <w:t>26</w:t>
      </w:r>
      <w:r>
        <w:rPr>
          <w:sz w:val="24"/>
          <w:szCs w:val="32"/>
        </w:rPr>
        <w:fldChar w:fldCharType="end"/>
      </w:r>
      <w:r>
        <w:rPr>
          <w:sz w:val="24"/>
          <w:szCs w:val="32"/>
        </w:rPr>
        <w:fldChar w:fldCharType="end"/>
      </w:r>
    </w:p>
    <w:p w14:paraId="00900949">
      <w:pPr>
        <w:pStyle w:val="8"/>
        <w:tabs>
          <w:tab w:val="right" w:leader="dot" w:pos="8312"/>
        </w:tabs>
        <w:spacing w:line="360" w:lineRule="auto"/>
        <w:rPr>
          <w:sz w:val="24"/>
          <w:szCs w:val="32"/>
        </w:rPr>
      </w:pPr>
      <w:r>
        <w:fldChar w:fldCharType="begin"/>
      </w:r>
      <w:r>
        <w:instrText xml:space="preserve"> HYPERLINK \l "_Toc21938" </w:instrText>
      </w:r>
      <w:r>
        <w:fldChar w:fldCharType="separate"/>
      </w:r>
      <w:r>
        <w:rPr>
          <w:rFonts w:hint="eastAsia" w:asciiTheme="minorEastAsia" w:hAnsiTheme="minorEastAsia"/>
          <w:sz w:val="24"/>
          <w:szCs w:val="32"/>
        </w:rPr>
        <w:t>5.8 防渗系统工程材料连接</w:t>
      </w:r>
      <w:r>
        <w:rPr>
          <w:sz w:val="24"/>
          <w:szCs w:val="32"/>
        </w:rPr>
        <w:tab/>
      </w:r>
      <w:r>
        <w:rPr>
          <w:sz w:val="24"/>
          <w:szCs w:val="32"/>
        </w:rPr>
        <w:fldChar w:fldCharType="begin"/>
      </w:r>
      <w:r>
        <w:rPr>
          <w:sz w:val="24"/>
          <w:szCs w:val="32"/>
        </w:rPr>
        <w:instrText xml:space="preserve"> PAGEREF _Toc21938 \h </w:instrText>
      </w:r>
      <w:r>
        <w:rPr>
          <w:sz w:val="24"/>
          <w:szCs w:val="32"/>
        </w:rPr>
        <w:fldChar w:fldCharType="separate"/>
      </w:r>
      <w:r>
        <w:rPr>
          <w:sz w:val="24"/>
          <w:szCs w:val="32"/>
        </w:rPr>
        <w:t>26</w:t>
      </w:r>
      <w:r>
        <w:rPr>
          <w:sz w:val="24"/>
          <w:szCs w:val="32"/>
        </w:rPr>
        <w:fldChar w:fldCharType="end"/>
      </w:r>
      <w:r>
        <w:rPr>
          <w:sz w:val="24"/>
          <w:szCs w:val="32"/>
        </w:rPr>
        <w:fldChar w:fldCharType="end"/>
      </w:r>
    </w:p>
    <w:p w14:paraId="04E50E49">
      <w:pPr>
        <w:pStyle w:val="8"/>
        <w:tabs>
          <w:tab w:val="right" w:leader="dot" w:pos="8312"/>
        </w:tabs>
        <w:spacing w:line="360" w:lineRule="auto"/>
        <w:rPr>
          <w:sz w:val="24"/>
          <w:szCs w:val="32"/>
        </w:rPr>
      </w:pPr>
      <w:r>
        <w:fldChar w:fldCharType="begin"/>
      </w:r>
      <w:r>
        <w:instrText xml:space="preserve"> HYPERLINK \l "_Toc1327" </w:instrText>
      </w:r>
      <w:r>
        <w:fldChar w:fldCharType="separate"/>
      </w:r>
      <w:r>
        <w:rPr>
          <w:rFonts w:hint="eastAsia" w:asciiTheme="minorEastAsia" w:hAnsiTheme="minorEastAsia"/>
          <w:sz w:val="24"/>
          <w:szCs w:val="32"/>
        </w:rPr>
        <w:t>5.9 局部工程施工</w:t>
      </w:r>
      <w:r>
        <w:rPr>
          <w:sz w:val="24"/>
          <w:szCs w:val="32"/>
        </w:rPr>
        <w:tab/>
      </w:r>
      <w:r>
        <w:rPr>
          <w:sz w:val="24"/>
          <w:szCs w:val="32"/>
        </w:rPr>
        <w:fldChar w:fldCharType="begin"/>
      </w:r>
      <w:r>
        <w:rPr>
          <w:sz w:val="24"/>
          <w:szCs w:val="32"/>
        </w:rPr>
        <w:instrText xml:space="preserve"> PAGEREF _Toc1327 \h </w:instrText>
      </w:r>
      <w:r>
        <w:rPr>
          <w:sz w:val="24"/>
          <w:szCs w:val="32"/>
        </w:rPr>
        <w:fldChar w:fldCharType="separate"/>
      </w:r>
      <w:r>
        <w:rPr>
          <w:sz w:val="24"/>
          <w:szCs w:val="32"/>
        </w:rPr>
        <w:t>27</w:t>
      </w:r>
      <w:r>
        <w:rPr>
          <w:sz w:val="24"/>
          <w:szCs w:val="32"/>
        </w:rPr>
        <w:fldChar w:fldCharType="end"/>
      </w:r>
      <w:r>
        <w:rPr>
          <w:sz w:val="24"/>
          <w:szCs w:val="32"/>
        </w:rPr>
        <w:fldChar w:fldCharType="end"/>
      </w:r>
    </w:p>
    <w:p w14:paraId="3AB9FE42">
      <w:pPr>
        <w:pStyle w:val="8"/>
        <w:tabs>
          <w:tab w:val="right" w:leader="dot" w:pos="8312"/>
        </w:tabs>
        <w:spacing w:line="360" w:lineRule="auto"/>
        <w:rPr>
          <w:sz w:val="24"/>
          <w:szCs w:val="32"/>
        </w:rPr>
      </w:pPr>
      <w:r>
        <w:fldChar w:fldCharType="begin"/>
      </w:r>
      <w:r>
        <w:instrText xml:space="preserve"> HYPERLINK \l "_Toc26599" </w:instrText>
      </w:r>
      <w:r>
        <w:fldChar w:fldCharType="separate"/>
      </w:r>
      <w:r>
        <w:rPr>
          <w:rFonts w:hint="eastAsia" w:asciiTheme="minorEastAsia" w:hAnsiTheme="minorEastAsia"/>
          <w:sz w:val="24"/>
          <w:szCs w:val="32"/>
        </w:rPr>
        <w:t>5.10 绿色施工措施</w:t>
      </w:r>
      <w:r>
        <w:rPr>
          <w:sz w:val="24"/>
          <w:szCs w:val="32"/>
        </w:rPr>
        <w:tab/>
      </w:r>
      <w:r>
        <w:rPr>
          <w:sz w:val="24"/>
          <w:szCs w:val="32"/>
        </w:rPr>
        <w:fldChar w:fldCharType="begin"/>
      </w:r>
      <w:r>
        <w:rPr>
          <w:sz w:val="24"/>
          <w:szCs w:val="32"/>
        </w:rPr>
        <w:instrText xml:space="preserve"> PAGEREF _Toc26599 \h </w:instrText>
      </w:r>
      <w:r>
        <w:rPr>
          <w:sz w:val="24"/>
          <w:szCs w:val="32"/>
        </w:rPr>
        <w:fldChar w:fldCharType="separate"/>
      </w:r>
      <w:r>
        <w:rPr>
          <w:sz w:val="24"/>
          <w:szCs w:val="32"/>
        </w:rPr>
        <w:t>29</w:t>
      </w:r>
      <w:r>
        <w:rPr>
          <w:sz w:val="24"/>
          <w:szCs w:val="32"/>
        </w:rPr>
        <w:fldChar w:fldCharType="end"/>
      </w:r>
      <w:r>
        <w:rPr>
          <w:sz w:val="24"/>
          <w:szCs w:val="32"/>
        </w:rPr>
        <w:fldChar w:fldCharType="end"/>
      </w:r>
    </w:p>
    <w:p w14:paraId="7E3CD12E">
      <w:pPr>
        <w:pStyle w:val="7"/>
        <w:tabs>
          <w:tab w:val="right" w:leader="dot" w:pos="8312"/>
        </w:tabs>
        <w:spacing w:line="360" w:lineRule="auto"/>
        <w:rPr>
          <w:sz w:val="24"/>
          <w:szCs w:val="32"/>
        </w:rPr>
      </w:pPr>
      <w:r>
        <w:fldChar w:fldCharType="begin"/>
      </w:r>
      <w:r>
        <w:instrText xml:space="preserve"> HYPERLINK \l "_Toc10598" </w:instrText>
      </w:r>
      <w:r>
        <w:fldChar w:fldCharType="separate"/>
      </w:r>
      <w:r>
        <w:rPr>
          <w:rFonts w:hint="eastAsia" w:ascii="黑体" w:hAnsi="黑体" w:eastAsia="黑体" w:cs="Times New Roman"/>
          <w:bCs/>
          <w:sz w:val="24"/>
          <w:szCs w:val="40"/>
        </w:rPr>
        <w:t>6 防渗系统工程验收及维护</w:t>
      </w:r>
      <w:r>
        <w:rPr>
          <w:sz w:val="24"/>
          <w:szCs w:val="32"/>
        </w:rPr>
        <w:tab/>
      </w:r>
      <w:r>
        <w:rPr>
          <w:sz w:val="24"/>
          <w:szCs w:val="32"/>
        </w:rPr>
        <w:fldChar w:fldCharType="begin"/>
      </w:r>
      <w:r>
        <w:rPr>
          <w:sz w:val="24"/>
          <w:szCs w:val="32"/>
        </w:rPr>
        <w:instrText xml:space="preserve"> PAGEREF _Toc10598 \h </w:instrText>
      </w:r>
      <w:r>
        <w:rPr>
          <w:sz w:val="24"/>
          <w:szCs w:val="32"/>
        </w:rPr>
        <w:fldChar w:fldCharType="separate"/>
      </w:r>
      <w:r>
        <w:rPr>
          <w:sz w:val="24"/>
          <w:szCs w:val="32"/>
        </w:rPr>
        <w:t>32</w:t>
      </w:r>
      <w:r>
        <w:rPr>
          <w:sz w:val="24"/>
          <w:szCs w:val="32"/>
        </w:rPr>
        <w:fldChar w:fldCharType="end"/>
      </w:r>
      <w:r>
        <w:rPr>
          <w:sz w:val="24"/>
          <w:szCs w:val="32"/>
        </w:rPr>
        <w:fldChar w:fldCharType="end"/>
      </w:r>
    </w:p>
    <w:p w14:paraId="6521024C">
      <w:pPr>
        <w:pStyle w:val="8"/>
        <w:tabs>
          <w:tab w:val="right" w:leader="dot" w:pos="8312"/>
        </w:tabs>
        <w:spacing w:line="360" w:lineRule="auto"/>
        <w:rPr>
          <w:sz w:val="24"/>
          <w:szCs w:val="32"/>
        </w:rPr>
      </w:pPr>
      <w:r>
        <w:fldChar w:fldCharType="begin"/>
      </w:r>
      <w:r>
        <w:instrText xml:space="preserve"> HYPERLINK \l "_Toc12387" </w:instrText>
      </w:r>
      <w:r>
        <w:fldChar w:fldCharType="separate"/>
      </w:r>
      <w:r>
        <w:rPr>
          <w:rFonts w:hint="eastAsia" w:asciiTheme="minorEastAsia" w:hAnsiTheme="minorEastAsia"/>
          <w:sz w:val="24"/>
          <w:szCs w:val="32"/>
        </w:rPr>
        <w:t>6.1 防渗系统工程验收</w:t>
      </w:r>
      <w:r>
        <w:rPr>
          <w:sz w:val="24"/>
          <w:szCs w:val="32"/>
        </w:rPr>
        <w:tab/>
      </w:r>
      <w:r>
        <w:rPr>
          <w:sz w:val="24"/>
          <w:szCs w:val="32"/>
        </w:rPr>
        <w:fldChar w:fldCharType="begin"/>
      </w:r>
      <w:r>
        <w:rPr>
          <w:sz w:val="24"/>
          <w:szCs w:val="32"/>
        </w:rPr>
        <w:instrText xml:space="preserve"> PAGEREF _Toc12387 \h </w:instrText>
      </w:r>
      <w:r>
        <w:rPr>
          <w:sz w:val="24"/>
          <w:szCs w:val="32"/>
        </w:rPr>
        <w:fldChar w:fldCharType="separate"/>
      </w:r>
      <w:r>
        <w:rPr>
          <w:sz w:val="24"/>
          <w:szCs w:val="32"/>
        </w:rPr>
        <w:t>32</w:t>
      </w:r>
      <w:r>
        <w:rPr>
          <w:sz w:val="24"/>
          <w:szCs w:val="32"/>
        </w:rPr>
        <w:fldChar w:fldCharType="end"/>
      </w:r>
      <w:r>
        <w:rPr>
          <w:sz w:val="24"/>
          <w:szCs w:val="32"/>
        </w:rPr>
        <w:fldChar w:fldCharType="end"/>
      </w:r>
    </w:p>
    <w:p w14:paraId="28533E14">
      <w:pPr>
        <w:pStyle w:val="8"/>
        <w:tabs>
          <w:tab w:val="right" w:leader="dot" w:pos="8312"/>
        </w:tabs>
        <w:spacing w:line="360" w:lineRule="auto"/>
        <w:rPr>
          <w:sz w:val="24"/>
          <w:szCs w:val="32"/>
        </w:rPr>
      </w:pPr>
      <w:r>
        <w:fldChar w:fldCharType="begin"/>
      </w:r>
      <w:r>
        <w:instrText xml:space="preserve"> HYPERLINK \l "_Toc24494" </w:instrText>
      </w:r>
      <w:r>
        <w:fldChar w:fldCharType="separate"/>
      </w:r>
      <w:r>
        <w:rPr>
          <w:rFonts w:hint="eastAsia" w:asciiTheme="minorEastAsia" w:hAnsiTheme="minorEastAsia"/>
          <w:sz w:val="24"/>
          <w:szCs w:val="32"/>
        </w:rPr>
        <w:t>6.2 防渗体系统工程维护</w:t>
      </w:r>
      <w:r>
        <w:rPr>
          <w:sz w:val="24"/>
          <w:szCs w:val="32"/>
        </w:rPr>
        <w:tab/>
      </w:r>
      <w:r>
        <w:rPr>
          <w:sz w:val="24"/>
          <w:szCs w:val="32"/>
        </w:rPr>
        <w:fldChar w:fldCharType="begin"/>
      </w:r>
      <w:r>
        <w:rPr>
          <w:sz w:val="24"/>
          <w:szCs w:val="32"/>
        </w:rPr>
        <w:instrText xml:space="preserve"> PAGEREF _Toc24494 \h </w:instrText>
      </w:r>
      <w:r>
        <w:rPr>
          <w:sz w:val="24"/>
          <w:szCs w:val="32"/>
        </w:rPr>
        <w:fldChar w:fldCharType="separate"/>
      </w:r>
      <w:r>
        <w:rPr>
          <w:sz w:val="24"/>
          <w:szCs w:val="32"/>
        </w:rPr>
        <w:t>32</w:t>
      </w:r>
      <w:r>
        <w:rPr>
          <w:sz w:val="24"/>
          <w:szCs w:val="32"/>
        </w:rPr>
        <w:fldChar w:fldCharType="end"/>
      </w:r>
      <w:r>
        <w:rPr>
          <w:sz w:val="24"/>
          <w:szCs w:val="32"/>
        </w:rPr>
        <w:fldChar w:fldCharType="end"/>
      </w:r>
    </w:p>
    <w:p w14:paraId="78022ED7">
      <w:pPr>
        <w:pStyle w:val="7"/>
        <w:tabs>
          <w:tab w:val="right" w:leader="dot" w:pos="8312"/>
        </w:tabs>
        <w:spacing w:line="360" w:lineRule="auto"/>
        <w:rPr>
          <w:sz w:val="24"/>
          <w:szCs w:val="32"/>
        </w:rPr>
      </w:pPr>
      <w:r>
        <w:fldChar w:fldCharType="begin"/>
      </w:r>
      <w:r>
        <w:instrText xml:space="preserve"> HYPERLINK \l "_Toc20728" </w:instrText>
      </w:r>
      <w:r>
        <w:fldChar w:fldCharType="separate"/>
      </w:r>
      <w:r>
        <w:rPr>
          <w:bCs/>
          <w:spacing w:val="-2"/>
          <w:sz w:val="24"/>
          <w:szCs w:val="36"/>
        </w:rPr>
        <w:t>附录</w:t>
      </w:r>
      <w:r>
        <w:rPr>
          <w:rFonts w:ascii="Times New Roman" w:hAnsi="Times New Roman" w:eastAsia="Times New Roman" w:cs="Times New Roman"/>
          <w:bCs/>
          <w:spacing w:val="-2"/>
          <w:sz w:val="24"/>
          <w:szCs w:val="36"/>
        </w:rPr>
        <w:t xml:space="preserve">A  </w:t>
      </w:r>
      <w:r>
        <w:rPr>
          <w:bCs/>
          <w:spacing w:val="-2"/>
          <w:sz w:val="24"/>
          <w:szCs w:val="36"/>
        </w:rPr>
        <w:t>高密度聚乙烯土工膜铺设施工记录</w:t>
      </w:r>
      <w:r>
        <w:rPr>
          <w:sz w:val="24"/>
          <w:szCs w:val="32"/>
        </w:rPr>
        <w:tab/>
      </w:r>
      <w:r>
        <w:rPr>
          <w:sz w:val="24"/>
          <w:szCs w:val="32"/>
        </w:rPr>
        <w:fldChar w:fldCharType="begin"/>
      </w:r>
      <w:r>
        <w:rPr>
          <w:sz w:val="24"/>
          <w:szCs w:val="32"/>
        </w:rPr>
        <w:instrText xml:space="preserve"> PAGEREF _Toc20728 \h </w:instrText>
      </w:r>
      <w:r>
        <w:rPr>
          <w:sz w:val="24"/>
          <w:szCs w:val="32"/>
        </w:rPr>
        <w:fldChar w:fldCharType="separate"/>
      </w:r>
      <w:r>
        <w:rPr>
          <w:sz w:val="24"/>
          <w:szCs w:val="32"/>
        </w:rPr>
        <w:t>34</w:t>
      </w:r>
      <w:r>
        <w:rPr>
          <w:sz w:val="24"/>
          <w:szCs w:val="32"/>
        </w:rPr>
        <w:fldChar w:fldCharType="end"/>
      </w:r>
      <w:r>
        <w:rPr>
          <w:sz w:val="24"/>
          <w:szCs w:val="32"/>
        </w:rPr>
        <w:fldChar w:fldCharType="end"/>
      </w:r>
    </w:p>
    <w:p w14:paraId="279935C4">
      <w:pPr>
        <w:pStyle w:val="7"/>
        <w:tabs>
          <w:tab w:val="right" w:leader="dot" w:pos="8312"/>
        </w:tabs>
        <w:spacing w:line="360" w:lineRule="auto"/>
        <w:rPr>
          <w:sz w:val="24"/>
          <w:szCs w:val="32"/>
        </w:rPr>
      </w:pPr>
      <w:r>
        <w:fldChar w:fldCharType="begin"/>
      </w:r>
      <w:r>
        <w:instrText xml:space="preserve"> HYPERLINK \l "_Toc23501" </w:instrText>
      </w:r>
      <w:r>
        <w:fldChar w:fldCharType="separate"/>
      </w:r>
      <w:r>
        <w:rPr>
          <w:bCs/>
          <w:spacing w:val="-2"/>
          <w:sz w:val="24"/>
          <w:szCs w:val="36"/>
        </w:rPr>
        <w:t>附录B  高密度聚乙烯土工膜试样焊接记录</w:t>
      </w:r>
      <w:r>
        <w:rPr>
          <w:sz w:val="24"/>
          <w:szCs w:val="32"/>
        </w:rPr>
        <w:tab/>
      </w:r>
      <w:r>
        <w:rPr>
          <w:sz w:val="24"/>
          <w:szCs w:val="32"/>
        </w:rPr>
        <w:fldChar w:fldCharType="begin"/>
      </w:r>
      <w:r>
        <w:rPr>
          <w:sz w:val="24"/>
          <w:szCs w:val="32"/>
        </w:rPr>
        <w:instrText xml:space="preserve"> PAGEREF _Toc23501 \h </w:instrText>
      </w:r>
      <w:r>
        <w:rPr>
          <w:sz w:val="24"/>
          <w:szCs w:val="32"/>
        </w:rPr>
        <w:fldChar w:fldCharType="separate"/>
      </w:r>
      <w:r>
        <w:rPr>
          <w:sz w:val="24"/>
          <w:szCs w:val="32"/>
        </w:rPr>
        <w:t>35</w:t>
      </w:r>
      <w:r>
        <w:rPr>
          <w:sz w:val="24"/>
          <w:szCs w:val="32"/>
        </w:rPr>
        <w:fldChar w:fldCharType="end"/>
      </w:r>
      <w:r>
        <w:rPr>
          <w:sz w:val="24"/>
          <w:szCs w:val="32"/>
        </w:rPr>
        <w:fldChar w:fldCharType="end"/>
      </w:r>
    </w:p>
    <w:p w14:paraId="5E0AB90C">
      <w:pPr>
        <w:pStyle w:val="7"/>
        <w:tabs>
          <w:tab w:val="right" w:leader="dot" w:pos="8312"/>
        </w:tabs>
        <w:spacing w:line="360" w:lineRule="auto"/>
        <w:rPr>
          <w:sz w:val="24"/>
          <w:szCs w:val="32"/>
        </w:rPr>
      </w:pPr>
      <w:r>
        <w:fldChar w:fldCharType="begin"/>
      </w:r>
      <w:r>
        <w:instrText xml:space="preserve"> HYPERLINK \l "_Toc19107" </w:instrText>
      </w:r>
      <w:r>
        <w:fldChar w:fldCharType="separate"/>
      </w:r>
      <w:r>
        <w:rPr>
          <w:bCs/>
          <w:spacing w:val="-2"/>
          <w:sz w:val="24"/>
          <w:szCs w:val="36"/>
        </w:rPr>
        <w:t xml:space="preserve">附录C </w:t>
      </w:r>
      <w:r>
        <w:rPr>
          <w:rFonts w:hint="eastAsia"/>
          <w:bCs/>
          <w:spacing w:val="-2"/>
          <w:sz w:val="24"/>
          <w:szCs w:val="36"/>
        </w:rPr>
        <w:t xml:space="preserve"> </w:t>
      </w:r>
      <w:r>
        <w:rPr>
          <w:bCs/>
          <w:spacing w:val="-2"/>
          <w:sz w:val="24"/>
          <w:szCs w:val="36"/>
        </w:rPr>
        <w:t>气压、真空和破坏性检测及电火花测试方法</w:t>
      </w:r>
      <w:r>
        <w:rPr>
          <w:sz w:val="24"/>
          <w:szCs w:val="32"/>
        </w:rPr>
        <w:tab/>
      </w:r>
      <w:r>
        <w:rPr>
          <w:sz w:val="24"/>
          <w:szCs w:val="32"/>
        </w:rPr>
        <w:fldChar w:fldCharType="begin"/>
      </w:r>
      <w:r>
        <w:rPr>
          <w:sz w:val="24"/>
          <w:szCs w:val="32"/>
        </w:rPr>
        <w:instrText xml:space="preserve"> PAGEREF _Toc19107 \h </w:instrText>
      </w:r>
      <w:r>
        <w:rPr>
          <w:sz w:val="24"/>
          <w:szCs w:val="32"/>
        </w:rPr>
        <w:fldChar w:fldCharType="separate"/>
      </w:r>
      <w:r>
        <w:rPr>
          <w:sz w:val="24"/>
          <w:szCs w:val="32"/>
        </w:rPr>
        <w:t>38</w:t>
      </w:r>
      <w:r>
        <w:rPr>
          <w:sz w:val="24"/>
          <w:szCs w:val="32"/>
        </w:rPr>
        <w:fldChar w:fldCharType="end"/>
      </w:r>
      <w:r>
        <w:rPr>
          <w:sz w:val="24"/>
          <w:szCs w:val="32"/>
        </w:rPr>
        <w:fldChar w:fldCharType="end"/>
      </w:r>
    </w:p>
    <w:p w14:paraId="0180669C">
      <w:pPr>
        <w:pStyle w:val="7"/>
        <w:tabs>
          <w:tab w:val="right" w:leader="dot" w:pos="8312"/>
        </w:tabs>
        <w:spacing w:line="360" w:lineRule="auto"/>
        <w:rPr>
          <w:sz w:val="24"/>
          <w:szCs w:val="32"/>
        </w:rPr>
      </w:pPr>
      <w:r>
        <w:fldChar w:fldCharType="begin"/>
      </w:r>
      <w:r>
        <w:instrText xml:space="preserve"> HYPERLINK \l "_Toc3541" </w:instrText>
      </w:r>
      <w:r>
        <w:fldChar w:fldCharType="separate"/>
      </w:r>
      <w:r>
        <w:rPr>
          <w:bCs/>
          <w:spacing w:val="-2"/>
          <w:sz w:val="24"/>
          <w:szCs w:val="36"/>
        </w:rPr>
        <w:t>附录D  高密度聚乙烯土工膜施工工序质量检查评定</w:t>
      </w:r>
      <w:r>
        <w:rPr>
          <w:sz w:val="24"/>
          <w:szCs w:val="32"/>
        </w:rPr>
        <w:tab/>
      </w:r>
      <w:r>
        <w:rPr>
          <w:sz w:val="24"/>
          <w:szCs w:val="32"/>
        </w:rPr>
        <w:fldChar w:fldCharType="begin"/>
      </w:r>
      <w:r>
        <w:rPr>
          <w:sz w:val="24"/>
          <w:szCs w:val="32"/>
        </w:rPr>
        <w:instrText xml:space="preserve"> PAGEREF _Toc3541 \h </w:instrText>
      </w:r>
      <w:r>
        <w:rPr>
          <w:sz w:val="24"/>
          <w:szCs w:val="32"/>
        </w:rPr>
        <w:fldChar w:fldCharType="separate"/>
      </w:r>
      <w:r>
        <w:rPr>
          <w:sz w:val="24"/>
          <w:szCs w:val="32"/>
        </w:rPr>
        <w:t>40</w:t>
      </w:r>
      <w:r>
        <w:rPr>
          <w:sz w:val="24"/>
          <w:szCs w:val="32"/>
        </w:rPr>
        <w:fldChar w:fldCharType="end"/>
      </w:r>
      <w:r>
        <w:rPr>
          <w:sz w:val="24"/>
          <w:szCs w:val="32"/>
        </w:rPr>
        <w:fldChar w:fldCharType="end"/>
      </w:r>
    </w:p>
    <w:p w14:paraId="64124979">
      <w:pPr>
        <w:pStyle w:val="7"/>
        <w:tabs>
          <w:tab w:val="right" w:leader="dot" w:pos="8312"/>
        </w:tabs>
        <w:spacing w:line="360" w:lineRule="auto"/>
        <w:rPr>
          <w:sz w:val="24"/>
          <w:szCs w:val="32"/>
        </w:rPr>
      </w:pPr>
      <w:r>
        <w:fldChar w:fldCharType="begin"/>
      </w:r>
      <w:r>
        <w:instrText xml:space="preserve"> HYPERLINK \l "_Toc7182" </w:instrText>
      </w:r>
      <w:r>
        <w:fldChar w:fldCharType="separate"/>
      </w:r>
      <w:r>
        <w:rPr>
          <w:bCs/>
          <w:spacing w:val="-5"/>
          <w:sz w:val="24"/>
          <w:szCs w:val="44"/>
        </w:rPr>
        <w:t>本标准用词说明</w:t>
      </w:r>
      <w:r>
        <w:rPr>
          <w:sz w:val="24"/>
          <w:szCs w:val="32"/>
        </w:rPr>
        <w:tab/>
      </w:r>
      <w:r>
        <w:rPr>
          <w:sz w:val="24"/>
          <w:szCs w:val="32"/>
        </w:rPr>
        <w:fldChar w:fldCharType="begin"/>
      </w:r>
      <w:r>
        <w:rPr>
          <w:sz w:val="24"/>
          <w:szCs w:val="32"/>
        </w:rPr>
        <w:instrText xml:space="preserve"> PAGEREF _Toc7182 \h </w:instrText>
      </w:r>
      <w:r>
        <w:rPr>
          <w:sz w:val="24"/>
          <w:szCs w:val="32"/>
        </w:rPr>
        <w:fldChar w:fldCharType="separate"/>
      </w:r>
      <w:r>
        <w:rPr>
          <w:sz w:val="24"/>
          <w:szCs w:val="32"/>
        </w:rPr>
        <w:t>41</w:t>
      </w:r>
      <w:r>
        <w:rPr>
          <w:sz w:val="24"/>
          <w:szCs w:val="32"/>
        </w:rPr>
        <w:fldChar w:fldCharType="end"/>
      </w:r>
      <w:r>
        <w:rPr>
          <w:sz w:val="24"/>
          <w:szCs w:val="32"/>
        </w:rPr>
        <w:fldChar w:fldCharType="end"/>
      </w:r>
    </w:p>
    <w:p w14:paraId="6900329D">
      <w:pPr>
        <w:pStyle w:val="7"/>
        <w:tabs>
          <w:tab w:val="right" w:leader="dot" w:pos="8312"/>
        </w:tabs>
        <w:spacing w:line="360" w:lineRule="auto"/>
      </w:pPr>
      <w:r>
        <w:fldChar w:fldCharType="begin"/>
      </w:r>
      <w:r>
        <w:instrText xml:space="preserve"> HYPERLINK \l "_Toc5409" </w:instrText>
      </w:r>
      <w:r>
        <w:fldChar w:fldCharType="separate"/>
      </w:r>
      <w:r>
        <w:rPr>
          <w:bCs/>
          <w:spacing w:val="-5"/>
          <w:sz w:val="24"/>
          <w:szCs w:val="44"/>
        </w:rPr>
        <w:t>引用标准名录</w:t>
      </w:r>
      <w:r>
        <w:rPr>
          <w:sz w:val="24"/>
          <w:szCs w:val="32"/>
        </w:rPr>
        <w:tab/>
      </w:r>
      <w:r>
        <w:rPr>
          <w:sz w:val="24"/>
          <w:szCs w:val="32"/>
        </w:rPr>
        <w:fldChar w:fldCharType="begin"/>
      </w:r>
      <w:r>
        <w:rPr>
          <w:sz w:val="24"/>
          <w:szCs w:val="32"/>
        </w:rPr>
        <w:instrText xml:space="preserve"> PAGEREF _Toc5409 \h </w:instrText>
      </w:r>
      <w:r>
        <w:rPr>
          <w:sz w:val="24"/>
          <w:szCs w:val="32"/>
        </w:rPr>
        <w:fldChar w:fldCharType="separate"/>
      </w:r>
      <w:r>
        <w:rPr>
          <w:sz w:val="24"/>
          <w:szCs w:val="32"/>
        </w:rPr>
        <w:t>42</w:t>
      </w:r>
      <w:r>
        <w:rPr>
          <w:sz w:val="24"/>
          <w:szCs w:val="32"/>
        </w:rPr>
        <w:fldChar w:fldCharType="end"/>
      </w:r>
      <w:r>
        <w:rPr>
          <w:sz w:val="24"/>
          <w:szCs w:val="32"/>
        </w:rPr>
        <w:fldChar w:fldCharType="end"/>
      </w:r>
    </w:p>
    <w:p w14:paraId="17768E0E">
      <w:pPr>
        <w:jc w:val="left"/>
        <w:rPr>
          <w:bCs/>
          <w:spacing w:val="-5"/>
          <w:sz w:val="24"/>
          <w:szCs w:val="44"/>
        </w:rPr>
      </w:pPr>
      <w:r>
        <w:rPr>
          <w:rFonts w:hint="eastAsia"/>
        </w:rPr>
        <w:fldChar w:fldCharType="end"/>
      </w:r>
    </w:p>
    <w:p w14:paraId="67589888">
      <w:pPr>
        <w:spacing w:before="50" w:after="50"/>
        <w:jc w:val="left"/>
        <w:rPr>
          <w:rFonts w:ascii="宋体" w:hAnsi="宋体"/>
        </w:rPr>
      </w:pPr>
    </w:p>
    <w:p w14:paraId="429A5974">
      <w:pPr>
        <w:spacing w:before="50" w:after="50"/>
        <w:jc w:val="left"/>
        <w:rPr>
          <w:rFonts w:ascii="宋体" w:hAnsi="宋体"/>
        </w:rPr>
      </w:pPr>
    </w:p>
    <w:p w14:paraId="3133BD16">
      <w:pPr>
        <w:spacing w:before="50" w:after="50"/>
        <w:jc w:val="left"/>
        <w:rPr>
          <w:rFonts w:ascii="宋体" w:hAnsi="宋体"/>
        </w:rPr>
      </w:pPr>
    </w:p>
    <w:p w14:paraId="4093D2DF">
      <w:pPr>
        <w:rPr>
          <w:rFonts w:ascii="黑体" w:hAnsi="黑体" w:eastAsia="黑体" w:cs="黑体"/>
          <w:sz w:val="32"/>
          <w:szCs w:val="32"/>
        </w:rPr>
      </w:pPr>
      <w:r>
        <w:rPr>
          <w:rFonts w:hint="eastAsia" w:ascii="黑体" w:hAnsi="黑体" w:eastAsia="黑体" w:cs="黑体"/>
          <w:sz w:val="32"/>
          <w:szCs w:val="32"/>
        </w:rPr>
        <w:br w:type="page"/>
      </w:r>
    </w:p>
    <w:p w14:paraId="020D7D8C">
      <w:pPr>
        <w:spacing w:line="360" w:lineRule="auto"/>
        <w:jc w:val="center"/>
        <w:rPr>
          <w:rFonts w:ascii="黑体" w:hAnsi="黑体" w:eastAsia="黑体" w:cs="黑体"/>
          <w:sz w:val="32"/>
          <w:szCs w:val="32"/>
        </w:rPr>
      </w:pPr>
      <w:r>
        <w:rPr>
          <w:rFonts w:hint="eastAsia" w:ascii="黑体" w:hAnsi="黑体" w:eastAsia="黑体" w:cs="黑体"/>
          <w:sz w:val="32"/>
          <w:szCs w:val="32"/>
        </w:rPr>
        <w:t>1</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570ECC16">
      <w:pPr>
        <w:widowControl/>
        <w:spacing w:line="360" w:lineRule="auto"/>
        <w:jc w:val="left"/>
        <w:outlineLvl w:val="2"/>
        <w:rPr>
          <w:rFonts w:hint="eastAsia" w:ascii="Times New Roman" w:hAnsi="Times New Roman" w:eastAsia="宋体" w:cs="Times New Roman"/>
          <w:sz w:val="24"/>
        </w:rPr>
      </w:pPr>
    </w:p>
    <w:p w14:paraId="2975B263">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1.0.1 本条明确了制定本标准的目的。</w:t>
      </w:r>
    </w:p>
    <w:p w14:paraId="2FE655D3">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1.0.2 本条规定了本标准的适用范围，适用于新建、扩建和改建的垃圾填埋场防渗系统工程的设计、施工、验收及维护。</w:t>
      </w:r>
    </w:p>
    <w:p w14:paraId="1017995B">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1.0.3 垃圾填埋场防渗系统工程是垃圾填埋场工程中的一个重要组成部分，其设计、施工、验收</w:t>
      </w:r>
      <w:r>
        <w:rPr>
          <w:rFonts w:hint="eastAsia" w:ascii="Times New Roman" w:hAnsi="Times New Roman" w:eastAsia="宋体" w:cs="Times New Roman"/>
          <w:sz w:val="24"/>
          <w:lang w:eastAsia="zh-CN"/>
        </w:rPr>
        <w:t>及</w:t>
      </w:r>
      <w:r>
        <w:rPr>
          <w:rFonts w:hint="eastAsia" w:ascii="Times New Roman" w:hAnsi="Times New Roman" w:eastAsia="宋体" w:cs="Times New Roman"/>
          <w:sz w:val="24"/>
        </w:rPr>
        <w:t>维护除执行本标准的规定外，还应当符合国家现行的有关标准的有关规定。</w:t>
      </w:r>
    </w:p>
    <w:p w14:paraId="3125E93A">
      <w:pPr>
        <w:spacing w:line="360" w:lineRule="auto"/>
        <w:jc w:val="center"/>
        <w:rPr>
          <w:rFonts w:ascii="黑体" w:hAnsi="黑体" w:eastAsia="黑体" w:cs="黑体"/>
          <w:sz w:val="32"/>
          <w:szCs w:val="32"/>
        </w:rPr>
      </w:pPr>
    </w:p>
    <w:p w14:paraId="16713502">
      <w:pPr>
        <w:spacing w:line="360" w:lineRule="auto"/>
        <w:jc w:val="center"/>
        <w:rPr>
          <w:rFonts w:ascii="黑体" w:hAnsi="黑体" w:eastAsia="黑体" w:cs="黑体"/>
          <w:sz w:val="32"/>
          <w:szCs w:val="32"/>
        </w:rPr>
      </w:pPr>
    </w:p>
    <w:p w14:paraId="100B4687">
      <w:pPr>
        <w:spacing w:line="360" w:lineRule="auto"/>
        <w:jc w:val="center"/>
        <w:rPr>
          <w:rFonts w:ascii="黑体" w:hAnsi="黑体" w:eastAsia="黑体" w:cs="黑体"/>
          <w:sz w:val="32"/>
          <w:szCs w:val="32"/>
        </w:rPr>
      </w:pPr>
    </w:p>
    <w:p w14:paraId="1B9D5062">
      <w:pPr>
        <w:spacing w:line="360" w:lineRule="auto"/>
        <w:jc w:val="center"/>
        <w:rPr>
          <w:rFonts w:ascii="黑体" w:hAnsi="黑体" w:eastAsia="黑体" w:cs="黑体"/>
          <w:sz w:val="32"/>
          <w:szCs w:val="32"/>
        </w:rPr>
      </w:pPr>
    </w:p>
    <w:p w14:paraId="7D2180F0">
      <w:pPr>
        <w:spacing w:line="360" w:lineRule="auto"/>
        <w:jc w:val="center"/>
        <w:rPr>
          <w:rFonts w:ascii="黑体" w:hAnsi="黑体" w:eastAsia="黑体" w:cs="黑体"/>
          <w:sz w:val="32"/>
          <w:szCs w:val="32"/>
        </w:rPr>
      </w:pPr>
    </w:p>
    <w:p w14:paraId="095C6004">
      <w:pPr>
        <w:spacing w:line="360" w:lineRule="auto"/>
        <w:jc w:val="center"/>
        <w:rPr>
          <w:rFonts w:ascii="黑体" w:hAnsi="黑体" w:eastAsia="黑体" w:cs="黑体"/>
          <w:sz w:val="32"/>
          <w:szCs w:val="32"/>
        </w:rPr>
      </w:pPr>
    </w:p>
    <w:p w14:paraId="37DC316D">
      <w:pPr>
        <w:spacing w:line="360" w:lineRule="auto"/>
        <w:jc w:val="center"/>
        <w:rPr>
          <w:rFonts w:ascii="黑体" w:hAnsi="黑体" w:eastAsia="黑体" w:cs="黑体"/>
          <w:sz w:val="32"/>
          <w:szCs w:val="32"/>
        </w:rPr>
      </w:pPr>
    </w:p>
    <w:p w14:paraId="1560F060">
      <w:pPr>
        <w:spacing w:line="360" w:lineRule="auto"/>
        <w:jc w:val="center"/>
        <w:rPr>
          <w:rFonts w:ascii="黑体" w:hAnsi="黑体" w:eastAsia="黑体" w:cs="黑体"/>
          <w:sz w:val="32"/>
          <w:szCs w:val="32"/>
        </w:rPr>
      </w:pPr>
    </w:p>
    <w:p w14:paraId="42F25B2E">
      <w:pPr>
        <w:spacing w:line="360" w:lineRule="auto"/>
        <w:jc w:val="center"/>
        <w:rPr>
          <w:rFonts w:ascii="黑体" w:hAnsi="黑体" w:eastAsia="黑体" w:cs="黑体"/>
          <w:sz w:val="32"/>
          <w:szCs w:val="32"/>
        </w:rPr>
      </w:pPr>
    </w:p>
    <w:p w14:paraId="66A0D86A">
      <w:pPr>
        <w:spacing w:line="360" w:lineRule="auto"/>
        <w:jc w:val="center"/>
        <w:rPr>
          <w:rFonts w:ascii="黑体" w:hAnsi="黑体" w:eastAsia="黑体" w:cs="黑体"/>
          <w:sz w:val="32"/>
          <w:szCs w:val="32"/>
        </w:rPr>
      </w:pPr>
    </w:p>
    <w:p w14:paraId="439B3924">
      <w:pPr>
        <w:spacing w:line="360" w:lineRule="auto"/>
        <w:jc w:val="center"/>
        <w:rPr>
          <w:rFonts w:ascii="黑体" w:hAnsi="黑体" w:eastAsia="黑体" w:cs="黑体"/>
          <w:sz w:val="32"/>
          <w:szCs w:val="32"/>
        </w:rPr>
      </w:pPr>
    </w:p>
    <w:p w14:paraId="34EC03BA">
      <w:pPr>
        <w:spacing w:line="360" w:lineRule="auto"/>
        <w:jc w:val="center"/>
        <w:rPr>
          <w:rFonts w:ascii="黑体" w:hAnsi="黑体" w:eastAsia="黑体" w:cs="黑体"/>
          <w:sz w:val="32"/>
          <w:szCs w:val="32"/>
        </w:rPr>
      </w:pPr>
    </w:p>
    <w:p w14:paraId="5D57D4C1">
      <w:pPr>
        <w:spacing w:line="360" w:lineRule="auto"/>
        <w:jc w:val="center"/>
        <w:rPr>
          <w:rFonts w:ascii="黑体" w:hAnsi="黑体" w:eastAsia="黑体" w:cs="黑体"/>
          <w:sz w:val="32"/>
          <w:szCs w:val="32"/>
        </w:rPr>
      </w:pPr>
    </w:p>
    <w:p w14:paraId="0D89D652">
      <w:pPr>
        <w:spacing w:line="360" w:lineRule="auto"/>
        <w:jc w:val="center"/>
        <w:rPr>
          <w:rFonts w:ascii="黑体" w:hAnsi="黑体" w:eastAsia="黑体" w:cs="黑体"/>
          <w:sz w:val="32"/>
          <w:szCs w:val="32"/>
        </w:rPr>
      </w:pPr>
    </w:p>
    <w:p w14:paraId="7BEFB1F8">
      <w:pPr>
        <w:spacing w:line="360" w:lineRule="auto"/>
        <w:jc w:val="center"/>
        <w:rPr>
          <w:rFonts w:ascii="黑体" w:hAnsi="黑体" w:eastAsia="黑体" w:cs="黑体"/>
          <w:sz w:val="32"/>
          <w:szCs w:val="32"/>
        </w:rPr>
      </w:pPr>
    </w:p>
    <w:p w14:paraId="358B816A">
      <w:pPr>
        <w:jc w:val="center"/>
        <w:outlineLvl w:val="0"/>
        <w:rPr>
          <w:rFonts w:hint="eastAsia" w:ascii="黑体" w:hAnsi="黑体" w:eastAsia="黑体" w:cs="Times New Roman"/>
          <w:bCs/>
          <w:sz w:val="32"/>
          <w:szCs w:val="32"/>
        </w:rPr>
      </w:pPr>
      <w:r>
        <w:rPr>
          <w:rFonts w:hint="eastAsia" w:ascii="黑体" w:hAnsi="黑体" w:eastAsia="黑体" w:cs="Times New Roman"/>
          <w:bCs/>
          <w:sz w:val="32"/>
          <w:szCs w:val="32"/>
        </w:rPr>
        <w:t>3  防渗系统工程材料</w:t>
      </w:r>
    </w:p>
    <w:p w14:paraId="43F07EF9">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rPr>
        <w:t>3.1一般规定</w:t>
      </w:r>
    </w:p>
    <w:p w14:paraId="7C43EA86">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3.1.1 本条明确了防渗系统工程中常用的材料名称。实践经验表明，细粒土含量高、砂砾土含量低的土料更容易满足填埋场防渗的性能要求。</w:t>
      </w:r>
    </w:p>
    <w:p w14:paraId="54890F3D">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3.1.2 本条明确了填埋场用土工合成材料的类别。</w:t>
      </w:r>
    </w:p>
    <w:p w14:paraId="291A7B0B">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rPr>
        <w:t>3.2 高密度聚乙烯土工膜</w:t>
      </w:r>
    </w:p>
    <w:p w14:paraId="77EF0D57">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3.2.1~3.2.3 规定了高密度聚乙烯土工膜应符合现行行业标准《垃圾填埋场用高密度聚乙烯土工膜》CJ/T 234 中关于高密度聚乙烯土工膜的外观要求、光面高密度聚乙烯土工膜和糙面高密度聚乙烯土工膜的性能指标要求</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随着土工膜生产工艺的不断发展</w:t>
      </w:r>
      <w:r>
        <w:rPr>
          <w:rFonts w:hint="eastAsia" w:ascii="Times New Roman" w:hAnsi="Times New Roman" w:eastAsia="宋体" w:cs="Times New Roman"/>
          <w:sz w:val="24"/>
          <w:lang w:eastAsia="zh-CN"/>
        </w:rPr>
        <w:t>，对</w:t>
      </w:r>
      <w:r>
        <w:rPr>
          <w:rFonts w:hint="eastAsia" w:ascii="Times New Roman" w:hAnsi="Times New Roman" w:eastAsia="宋体" w:cs="Times New Roman"/>
          <w:sz w:val="24"/>
        </w:rPr>
        <w:t>土工膜品质的要求</w:t>
      </w:r>
      <w:r>
        <w:rPr>
          <w:rFonts w:hint="eastAsia" w:ascii="Times New Roman" w:hAnsi="Times New Roman" w:eastAsia="宋体" w:cs="Times New Roman"/>
          <w:sz w:val="24"/>
          <w:lang w:eastAsia="zh-CN"/>
        </w:rPr>
        <w:t>不断</w:t>
      </w:r>
      <w:r>
        <w:rPr>
          <w:rFonts w:hint="eastAsia" w:ascii="Times New Roman" w:hAnsi="Times New Roman" w:eastAsia="宋体" w:cs="Times New Roman"/>
          <w:sz w:val="24"/>
        </w:rPr>
        <w:t>提升，</w:t>
      </w:r>
      <w:r>
        <w:rPr>
          <w:rFonts w:hint="eastAsia" w:ascii="Times New Roman" w:hAnsi="Times New Roman" w:eastAsia="宋体" w:cs="Times New Roman"/>
          <w:sz w:val="24"/>
          <w:lang w:eastAsia="zh-CN"/>
        </w:rPr>
        <w:t>建议</w:t>
      </w:r>
      <w:r>
        <w:rPr>
          <w:rFonts w:hint="eastAsia" w:ascii="Times New Roman" w:hAnsi="Times New Roman" w:eastAsia="宋体" w:cs="Times New Roman"/>
          <w:sz w:val="24"/>
        </w:rPr>
        <w:t>土工膜耐环境应力开裂应≥500h，糙面膜断裂伸长率应≥400%。</w:t>
      </w:r>
    </w:p>
    <w:p w14:paraId="28DFB339">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rPr>
        <w:t>3.3 膨润土防水毯（GCL）</w:t>
      </w:r>
    </w:p>
    <w:p w14:paraId="28EB6BD9">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3.3.1 本条对膨润土防水毯的性能指标提出了要求，垃圾填埋场防渗系统工程中的膨润土防水毯主要应用于高密度聚乙烯土工膜下作为防渗层或保护层。无论是天然钠基膨润土还是人工钠基膨润土均可应用于填埋场防渗系统工程，应以性能指标为考虑重点，不应以天然还是人工来区分。</w:t>
      </w:r>
    </w:p>
    <w:p w14:paraId="6A952B03">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3.3.2 粉末型的膨润土防水毯由于膨润土颗粒度小，空隙小，遇水膨胀后形成的防渗层渗透系数更低，性能更高。但是粉末型膨润土防水毯产量相对较少，价格也更高。</w:t>
      </w:r>
    </w:p>
    <w:p w14:paraId="77A0015B">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3.3.4 膨润土防水毯因为运输或施工不善等原因易造成缺土造成失效，应保证膨润土防水毯的平整度，并防止缺土。</w:t>
      </w:r>
    </w:p>
    <w:p w14:paraId="5060F625">
      <w:pPr>
        <w:spacing w:before="156" w:beforeLines="50" w:after="156" w:afterLines="50"/>
        <w:jc w:val="center"/>
        <w:outlineLvl w:val="1"/>
        <w:rPr>
          <w:rFonts w:cs="黑体" w:asciiTheme="minorEastAsia" w:hAnsiTheme="minorEastAsia"/>
          <w:b/>
          <w:sz w:val="24"/>
        </w:rPr>
      </w:pPr>
      <w:r>
        <w:rPr>
          <w:rFonts w:hint="eastAsia" w:asciiTheme="minorEastAsia" w:hAnsiTheme="minorEastAsia"/>
          <w:b/>
          <w:sz w:val="24"/>
        </w:rPr>
        <w:t>3.4 土工布和土工滤网</w:t>
      </w:r>
    </w:p>
    <w:p w14:paraId="32CFCD79">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3.4.1 应参照的有关土工布的现行国家标准主要包括：</w:t>
      </w:r>
    </w:p>
    <w:p w14:paraId="690A613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《土工合成材料短纤针刺非织造土工布》GB/T 17638</w:t>
      </w:r>
    </w:p>
    <w:p w14:paraId="4E41498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《土工合成材料长丝纺粘针刺非织造土工布》GB/T 17639</w:t>
      </w:r>
    </w:p>
    <w:p w14:paraId="39AEE79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《土工合成材料长丝机织土工布》GB/T 17640</w:t>
      </w:r>
    </w:p>
    <w:p w14:paraId="05F71EA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《土工合成材料裂膜丝机织土工布》GB/T 17641</w:t>
      </w:r>
    </w:p>
    <w:p w14:paraId="746029E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《土工合成材料非织造布复合土工膜》GB/T 17642</w:t>
      </w:r>
    </w:p>
    <w:p w14:paraId="2835AF4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《土工合成材料塑料扁丝编织土工布》GB/T 17690</w:t>
      </w:r>
    </w:p>
    <w:p w14:paraId="2E9247E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rPr>
      </w:pPr>
      <w:r>
        <w:rPr>
          <w:rFonts w:hint="eastAsia" w:ascii="Times New Roman" w:hAnsi="Times New Roman" w:eastAsia="宋体" w:cs="Times New Roman"/>
          <w:sz w:val="24"/>
        </w:rPr>
        <w:t>《土工合成材料机织/非织造复合土工布》GB/T 18887</w:t>
      </w:r>
    </w:p>
    <w:p w14:paraId="3CDE4915">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3.4.3 土工布作为反滤材料时，应充分考虑所其防淤堵性能。</w:t>
      </w:r>
    </w:p>
    <w:p w14:paraId="36A67961">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rPr>
        <w:t>3.5 土工排水网</w:t>
      </w:r>
    </w:p>
    <w:p w14:paraId="2B8B5468">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3.5.1~3.5.4 对土工复合排水网的性能提出了要求。土工复合排水网主要用于渗沥液收集导排系统、渗沥液检测系统、地下水收集导排系统。</w:t>
      </w:r>
    </w:p>
    <w:p w14:paraId="1B31EF47">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rPr>
        <w:t>3.6高密度聚乙烯管材</w:t>
      </w:r>
    </w:p>
    <w:p w14:paraId="65B533EF">
      <w:pPr>
        <w:widowControl/>
        <w:spacing w:line="360" w:lineRule="auto"/>
        <w:jc w:val="left"/>
        <w:outlineLvl w:val="2"/>
        <w:rPr>
          <w:rFonts w:hint="eastAsia" w:ascii="Times New Roman" w:hAnsi="Times New Roman" w:eastAsia="宋体" w:cs="Times New Roman"/>
          <w:sz w:val="24"/>
        </w:rPr>
      </w:pPr>
      <w:r>
        <w:rPr>
          <w:rFonts w:hint="eastAsia" w:ascii="Times New Roman" w:hAnsi="Times New Roman" w:eastAsia="宋体" w:cs="Times New Roman"/>
          <w:sz w:val="24"/>
        </w:rPr>
        <w:t>3.6.1~3.6.3 对高密度聚乙烯管材的性能提出了要求。高密度聚乙烯管材主要用于渗沥液收集导排系统和地下水收集导排系统。</w:t>
      </w:r>
    </w:p>
    <w:p w14:paraId="666B002D">
      <w:pPr>
        <w:spacing w:line="360" w:lineRule="auto"/>
        <w:jc w:val="left"/>
        <w:rPr>
          <w:rFonts w:hint="eastAsia" w:cs="黑体" w:asciiTheme="minorEastAsia" w:hAnsiTheme="minorEastAsia"/>
          <w:sz w:val="24"/>
        </w:rPr>
      </w:pPr>
    </w:p>
    <w:p w14:paraId="3483BE0B">
      <w:pPr>
        <w:rPr>
          <w:rFonts w:hint="eastAsia" w:cs="黑体" w:asciiTheme="minorEastAsia" w:hAnsiTheme="minorEastAsia"/>
          <w:sz w:val="24"/>
        </w:rPr>
      </w:pPr>
      <w:r>
        <w:rPr>
          <w:rFonts w:hint="eastAsia" w:cs="黑体" w:asciiTheme="minorEastAsia" w:hAnsiTheme="minorEastAsia"/>
          <w:sz w:val="24"/>
        </w:rPr>
        <w:br w:type="page"/>
      </w:r>
    </w:p>
    <w:p w14:paraId="374D1864">
      <w:pPr>
        <w:jc w:val="center"/>
        <w:outlineLvl w:val="0"/>
        <w:rPr>
          <w:rFonts w:hint="eastAsia" w:ascii="黑体" w:hAnsi="黑体" w:eastAsia="黑体" w:cs="Times New Roman"/>
          <w:bCs/>
          <w:sz w:val="32"/>
          <w:szCs w:val="32"/>
          <w:lang w:val="en-US" w:eastAsia="zh-CN"/>
        </w:rPr>
      </w:pPr>
      <w:r>
        <w:rPr>
          <w:rFonts w:hint="eastAsia" w:ascii="黑体" w:hAnsi="黑体" w:eastAsia="黑体" w:cs="Times New Roman"/>
          <w:bCs/>
          <w:sz w:val="32"/>
          <w:szCs w:val="32"/>
          <w:lang w:val="en-US" w:eastAsia="zh-CN"/>
        </w:rPr>
        <w:t>4  防渗系统工程设计</w:t>
      </w:r>
    </w:p>
    <w:p w14:paraId="79427B9F">
      <w:pPr>
        <w:spacing w:before="156" w:beforeLines="50" w:after="156" w:afterLines="50"/>
        <w:jc w:val="center"/>
        <w:outlineLvl w:val="1"/>
        <w:rPr>
          <w:rFonts w:hint="eastAsia" w:asciiTheme="minorEastAsia" w:hAnsiTheme="minorEastAsia"/>
          <w:b/>
          <w:sz w:val="24"/>
        </w:rPr>
      </w:pPr>
      <w:r>
        <w:rPr>
          <w:rFonts w:hint="eastAsia" w:asciiTheme="minorEastAsia" w:hAnsiTheme="minorEastAsia"/>
          <w:b/>
          <w:sz w:val="24"/>
          <w:lang w:val="en-US" w:eastAsia="zh-CN"/>
        </w:rPr>
        <w:t>4</w:t>
      </w:r>
      <w:r>
        <w:rPr>
          <w:rFonts w:hint="eastAsia" w:asciiTheme="minorEastAsia" w:hAnsiTheme="minorEastAsia"/>
          <w:b/>
          <w:sz w:val="24"/>
        </w:rPr>
        <w:t>.1 一般规定</w:t>
      </w:r>
    </w:p>
    <w:p w14:paraId="14D41054">
      <w:pPr>
        <w:widowControl/>
        <w:numPr>
          <w:ilvl w:val="0"/>
          <w:numId w:val="1"/>
        </w:numPr>
        <w:jc w:val="left"/>
        <w:outlineLvl w:val="2"/>
        <w:rPr>
          <w:rFonts w:ascii="Times New Roman" w:hAnsi="Times New Roman" w:eastAsia="宋体" w:cs="Times New Roman"/>
          <w:bCs/>
          <w:vanish/>
          <w:sz w:val="24"/>
          <w:szCs w:val="21"/>
        </w:rPr>
      </w:pPr>
    </w:p>
    <w:p w14:paraId="648CFF9B">
      <w:pPr>
        <w:widowControl/>
        <w:numPr>
          <w:ilvl w:val="1"/>
          <w:numId w:val="1"/>
        </w:numPr>
        <w:jc w:val="left"/>
        <w:outlineLvl w:val="2"/>
        <w:rPr>
          <w:rFonts w:ascii="Times New Roman" w:hAnsi="Times New Roman" w:eastAsia="宋体" w:cs="Times New Roman"/>
          <w:bCs/>
          <w:vanish/>
          <w:sz w:val="24"/>
          <w:szCs w:val="21"/>
        </w:rPr>
      </w:pPr>
    </w:p>
    <w:p w14:paraId="33D39CE1">
      <w:pPr>
        <w:widowControl/>
        <w:numPr>
          <w:ilvl w:val="1"/>
          <w:numId w:val="1"/>
        </w:numPr>
        <w:jc w:val="left"/>
        <w:outlineLvl w:val="2"/>
        <w:rPr>
          <w:rFonts w:ascii="Times New Roman" w:hAnsi="Times New Roman" w:eastAsia="宋体" w:cs="Times New Roman"/>
          <w:bCs/>
          <w:vanish/>
          <w:sz w:val="24"/>
          <w:szCs w:val="21"/>
        </w:rPr>
      </w:pPr>
    </w:p>
    <w:p w14:paraId="3B78358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4.1.1 在我国的一些垃圾填埋场建设和运行实践中发现，有些工程案例中，地下水会从底部和侧面渗入膜下保护层，并对防渗层产生影响和破坏。特别是对膨润土防水毯（GCL）防渗层影响甚大，甚至造成GCL鼓包，破坏防渗层。因此，在垃圾填埋场设计和施工中不仅要防止防渗系统上部的渗沥液渗出污染地下水，同时，也要防止地下水从防渗系统底部和外部破坏防渗系统。</w:t>
      </w:r>
    </w:p>
    <w:p w14:paraId="5D591B4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4.1.2 垃圾填埋场的占地面积通常较大，有较大的汇水面积，为了有效地减少渗沥液产生，以及便于操作管理，应对垃圾填埋场进行合理分区。防渗系统工程设计应根据垃圾填埋场总体分区要求进行。</w:t>
      </w:r>
    </w:p>
    <w:p w14:paraId="4B06C27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垃圾填埋场的使用期限通常较长，如果一次性建成全部垃圾填埋场防渗系统，防渗系统工程材料受到日光照射、冷热冻融等自然条件影响，材料的性能会逐渐降低甚至丧失。因此，防渗系统工程可分区进行设计，或应整体设计，宜分期实施。</w:t>
      </w:r>
    </w:p>
    <w:p w14:paraId="720746B7">
      <w:pPr>
        <w:widowControl/>
        <w:spacing w:line="360" w:lineRule="auto"/>
        <w:jc w:val="left"/>
        <w:outlineLvl w:val="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4.1.3 本条明确了</w:t>
      </w:r>
      <w:r>
        <w:rPr>
          <w:rFonts w:hint="eastAsia" w:ascii="Times New Roman" w:hAnsi="Times New Roman" w:eastAsia="宋体" w:cs="Times New Roman"/>
          <w:sz w:val="24"/>
        </w:rPr>
        <w:t>场地平整</w:t>
      </w:r>
      <w:r>
        <w:rPr>
          <w:rFonts w:hint="eastAsia" w:ascii="Times New Roman" w:hAnsi="Times New Roman" w:eastAsia="宋体" w:cs="Times New Roman"/>
          <w:sz w:val="24"/>
          <w:lang w:val="en-US" w:eastAsia="zh-CN"/>
        </w:rPr>
        <w:t>的要求。</w:t>
      </w:r>
    </w:p>
    <w:p w14:paraId="07C1349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4.1.4 垃圾填埋场在使用期间和垃圾填满封场后，由于降雨、垃圾自身含水及其他因素，会产生垃圾渗沥液和填埋气体。填埋垃圾达到稳定化需要一个较长的时期，在稳定期限内仍有垃圾渗沥液和填埋气体产生，防渗系统都应有效的发挥其功能。</w:t>
      </w:r>
    </w:p>
    <w:p w14:paraId="1FFF195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由于我国的卫生填埋场建设起步相对较晚，目前封场后稳定化的卫生填埋场相对较少。参考国外卫生填埋场运营经验，卫生填埋场的稳定期限通常为封场后的20年～30年。</w:t>
      </w:r>
    </w:p>
    <w:p w14:paraId="1B76145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4.1.5 垃圾填埋场场底的坡度对及时导排渗沥液有重要意义。在美国等国家将防渗层上的渗沥液水头作为垃圾填埋场设计的基本要求。考虑到由于产品质量和施工质量等因素，绝对不渗漏的垃圾填埋场是很难实现的，而控制膜上渗沥液水头有助于显著减少渗沥液的渗漏，对于防渗工程有重要意义。如美国要求防渗层的最大渗沥液水头不得超过1英尺（约0.3m）。</w:t>
      </w:r>
    </w:p>
    <w:p w14:paraId="73C00AC6">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4.1.6 为充分利用填埋库容，垃圾填埋场堆填垃圾的高度通常尽可能高，从而对场底形成较大强度的荷载，应保证垃圾填埋场基础具有足够的承载能力，在垃圾堆填后产生的不均匀沉降在可控范围内，不至于造成防渗系统破坏。在进行防渗系统工程设计之前，应进行防渗系统工程的稳定性计算。材料层之间摩擦力不足时，会造成填埋堆体整体位移或垮塌，应在设计之初予以充分考虑。</w:t>
      </w:r>
    </w:p>
    <w:p w14:paraId="7E2755E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4.1.7 防渗系统工程涉及大面积的土石方工程，不仅要保证垃圾填埋场基础整体结构稳定，还应保证垃圾填埋场不会出现滑坡、垮塌、倾覆等影响局部稳定性的情况。</w:t>
      </w:r>
    </w:p>
    <w:p w14:paraId="52AF93E3">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4.2 防渗系统</w:t>
      </w:r>
    </w:p>
    <w:p w14:paraId="3BFFC05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4.2.1 本条规定了防渗系统工程设计的基本要求。</w:t>
      </w:r>
    </w:p>
    <w:p w14:paraId="2DE79E46">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人工合成的防渗材料渗透系数小，防渗性能好，垃圾渗沥液渗透量很小。但是一旦破损，会造成渗漏量的显著增加，因此防渗材料上、下保护层的设置都非常重要。</w:t>
      </w:r>
    </w:p>
    <w:p w14:paraId="56FD0274">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渗沥液收集导排系统是防渗系统的重要组成部分。渗沥液积累在土工膜上，会加快渗沥液的渗漏，因此应及时导排。渗沥液收集导排系统设计中应考虑物理作用、化学作用、生物作用等因素，使系统具有长期的导排性能。</w:t>
      </w:r>
    </w:p>
    <w:p w14:paraId="7C8E4A28">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 在垃圾填埋场场区地下水水位较高的情况下，应设计地下水收集导排系统，防止地下水对防渗系统造成不利影响和破坏。在垃圾填埋场场区地下水水位较低，但是地表水下渗较快，会从侧面影响边坡防渗材料层时，也应该设计地下水收集导排系统。当没有地下水对防渗系统产生危害时，可不设置地下水收集导排系统。</w:t>
      </w:r>
    </w:p>
    <w:p w14:paraId="0FDE149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4.2.2 防渗系统结构可分为单层防渗系统结构和双层防渗系统结构。单层防渗系统基本结构应包括渗沥液收集导排系统、防渗层及上下保护层和基础层。双层防渗系统基本结构应包括渗沥液导排系统、主防渗层及上下保护层、渗沥液检测层、次防渗层及上下保护层和基础层。应根据需要设置地下水导排系统和反滤层。当地下水埋深长期较深时，可不设地下水导排系统。反滤层主要是防止土料透过滤料，以免造成排水层堵塞。</w:t>
      </w:r>
    </w:p>
    <w:p w14:paraId="22D7730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4.2.3 本条与《生活垃圾卫生填埋处理技术规范》GB50869-2013内容相协调。填埋场防渗结构选择应综合考虑填埋场的地形情况、地层土壤结构、地下水埋深、地下水流向、地表雨水渗透情况、周边环境敏感点分布等工程地质条件和水文地质条件。</w:t>
      </w:r>
    </w:p>
    <w:p w14:paraId="00DADDAB">
      <w:pPr>
        <w:widowControl/>
        <w:spacing w:line="360" w:lineRule="auto"/>
        <w:jc w:val="left"/>
        <w:outlineLvl w:val="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4.2.4 本条是黏土衬里结构的规定。通过合理选址，选择天然条件好的场址，对于节省工程投资是非常有利的。本条规定了填埋场防渗的最基本要求，这也是国际上通用的标准，也是我国长期以来执行的标准。当天然条件不满足时，采取措施达到等效防渗性能也是可行的。一般的，天然条件不满足主要是由于渗透系数达不到要求。可通过添加膨润土并压实来降低渗透系数，提高防渗性能。</w:t>
      </w:r>
    </w:p>
    <w:p w14:paraId="47247C2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4.2.5本条对人工合成衬里结构作出了基本规定，旨在强调黏土防渗层的重要性。我国近二十年来的填埋场防渗工程建设表明，采用“HDPE土工膜单层防渗”或“HDPE土工膜+GCL复合防渗”时，由于防渗层太薄，容易遭到机械外力的破坏，造成防渗层破损，影响防渗效果。故欧美等国均十分重视黏土层的重要意义。如美国要求最基本的防渗层是“1.5mmHDPE土工膜+60mm厚压实黏土”；欧盟的基本防渗层时“1.5mmHDPE土工膜+1m厚压实黏土”，且要求当采用GCL时，防渗层厚度不小于0.5m。</w:t>
      </w:r>
    </w:p>
    <w:p w14:paraId="56400C9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研究表明，HDPE土工膜必须与压实黏土紧密衔接，中间严禁加入土工布，以免加大渗滤液扩散速度。</w:t>
      </w:r>
    </w:p>
    <w:p w14:paraId="22A4126B">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4.2.6在地下水贫乏的地区，渗滤液渗漏造成的环境污染和对人体的危害风险相对较低。本条为地下水贫困地区，提供了防渗性能相对较弱的解决方案，旨在为这些地方提供相对低成本的解决方案，并为填埋场的业主和设计人员提供一定的选择空间。</w:t>
      </w:r>
    </w:p>
    <w:p w14:paraId="37818F4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4.2.7 对特殊地质及环境要求较高的地区，要求采用双层防渗结构，以降低环境污染风险。</w:t>
      </w:r>
    </w:p>
    <w:p w14:paraId="48748E09">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特殊地质及环境要求较高的地区主要包括：</w:t>
      </w:r>
    </w:p>
    <w:p w14:paraId="1652478E">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（1）国土开发密度较高、环境承载力减弱，或环境容量较小、生态环境脆弱等需要采取特别保护的地区；</w:t>
      </w:r>
    </w:p>
    <w:p w14:paraId="69880604">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（2）填埋库容量超过1000万立方米或使用年限超过30年的填埋场；</w:t>
      </w:r>
    </w:p>
    <w:p w14:paraId="74D6DEA8">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（3）基础天然土层渗透系数大于10</w:t>
      </w:r>
      <w:r>
        <w:rPr>
          <w:rFonts w:hint="eastAsia" w:ascii="Times New Roman" w:hAnsi="Times New Roman" w:eastAsia="宋体" w:cs="Times New Roman"/>
          <w:sz w:val="24"/>
          <w:vertAlign w:val="superscript"/>
          <w:lang w:val="en-US" w:eastAsia="zh-CN"/>
        </w:rPr>
        <w:t>-5</w:t>
      </w:r>
      <w:r>
        <w:rPr>
          <w:rFonts w:hint="eastAsia" w:ascii="Times New Roman" w:hAnsi="Times New Roman" w:eastAsia="宋体" w:cs="Times New Roman"/>
          <w:sz w:val="24"/>
          <w:lang w:val="en-US" w:eastAsia="zh-CN"/>
        </w:rPr>
        <w:t>cm/s，且厚度较小、地下水位较高的场址；</w:t>
      </w:r>
    </w:p>
    <w:p w14:paraId="6993407E">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（4）混合型填埋场的专用独立库区；</w:t>
      </w:r>
    </w:p>
    <w:p w14:paraId="6B07F855">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（5）生活垃圾焚烧厂飞灰填埋场或飞灰炉渣混合填埋场；</w:t>
      </w:r>
    </w:p>
    <w:p w14:paraId="2EC88803">
      <w:pPr>
        <w:widowControl/>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（6）填埋场的柔性渗滤液调节池。</w:t>
      </w:r>
    </w:p>
    <w:p w14:paraId="6E1AD6B7">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 xml:space="preserve"> 4.3 基础层</w:t>
      </w:r>
    </w:p>
    <w:p w14:paraId="669858CC">
      <w:pPr>
        <w:widowControl/>
        <w:numPr>
          <w:ilvl w:val="0"/>
          <w:numId w:val="0"/>
        </w:numPr>
        <w:ind w:left="284" w:leftChars="0"/>
        <w:jc w:val="left"/>
        <w:outlineLvl w:val="2"/>
        <w:rPr>
          <w:rFonts w:ascii="Times New Roman" w:hAnsi="Times New Roman" w:eastAsia="宋体" w:cs="Times New Roman"/>
          <w:bCs/>
          <w:vanish/>
          <w:sz w:val="24"/>
          <w:szCs w:val="21"/>
        </w:rPr>
      </w:pPr>
    </w:p>
    <w:p w14:paraId="4762FC0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4.3.1本条对填埋场基础层的稳定性和承载力提出了要求。不仅要考虑防渗系统自身的稳定，还应考虑在垃圾堆体的荷载的情况下，地基是否具有足够的承载力。相关计算方法可参考《生活垃圾卫生填埋场岩土工程技术规范》CJJ176。</w:t>
      </w:r>
    </w:p>
    <w:p w14:paraId="162343E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4.3.2 本条要求场底基础层应设置纵、横坡度以利于导排垃圾渗沥液。</w:t>
      </w:r>
    </w:p>
    <w:p w14:paraId="623FD97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4.3.3 本条要求应在考虑垃圾堆体荷载对防渗系统的作用下，进行地基承载力计算及最大堆高验算，应防止地基不均匀沉降造成防渗系统破坏。</w:t>
      </w:r>
    </w:p>
    <w:p w14:paraId="13F022D6">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4.3.4 本条对填埋场边坡设计和边坡稳定性提出了要求。应按照现行国家标准《建筑地基基础设计规范》GB50007和《生活垃圾卫生填埋场岩土工程技术规范》GB50689的规定。</w:t>
      </w:r>
    </w:p>
    <w:p w14:paraId="017E61AD">
      <w:pPr>
        <w:widowControl/>
        <w:spacing w:line="360" w:lineRule="auto"/>
        <w:ind w:firstLine="480" w:firstLineChars="200"/>
        <w:jc w:val="left"/>
        <w:rPr>
          <w:rFonts w:hint="eastAsia" w:ascii="Times New Roman" w:hAnsi="Times New Roman" w:eastAsia="宋体" w:cs="Times New Roman"/>
          <w:sz w:val="24"/>
          <w:lang w:val="zh-CN" w:eastAsia="zh-CN"/>
        </w:rPr>
      </w:pPr>
      <w:r>
        <w:rPr>
          <w:rFonts w:hint="eastAsia" w:ascii="Times New Roman" w:hAnsi="Times New Roman" w:eastAsia="宋体" w:cs="Times New Roman"/>
          <w:sz w:val="24"/>
          <w:lang w:val="zh-CN" w:eastAsia="zh-CN"/>
        </w:rPr>
        <w:t>根据实践经验，当边坡缓于1:2时其稳定性通常较好，但在地质情况不佳时，应做出稳定性分析；当边坡坡度陡于1:2，其稳定可靠性通常较差，也宜根据实际需求做出稳定性分析。</w:t>
      </w:r>
    </w:p>
    <w:p w14:paraId="32E68F2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4.3.5 本条要求稳定性计算，应对填埋场设计和施工、运行期间及封场后的本条所列边坡类型进行稳定验算。</w:t>
      </w:r>
    </w:p>
    <w:p w14:paraId="6112545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4.3.6 本条对在填埋场场底开挖设置的地下水导排盲沟的情况做出了要求。</w:t>
      </w:r>
    </w:p>
    <w:p w14:paraId="0D086899">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4.4 防渗层</w:t>
      </w:r>
    </w:p>
    <w:p w14:paraId="5BD57E1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4.4.1 防渗层设计应对防渗系统工程材料的物理性质、化学性质以及抗老化性质加以要求，并且保证防渗层在防渗区域覆盖完整。垃圾填埋场场底和边坡可采用不同的防渗结构和防渗形式。</w:t>
      </w:r>
    </w:p>
    <w:p w14:paraId="3BB276D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4.4.2 本条对黏土防渗层的防渗指标提出了要求。</w:t>
      </w:r>
    </w:p>
    <w:p w14:paraId="655D3BE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4.4.3 高密度聚乙烯（HDPE）土工膜是世界通用的垃圾填埋场防渗材料，具有施工方便，节省库容，防渗性能好等优点，但是容易破损，应在上下设置保护层，通常膜上采用非织造土工布作为保护材料，膜下采用压实黏土等材料加以保护。</w:t>
      </w:r>
    </w:p>
    <w:p w14:paraId="6894108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膨润土防水毯（GCL）作为一种土工合成材料，施工较压实土壤容易，且节省填埋库容，由于具有遇水膨胀的特性和一定的防水性能，在HDPE土工膜破损后，也能起到辅助的防渗作用。由于GCL属于片状材料，其下应有压实土壤作为保护层，该种防渗结构很有应用前景。</w:t>
      </w:r>
    </w:p>
    <w:p w14:paraId="3F4D490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HDPE土工膜和压实土壤复合防渗能充分发挥HDPE土工膜和压实土壤的优点，在HDPE土工膜破损时，仍能有效地阻止渗漏，国内外已广泛采用。参考欧盟的标准，当地质屏障的自然条件不能满足防渗要求时，可以采用人工改造和增强地质屏障来形成同等保护，人工建设的地质屏障厚度不得低于0.5m。</w:t>
      </w:r>
    </w:p>
    <w:p w14:paraId="6766C72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标准不限制新的防渗技术和防渗材料的应用，新技术的应用应慎重，在得到有效证明后，方可应用到实际工程中。本标准提出的垃圾填埋场防渗层设计的典型防渗型式，并不涵盖所有防渗形式，实际工程设计中可参照本吧标准防渗形式予以改进。</w:t>
      </w:r>
    </w:p>
    <w:p w14:paraId="1281766A">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4.4.4 本条对膜上保护层做出了要求。</w:t>
      </w:r>
    </w:p>
    <w:p w14:paraId="432D179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4.4.5 本条与4.2.6条相呼应，对地下水贫乏地区的防渗层可采用相对简化的防渗结构，但是下保护层仍应具有相对较低的渗透系数。</w:t>
      </w:r>
    </w:p>
    <w:p w14:paraId="5AD5128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4.4.6 本条要求强调了</w:t>
      </w:r>
      <w:r>
        <w:rPr>
          <w:rFonts w:hint="eastAsia" w:ascii="Times New Roman" w:hAnsi="Times New Roman" w:eastAsia="宋体" w:cs="Times New Roman"/>
          <w:bCs/>
          <w:sz w:val="24"/>
          <w:szCs w:val="21"/>
        </w:rPr>
        <w:t>垃圾填埋场使用期限和封场后的稳定期限内有效发挥其防渗和防污功能</w:t>
      </w:r>
      <w:r>
        <w:rPr>
          <w:rFonts w:hint="eastAsia" w:ascii="Times New Roman" w:hAnsi="Times New Roman" w:eastAsia="宋体" w:cs="Times New Roman"/>
          <w:sz w:val="24"/>
          <w:lang w:val="en-US" w:eastAsia="zh-CN"/>
        </w:rPr>
        <w:t>。</w:t>
      </w:r>
    </w:p>
    <w:p w14:paraId="5574F5D8">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4.4.7 本条对双层防渗结构及其保护层做出了要求。</w:t>
      </w:r>
    </w:p>
    <w:p w14:paraId="6741B854">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4.5 渗沥液收集导排系统</w:t>
      </w:r>
    </w:p>
    <w:p w14:paraId="4BEA069B">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4.5.1 本条明确了渗沥液收集导排系统的内容。渗沥液排出系统包括穿坝管、泵井、集液井等；并应进行沉降验算，满足渗沥液长期导排坡度要求。</w:t>
      </w:r>
    </w:p>
    <w:p w14:paraId="0D368B77">
      <w:pPr>
        <w:widowControl/>
        <w:spacing w:line="360" w:lineRule="auto"/>
        <w:jc w:val="left"/>
        <w:outlineLvl w:val="2"/>
        <w:rPr>
          <w:rFonts w:hint="eastAsia" w:ascii="Times New Roman" w:hAnsi="Times New Roman" w:eastAsia="宋体" w:cs="Times New Roman"/>
          <w:sz w:val="24"/>
          <w:lang w:val="zh-CN" w:eastAsia="zh-CN"/>
        </w:rPr>
      </w:pPr>
      <w:r>
        <w:rPr>
          <w:rFonts w:hint="eastAsia" w:ascii="Times New Roman" w:hAnsi="Times New Roman" w:eastAsia="宋体" w:cs="Times New Roman"/>
          <w:sz w:val="24"/>
          <w:lang w:val="en-US" w:eastAsia="zh-CN"/>
        </w:rPr>
        <w:t>4.5.2 本条明确了渗沥液导排的及时性，系统使用的</w:t>
      </w:r>
      <w:r>
        <w:rPr>
          <w:rFonts w:hint="eastAsia" w:ascii="Times New Roman" w:hAnsi="Times New Roman" w:eastAsia="宋体" w:cs="Times New Roman"/>
          <w:sz w:val="24"/>
          <w:lang w:val="zh-CN" w:eastAsia="zh-CN"/>
        </w:rPr>
        <w:t>长期可靠性。经验证明，垃圾填埋场场底纵、横坡度大于2％时，能够较好地实现渗沥液导排；但是另一方面，实践工程经验也表明，在一些利用天然沟壑或平原地区建设垃圾填埋场时，纵向坡度和横向坡度同时大于2％的条件难以满足，会造成大量不必要的挖方和填方。因此，防渗系统工程设计中场底的纵、横坡度不宜小于2％，各地可因地制宜，但必须保证渗沥液能够顺利导排，防止防渗层上渗沥液蓄积，降低防渗层上的渗沥液水头。</w:t>
      </w:r>
    </w:p>
    <w:p w14:paraId="5D70C28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4.5.3 渗沥液收集导排系统上部需要承载多种压力和荷载，为使系统能够长久有效地发挥作用，故本条强调了系统内设施的强度要求。</w:t>
      </w:r>
    </w:p>
    <w:p w14:paraId="5627CA4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4.5.4 若采用卵石或碎石等材料时，其粒径宜分布在20~60mm范围内。由于垃圾渗沥液含有腐殖酸，通常呈酸性，故不得选用易被渗沥液腐蚀的石料。土工复合排水网可以应用于垃圾填埋场底部和边坡的渗沥液收集系统，使用在垃圾填埋场的边坡上优势更为明显。</w:t>
      </w:r>
    </w:p>
    <w:p w14:paraId="5BC75BB7">
      <w:pPr>
        <w:widowControl/>
        <w:spacing w:line="360" w:lineRule="auto"/>
        <w:jc w:val="left"/>
        <w:outlineLvl w:val="2"/>
        <w:rPr>
          <w:rFonts w:hint="eastAsia" w:ascii="Times New Roman" w:hAnsi="Times New Roman" w:eastAsia="宋体" w:cs="Times New Roman"/>
          <w:sz w:val="24"/>
          <w:lang w:val="zh-CN" w:eastAsia="zh-CN"/>
        </w:rPr>
      </w:pPr>
      <w:r>
        <w:rPr>
          <w:rFonts w:hint="eastAsia" w:ascii="Times New Roman" w:hAnsi="Times New Roman" w:eastAsia="宋体" w:cs="Times New Roman"/>
          <w:sz w:val="24"/>
          <w:lang w:val="en-US" w:eastAsia="zh-CN"/>
        </w:rPr>
        <w:t>4.5.5 本条明确了盲沟内管材</w:t>
      </w:r>
      <w:r>
        <w:rPr>
          <w:rFonts w:hint="eastAsia" w:ascii="Times New Roman" w:hAnsi="Times New Roman" w:eastAsia="宋体" w:cs="Times New Roman"/>
          <w:sz w:val="24"/>
          <w:lang w:val="zh-CN" w:eastAsia="zh-CN"/>
        </w:rPr>
        <w:t>宜采用高密度聚乙烯穿孔管，</w:t>
      </w:r>
      <w:r>
        <w:rPr>
          <w:rFonts w:hint="eastAsia" w:ascii="Times New Roman" w:hAnsi="Times New Roman" w:eastAsia="宋体" w:cs="Times New Roman"/>
          <w:sz w:val="24"/>
          <w:lang w:val="en-US" w:eastAsia="zh-CN"/>
        </w:rPr>
        <w:t>并提出了其他设置要求。</w:t>
      </w:r>
    </w:p>
    <w:p w14:paraId="3B606E0C">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4.5.6 本条明确了防渗系统设计应考虑防淤堵的因素。反滤材料要求具有相当的孔隙和垂直渗透系数，宜采用土工布作为反滤材料，具体要求可参照现行国家标准《土工合成材料应用技术规范》GB50290执行。</w:t>
      </w:r>
    </w:p>
    <w:p w14:paraId="0AA94E5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4.5.7 渗沥液排出管需要穿过土工膜时，应采取有效的强化密封措施，确保管道和土工膜紧密结合，防止穿膜处破损，产生渗沥液渗漏。穿膜管道应使用高密度聚乙烯（HDPE）管材。设计和施工中应为穿膜处的非破坏性质量控制测试留出空间。</w:t>
      </w:r>
    </w:p>
    <w:p w14:paraId="52D59D1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4.5.8 渗沥液泵井的设计应注意以下要求：</w:t>
      </w:r>
    </w:p>
    <w:p w14:paraId="060395D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渗沥液具有腐蚀性，应采取措施保护泵井。</w:t>
      </w:r>
    </w:p>
    <w:p w14:paraId="37BCAAE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泵井容积过小，会导致泵井经常被抽干，泵频繁启动和停止，增加泵出现故障的概率。</w:t>
      </w:r>
    </w:p>
    <w:p w14:paraId="3D40F8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 泵用于将渗沥液从泵井排出，其规格应该能保证在渗沥液最大产生率时能够及时将渗沥液排出。泵应该具有足够的扬程，保证能将渗沥液提升到足够的高度，从出口排出。泵井宜设计为具有液位控制功能，且应配备备用泵。泵井应安装故障警示装置。</w:t>
      </w:r>
    </w:p>
    <w:p w14:paraId="4BA84A3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 泵井内易聚集沼气，产生安全隐患，应采取必要的安全措施。</w:t>
      </w:r>
    </w:p>
    <w:p w14:paraId="0D766B6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4.5.9 本条明确了填埋场场底应根据填埋分区设置排水单元，以及排水单元中的渗沥液导排盲沟的设置要求。</w:t>
      </w:r>
    </w:p>
    <w:p w14:paraId="2122B2C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4.5.10 双层防渗层的两层防渗层之间宜留有一定厚度，以免被同时破坏。故场底两层防渗层之间的厚度宜大于300mm。由于边坡上采用碎石层施工比较困难，一般采用复合土工排水网，故要求不应小于5mm。</w:t>
      </w:r>
    </w:p>
    <w:p w14:paraId="0E3330A9">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4.6 地下水收集导排系统</w:t>
      </w:r>
    </w:p>
    <w:p w14:paraId="7D403B0E">
      <w:pPr>
        <w:widowControl/>
        <w:numPr>
          <w:ilvl w:val="1"/>
          <w:numId w:val="3"/>
        </w:numPr>
        <w:jc w:val="left"/>
        <w:outlineLvl w:val="2"/>
        <w:rPr>
          <w:rFonts w:ascii="Times New Roman" w:hAnsi="Times New Roman" w:eastAsia="宋体" w:cs="Times New Roman"/>
          <w:bCs/>
          <w:vanish/>
          <w:sz w:val="24"/>
          <w:szCs w:val="21"/>
        </w:rPr>
      </w:pPr>
    </w:p>
    <w:p w14:paraId="08CE020A">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4.6.1 本条明确了地下水收集导排系统的设置条件。在地下水水位较低、降雨少的地区，地下水对防渗系统不造成危害时，可不设地下水收集导排系统。</w:t>
      </w:r>
    </w:p>
    <w:p w14:paraId="206BF14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4.6.2 地下水收集导排系统应防止地下水水位过高，以免对填埋场防渗系统形成浮力，以至于破坏防渗系统，并防止地下水侵入填埋场。</w:t>
      </w:r>
    </w:p>
    <w:p w14:paraId="5401999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4.6.3 本条明确了地下水导排系统的设置形式，以及地下水收集导排系统应具有长期的导排性能。一般而言，采用导排层的效果要优于导排盲沟，但是施工量大造价高，故应根据水文地质条件合理选用导排形式。</w:t>
      </w:r>
    </w:p>
    <w:p w14:paraId="1C52CA4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4.6.4 本条明确了导排盲沟的设计要求。</w:t>
      </w:r>
    </w:p>
    <w:p w14:paraId="177ACF9B">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4.6.5 本条明确了导排层的设计要求。</w:t>
      </w:r>
    </w:p>
    <w:p w14:paraId="1DA3D8BB">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4.7 渗沥液调节池防渗</w:t>
      </w:r>
    </w:p>
    <w:p w14:paraId="0F4D30D4">
      <w:pPr>
        <w:widowControl/>
        <w:numPr>
          <w:ilvl w:val="1"/>
          <w:numId w:val="3"/>
        </w:numPr>
        <w:jc w:val="left"/>
        <w:outlineLvl w:val="2"/>
        <w:rPr>
          <w:rFonts w:ascii="Times New Roman" w:hAnsi="Times New Roman" w:eastAsia="宋体" w:cs="Times New Roman"/>
          <w:bCs/>
          <w:vanish/>
          <w:sz w:val="24"/>
          <w:szCs w:val="21"/>
        </w:rPr>
      </w:pPr>
    </w:p>
    <w:p w14:paraId="1547CCD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4.7.1 我国大多数渗沥液调节池为柔性调节池，但也有一些填埋场采用了刚性调节池。</w:t>
      </w:r>
    </w:p>
    <w:p w14:paraId="46F23C9B">
      <w:pPr>
        <w:widowControl/>
        <w:spacing w:line="360" w:lineRule="auto"/>
        <w:jc w:val="left"/>
        <w:outlineLvl w:val="2"/>
        <w:rPr>
          <w:rFonts w:hint="eastAsia" w:ascii="Times New Roman" w:hAnsi="Times New Roman" w:eastAsia="宋体" w:cs="Times New Roman"/>
          <w:sz w:val="24"/>
          <w:lang w:val="zh-CN" w:eastAsia="zh-CN"/>
        </w:rPr>
      </w:pPr>
      <w:r>
        <w:rPr>
          <w:rFonts w:hint="eastAsia" w:ascii="Times New Roman" w:hAnsi="Times New Roman" w:eastAsia="宋体" w:cs="Times New Roman"/>
          <w:sz w:val="24"/>
          <w:lang w:val="en-US" w:eastAsia="zh-CN"/>
        </w:rPr>
        <w:t>4.7.2 本条明确了调节池防渗设计应符合的规定，并提出</w:t>
      </w:r>
      <w:r>
        <w:rPr>
          <w:rFonts w:hint="eastAsia" w:ascii="Times New Roman" w:hAnsi="Times New Roman" w:eastAsia="宋体" w:cs="Times New Roman"/>
          <w:sz w:val="24"/>
          <w:lang w:val="zh-CN" w:eastAsia="zh-CN"/>
        </w:rPr>
        <w:t>调节池设置覆盖系统</w:t>
      </w:r>
      <w:r>
        <w:rPr>
          <w:rFonts w:hint="eastAsia" w:ascii="Times New Roman" w:hAnsi="Times New Roman" w:eastAsia="宋体" w:cs="Times New Roman"/>
          <w:sz w:val="24"/>
          <w:lang w:val="en-US" w:eastAsia="zh-CN"/>
        </w:rPr>
        <w:t>的要求</w:t>
      </w:r>
      <w:r>
        <w:rPr>
          <w:rFonts w:hint="eastAsia" w:ascii="Times New Roman" w:hAnsi="Times New Roman" w:eastAsia="宋体" w:cs="Times New Roman"/>
          <w:sz w:val="24"/>
          <w:lang w:val="zh-CN" w:eastAsia="zh-CN"/>
        </w:rPr>
        <w:t>。</w:t>
      </w:r>
    </w:p>
    <w:p w14:paraId="184BF88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4.7.3 柔性调节池主要依靠防渗层进行防渗，一旦防渗层破坏，渗滤液渗漏量会较大，具有较大的环境污染风险，故要求进行双层防渗。本条还明确了刚性渗沥液调节池的抗渗及防腐要求。</w:t>
      </w:r>
    </w:p>
    <w:p w14:paraId="137D663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4.7.4 我国一些渗沥液调节池没有分区。使用多年后，会发现难以清淤。故在一些新建填埋项目的渗沥液调节池设计中采用分区设计，为今后清淤提供了条件。</w:t>
      </w:r>
    </w:p>
    <w:p w14:paraId="7271D209">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14:paraId="2680740C">
      <w:pPr>
        <w:jc w:val="center"/>
        <w:outlineLvl w:val="0"/>
        <w:rPr>
          <w:rFonts w:hint="eastAsia" w:ascii="黑体" w:hAnsi="黑体" w:eastAsia="黑体" w:cs="Times New Roman"/>
          <w:bCs/>
          <w:sz w:val="32"/>
          <w:szCs w:val="32"/>
          <w:lang w:val="en-US" w:eastAsia="zh-CN"/>
        </w:rPr>
      </w:pPr>
      <w:r>
        <w:rPr>
          <w:rFonts w:hint="eastAsia" w:ascii="黑体" w:hAnsi="黑体" w:eastAsia="黑体" w:cs="Times New Roman"/>
          <w:bCs/>
          <w:sz w:val="32"/>
          <w:szCs w:val="32"/>
          <w:lang w:val="en-US" w:eastAsia="zh-CN"/>
        </w:rPr>
        <w:t>5  防渗系统工程施工</w:t>
      </w:r>
    </w:p>
    <w:p w14:paraId="07892ECE">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5.1 一般规定</w:t>
      </w:r>
    </w:p>
    <w:p w14:paraId="2D57F236">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5.1.1 传统的防渗工程主要是压实黏土层的施工，但是目前国际上和我国主流的防渗系统施工包含各种土工合成材料的施工。</w:t>
      </w:r>
    </w:p>
    <w:p w14:paraId="5D596FC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5.1.2 本条明确了各种防渗材料进场时，进行检验的一般规定。</w:t>
      </w:r>
    </w:p>
    <w:p w14:paraId="099355CC">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5.1.3 本条明确了各种防渗材料进场时，抽样检查的一般规定。</w:t>
      </w:r>
    </w:p>
    <w:p w14:paraId="1583BAD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5.1.4 本条明确了各种防渗材料和施工工具的贮存的一般规定。</w:t>
      </w:r>
    </w:p>
    <w:p w14:paraId="56F9B2F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5.1.5 本条规定了各种防渗材料的施工现场保护要求。</w:t>
      </w:r>
    </w:p>
    <w:p w14:paraId="47EE612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5.1.6 填埋场各单项工程施工完成后若不予以保护，有可能在进行下一项工程施工前或实施过程中被破坏，造成防渗系统缺陷，因此应予以保护。</w:t>
      </w:r>
    </w:p>
    <w:p w14:paraId="7CC36D5B">
      <w:pPr>
        <w:widowControl/>
        <w:spacing w:line="360" w:lineRule="auto"/>
        <w:jc w:val="left"/>
        <w:outlineLvl w:val="2"/>
        <w:rPr>
          <w:rFonts w:hint="eastAsia" w:ascii="Times New Roman" w:hAnsi="Times New Roman" w:eastAsia="宋体" w:cs="Times New Roman"/>
          <w:sz w:val="24"/>
          <w:szCs w:val="21"/>
          <w:lang w:val="en-US" w:eastAsia="zh-CN"/>
        </w:rPr>
      </w:pPr>
      <w:r>
        <w:rPr>
          <w:rFonts w:hint="eastAsia" w:ascii="Times New Roman" w:hAnsi="Times New Roman" w:eastAsia="宋体" w:cs="Times New Roman"/>
          <w:sz w:val="24"/>
          <w:lang w:val="en-US" w:eastAsia="zh-CN"/>
        </w:rPr>
        <w:t>5.1.7 防渗系统工程完成后的总体防渗性能应予以检测并得到确认</w:t>
      </w:r>
      <w:r>
        <w:rPr>
          <w:rFonts w:hint="eastAsia" w:ascii="Times New Roman" w:hAnsi="Times New Roman" w:eastAsia="宋体" w:cs="Times New Roman"/>
          <w:sz w:val="24"/>
          <w:szCs w:val="21"/>
          <w:lang w:val="en-US" w:eastAsia="zh-CN"/>
        </w:rPr>
        <w:t>。</w:t>
      </w:r>
    </w:p>
    <w:p w14:paraId="40C2188E">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5.2 基础层施工</w:t>
      </w:r>
    </w:p>
    <w:p w14:paraId="32414E4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5.2.1 本条规定了场底和边坡基础层施工的总体要求。</w:t>
      </w:r>
    </w:p>
    <w:p w14:paraId="606C151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5.2.2 本条规定了基础层平整度的要求。边坡基础层出现凹面时，容易造成基础层上高密度聚乙烯膜被外力刺破，并形成划口，造成加大的渗漏，故规定边坡基础层不用出现凹面。</w:t>
      </w:r>
    </w:p>
    <w:p w14:paraId="5306AD0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5.2.3 本条规定了场底和边坡基础层的检测频次与合格率。</w:t>
      </w:r>
    </w:p>
    <w:p w14:paraId="462D1741">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5.3 压实黏土防渗层施工</w:t>
      </w:r>
    </w:p>
    <w:p w14:paraId="6EEA840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5.3.1 本条要求压实黏土层施工应选用合适的土料。</w:t>
      </w:r>
    </w:p>
    <w:p w14:paraId="365DB335">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5.3.2 本条要求施工单位关注两个最重要的指标，即含水率和干密度。应根据土料情况根据设计要求，通过实验，选择合适的含水率和干密度。应使压实度达到最小渗透系数。能否达到最小渗透系数取决于衬层施工中的土壤类型、土壤含水率、土壤密度、压实度、压实方法等。一般地，当压实土壤的含水率略高于最优含水率时（通常高出1%～7%），可达到最小渗透系数。</w:t>
      </w:r>
    </w:p>
    <w:p w14:paraId="7202D50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5.3.3 本条规定了压实黏土层分层压实的要求。应该由一系列压实的土层组成，即分层压实，各土层之间应该紧密衔接。每层压实土层的厚度宜为150mm。</w:t>
      </w:r>
    </w:p>
    <w:p w14:paraId="313DFFC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5.3.4 压实黏土层的施工和质量控制在现行行业标准《生活垃圾卫生填埋场岩土工程技术规范》CJJ176中有较为详细的规定，应遵照执行。</w:t>
      </w:r>
    </w:p>
    <w:p w14:paraId="7864759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5.3.5 本条规定了各层压实黏土层的检测要求。</w:t>
      </w:r>
    </w:p>
    <w:p w14:paraId="10C34677">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5.4 高密度聚乙烯土工膜铺设</w:t>
      </w:r>
    </w:p>
    <w:p w14:paraId="579A119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5.4.1 本条规定了高密度聚乙烯土工膜的检查要求，包括2个步骤，先是尺寸偏差和外观检查。合格之后再进行抽样，予以详细检验。</w:t>
      </w:r>
    </w:p>
    <w:p w14:paraId="7F5D22D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防渗系统工程施工期间，高密度聚乙烯土工膜应该按照产品说明书的要求进行贮存。高密度聚乙烯土工膜对紫外光比较敏感，在铺设前应避免阳光直射，防止因为自然条件或人为条件影响产品的质量和性能。用于连接高密度聚乙烯土工膜的胶粘剂或焊接材料也应该以适当的方式加以贮存。</w:t>
      </w:r>
    </w:p>
    <w:p w14:paraId="5BFCC3C5">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5.4.3 高密度聚乙烯土工膜铺设的要求如下：</w:t>
      </w:r>
    </w:p>
    <w:p w14:paraId="2C185E1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每日高密度聚乙烯土工膜铺设完成应当日焊接，以免被风吹起或被其他外力破坏。高密度聚乙烯土工膜室外施工应在气温5℃以上、风力4级以下并无雨天气进行。</w:t>
      </w:r>
    </w:p>
    <w:p w14:paraId="50C09BA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膜下保护层应密实均匀，基面平整、无裂痕、无明显尖突、无泥泞、无凹陷；垂直深度25mm内应无树根、瓦砾、石子、钢筋头、玻璃屑；每平方米的平整度误差不宜超过20mm；基底与边坡阴、阳角修圆半径不宜小于50cm。</w:t>
      </w:r>
    </w:p>
    <w:p w14:paraId="1AE8D00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 高密度聚乙烯土工膜铺设时应一次展开到位，不宜展开后再拖动高密度聚乙烯土工膜。</w:t>
      </w:r>
    </w:p>
    <w:p w14:paraId="3C9E5DE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 高密度聚乙烯土工膜的热胀冷缩会影响其安装和服务性能，故在施工中应为材料的热胀冷缩留出一定余地。高密度聚乙烯土工膜不宜拉得过紧，否则会因局部应力过大而造成高密度聚乙烯土工膜破坏。高密度聚乙烯土工膜在边坡上铺设时应在下平台内测的坡角处预留大于2%的伸缩预留量，伸缩预留量可根据工程现场实际情况进行计算。</w:t>
      </w:r>
    </w:p>
    <w:p w14:paraId="256375D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 高密度聚乙烯土工膜下保护层被雨淋、水冲刷后，会破坏表层的平坦度，可将高密度聚乙烯土工膜下保护层的施工期安排在比高密度聚乙烯土工膜铺设稍前一点的时间。</w:t>
      </w:r>
    </w:p>
    <w:p w14:paraId="12FA7FE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5.4.4 高密度聚乙烯土工膜现场焊接应注意：</w:t>
      </w:r>
    </w:p>
    <w:p w14:paraId="1176A9D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高密度聚乙烯土工膜焊缝搭接面不得有污垢、砂土、积水（包括露水）等影响焊接质量的杂质存在。</w:t>
      </w:r>
    </w:p>
    <w:p w14:paraId="3622DEB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焊接之前应先检查铺设是否完好，搭接宽度是否符合要求。</w:t>
      </w:r>
    </w:p>
    <w:p w14:paraId="20F93A0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 主要焊接工具应采用自动调温（调速）电热楔式双道塑料热合机、热熔挤压焊接机，也可采用高温热风焊机、塑料热风焊机。</w:t>
      </w:r>
    </w:p>
    <w:p w14:paraId="4B1E5DE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 根据气温和材料性能，随时调整和控制焊机工作温度、速度，焊机工作温度应为180℃~200℃,并且每台焊机均须试焊合格后方可焊接。</w:t>
      </w:r>
    </w:p>
    <w:p w14:paraId="3D41F50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 焊缝处的高密度聚乙烯土工膜应熔结为一个整体，不得出现虚焊、漏焊或超量焊。</w:t>
      </w:r>
    </w:p>
    <w:p w14:paraId="70ACE60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 横向焊缝间错位尺寸应大于500mm。</w:t>
      </w:r>
    </w:p>
    <w:p w14:paraId="494E63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7  T字形接头宜采用母材补疤，补疤尺寸可为300mm</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300mm。疤的直角应修圆。</w:t>
      </w:r>
    </w:p>
    <w:p w14:paraId="700FE37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8 焊接中，应及时将已发现破损的高密度聚乙烯土工膜裁掉，并用热熔挤压法焊牢。</w:t>
      </w:r>
    </w:p>
    <w:p w14:paraId="4638DB7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9 应对焊接过程进行质量控制和进行相关的质量保证检测，以便及时发现不合格焊接。</w:t>
      </w:r>
    </w:p>
    <w:p w14:paraId="2097F218">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5.4.5 本条要求高密度聚乙烯土工膜铺设和焊接施工中应按本标准附录A中表A和附录B中表B.0.1～表 B.0.3规定的内容进行记录，以保证施工质量。</w:t>
      </w:r>
    </w:p>
    <w:p w14:paraId="4DDA5C1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5.4.6 本条要求高密度聚乙烯土工膜在长焊缝焊接时应采用双轨焊接，单轨焊接仅用于修补和加强。</w:t>
      </w:r>
    </w:p>
    <w:p w14:paraId="13AFABFB">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5.4.7 高密度聚乙烯土工膜的搭接和焊接对防渗系统工程质量非常重要。施工过程中，监理必须全程监督高密度聚乙烯土工膜的焊接和检验工作。</w:t>
      </w:r>
    </w:p>
    <w:p w14:paraId="56FE80B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焊接质量测试应该在现场环境下模拟进行，并且对所有焊缝均需要进行气密性检测。</w:t>
      </w:r>
    </w:p>
    <w:p w14:paraId="4CBDFFC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现场焊接质量的稳定性对于防渗系统的性能非常关键。在施工中，应该监测和控制可能影响焊接质量的各种条件。为了符合施工质量保证计划，应对施工过程进行检查，并完整的记录现场焊接情况。影响焊接过程的主要因素包括以下内容：</w:t>
      </w:r>
    </w:p>
    <w:p w14:paraId="669BF49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焊接面的清洁程度；</w:t>
      </w:r>
    </w:p>
    <w:p w14:paraId="7549AB3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焊接处周围的温度；</w:t>
      </w:r>
    </w:p>
    <w:p w14:paraId="1D8115C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 焊接处周围的湿度；</w:t>
      </w:r>
    </w:p>
    <w:p w14:paraId="6197969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 焊缝处的基础层条件，如含水率；</w:t>
      </w:r>
    </w:p>
    <w:p w14:paraId="0895E88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 天气情况，如风力影响。</w:t>
      </w:r>
    </w:p>
    <w:p w14:paraId="063A7831">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5.5 土工布铺设</w:t>
      </w:r>
    </w:p>
    <w:p w14:paraId="372A7540">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5.5.1 本条规定了土工布施工的总体要求。有石头、土块、水和过多的灰尘进入土工布时，容易破坏土工膜或堵塞土工布。</w:t>
      </w:r>
    </w:p>
    <w:p w14:paraId="4D60E3E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5.5.2 本条规定了土工布连接的要求。</w:t>
      </w:r>
    </w:p>
    <w:p w14:paraId="3BC4406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5.5.4 本条规定了土工布施工的方法。土工布在边坡上的铺设方向应与坡面一致，以减少接缝的受力。坡面上的水平接缝易造成土工布的脱落。</w:t>
      </w:r>
    </w:p>
    <w:p w14:paraId="11B574B5">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5.5.5 本条规定了土工布施工的检测要求。</w:t>
      </w:r>
    </w:p>
    <w:p w14:paraId="7497CE9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5.5.6 土工布易于破损。本条规定了土工布破损时的修补要求。</w:t>
      </w:r>
    </w:p>
    <w:p w14:paraId="23040B1D">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5.6 膨润土防水毯铺设</w:t>
      </w:r>
    </w:p>
    <w:p w14:paraId="2A02A8D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5.6.1～5.6.2 规定了膨润土防水毯的贮存要求。主要是考虑到膨润土防水毯遇水会膨胀，容易造成失效。膨润土防水毯贮存时地面可采取架空方法垫起，以免受潮或被地表水浸泡。膨润土防水毯在搬运和施工过程中要尽量避免振动和冲击，卸货不能从高处掷下。</w:t>
      </w:r>
    </w:p>
    <w:p w14:paraId="50B9146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5.6.3 本条规定了膨润土防水毯施工的总体要求。</w:t>
      </w:r>
    </w:p>
    <w:p w14:paraId="01C2FEC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5.6.4 本条规定了膨润土防水毯的施工要求。宽幅、大捆膨润土防水毯的铺设宜采用机械施工；条件不具备及窄幅、小捆膨润土防水毯，也可采用人工铺设。</w:t>
      </w:r>
    </w:p>
    <w:p w14:paraId="593C51E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5.6.5 本条规定了膨润土防水毯的连接要求。</w:t>
      </w:r>
    </w:p>
    <w:p w14:paraId="7DAE439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5.6.6 本条规定了膨润土防水毯检查和修补的要求。</w:t>
      </w:r>
    </w:p>
    <w:p w14:paraId="191B21BA">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5.6.7 本条规定了膨润土防水毯施工时特殊部位的要求。在圆形管道等特殊部位施工时，可首先裁切以管道直径加500mm为边长的方块膨润土防水毯；再在其中心裁剪直径与管道直径等同的孔洞，修理边缘后使之紧密套在管道上；然后在管道周围与膨润土防水毯的接合处均匀撒布或涂抹膨润土粉。方形构筑物处的施工可参照上述方法执行。</w:t>
      </w:r>
    </w:p>
    <w:p w14:paraId="181A6008">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5.6.8 本条规定了贯通物处的膨润土防水毯铺设要求。</w:t>
      </w:r>
    </w:p>
    <w:p w14:paraId="1458CDE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5.6.9 对已施工的膨润土防水毯应特别注意防水防潮，以免遇到水膨胀失效。</w:t>
      </w:r>
    </w:p>
    <w:p w14:paraId="25D7CA99">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5.7 土工复合排水网铺设</w:t>
      </w:r>
    </w:p>
    <w:p w14:paraId="56A4A0E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5.7.1 本条规定了土工复合排水网的铺设方向。</w:t>
      </w:r>
    </w:p>
    <w:p w14:paraId="4EE84C6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5.7.2 本条规定了土工复合排水网的铺设质量要求。</w:t>
      </w:r>
    </w:p>
    <w:p w14:paraId="0D5A3D1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5.7.4 本条规定了土工复合排水网的连接要求。覆盖连接排水网芯的土工布应密封，可以防止回填料或其他可能造成堵塞的物质进入土工网芯。</w:t>
      </w:r>
    </w:p>
    <w:p w14:paraId="048EE615">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5.7.6 本条规定了土工复合排水网的在特殊部位施工时的要求。在铺设土工复合排水网的过程中遇到障碍物，如排出管或测视井时，应裁开土工复合排水网，在障碍物周围铺设，保证障碍物和材料之间没有缝隙，且下层土工布和土工网芯应接触到障碍物。上层土工布要有足够的长度，折回到土工复合排水网下面，保护 露出的土工网芯，防止小土粒进入土工网芯。覆盖连接排水网芯的土工布应密封，可以防止回填料或其他可能造成堵塞得物质进入土工网芯。</w:t>
      </w:r>
    </w:p>
    <w:p w14:paraId="59339143">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5.7.7 本条规定了土工复合排水网修补的要求。</w:t>
      </w:r>
    </w:p>
    <w:p w14:paraId="33FC6B06">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5.8 防渗系统工程材料连接</w:t>
      </w:r>
    </w:p>
    <w:p w14:paraId="25E4494B">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5.8.1 本条规定了土工合成材料连接的一般要求。</w:t>
      </w:r>
    </w:p>
    <w:p w14:paraId="35A25E1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5.8.2 本条规定了各种土工合成材料连接的方式和要求。</w:t>
      </w:r>
    </w:p>
    <w:p w14:paraId="7F71AEF7">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5.9 局部工程施工</w:t>
      </w:r>
    </w:p>
    <w:p w14:paraId="162F88C2">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5.9.1 表中的限制坡高和限制坡长均是推荐的最大坡高和最大坡长。</w:t>
      </w:r>
    </w:p>
    <w:p w14:paraId="125DC194">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5.9.2 本条规定了锚固沟的设计要求。</w:t>
      </w:r>
    </w:p>
    <w:p w14:paraId="5A8D840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5.9.3 填埋区穿坝管与库区防渗膜连接方式，可采用将高密度聚乙烯土工膜制作成管靴，管靴一端与高密度聚乙烯管道进行单轨焊接，另一端与库区防渗膜焊接。重复上述操作2次，即每层防渗层与管道采用2层高密度聚乙烯土工膜管靴焊接。填埋区渗沥液导排花管与穿坝实管连接方式，可采用焊接、管件连接或套管连接；如采用套管连接，套管长度不小于2.5倍管径。</w:t>
      </w:r>
    </w:p>
    <w:p w14:paraId="1825C316">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5.9.6 本条规定了T型焊缝加强要求。</w:t>
      </w:r>
    </w:p>
    <w:p w14:paraId="2F59AE19">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5.9.7 本条规定了中间锚固沟平台上坡膜与下坡膜焊接要求。</w:t>
      </w:r>
    </w:p>
    <w:p w14:paraId="0E37BED5">
      <w:pPr>
        <w:keepNext w:val="0"/>
        <w:keepLines w:val="0"/>
        <w:pageBreakBefore w:val="0"/>
        <w:widowControl w:val="0"/>
        <w:kinsoku/>
        <w:wordWrap/>
        <w:overflowPunct/>
        <w:topLinePunct w:val="0"/>
        <w:autoSpaceDE/>
        <w:autoSpaceDN/>
        <w:bidi w:val="0"/>
        <w:adjustRightInd/>
        <w:snapToGrid/>
        <w:spacing w:before="156" w:beforeLines="50" w:after="156" w:afterLines="50"/>
        <w:jc w:val="center"/>
        <w:textAlignment w:val="auto"/>
        <w:outlineLvl w:val="1"/>
        <w:rPr>
          <w:rFonts w:hint="eastAsia" w:asciiTheme="minorEastAsia" w:hAnsiTheme="minorEastAsia"/>
          <w:b/>
          <w:sz w:val="24"/>
          <w:lang w:val="en-US" w:eastAsia="zh-CN"/>
        </w:rPr>
      </w:pPr>
      <w:r>
        <w:rPr>
          <w:rFonts w:hint="eastAsia" w:asciiTheme="minorEastAsia" w:hAnsiTheme="minorEastAsia"/>
          <w:b/>
          <w:sz w:val="24"/>
          <w:lang w:val="en-US" w:eastAsia="zh-CN"/>
        </w:rPr>
        <w:t>5.10 绿色施工措施</w:t>
      </w:r>
    </w:p>
    <w:p w14:paraId="781A9F3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5.10.1 本条规定了绿色施工标志要求。</w:t>
      </w:r>
    </w:p>
    <w:p w14:paraId="51E5A295">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5.10.2 本条规定了绿色施工材料运输、材料损耗和材料堆放要求。</w:t>
      </w:r>
    </w:p>
    <w:p w14:paraId="4FF4C68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5.10.3 本条规定了绿色施工防尘要求。</w:t>
      </w:r>
    </w:p>
    <w:p w14:paraId="2D1095DF">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5.10.4 本条规定了绿色施工臭气控制措施。</w:t>
      </w:r>
    </w:p>
    <w:p w14:paraId="407291B6">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5.10.5 本条规定了绿色施工防噪声措施。</w:t>
      </w:r>
    </w:p>
    <w:p w14:paraId="7B31E291">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5.10.6 本条规定了绿色施工防病原微生物措施。</w:t>
      </w:r>
    </w:p>
    <w:p w14:paraId="55A5574D">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14:paraId="372764FA">
      <w:pPr>
        <w:jc w:val="center"/>
        <w:outlineLvl w:val="0"/>
        <w:rPr>
          <w:rFonts w:hint="eastAsia" w:ascii="黑体" w:hAnsi="黑体" w:eastAsia="黑体" w:cs="Times New Roman"/>
          <w:bCs/>
          <w:sz w:val="32"/>
          <w:szCs w:val="32"/>
          <w:lang w:val="en-US" w:eastAsia="zh-CN"/>
        </w:rPr>
      </w:pPr>
      <w:r>
        <w:rPr>
          <w:rFonts w:hint="eastAsia" w:ascii="黑体" w:hAnsi="黑体" w:eastAsia="黑体" w:cs="Times New Roman"/>
          <w:bCs/>
          <w:sz w:val="32"/>
          <w:szCs w:val="32"/>
          <w:lang w:val="en-US" w:eastAsia="zh-CN"/>
        </w:rPr>
        <w:t>6 防渗系统工程验收及维护</w:t>
      </w:r>
    </w:p>
    <w:p w14:paraId="5D5B7F26">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6.1 防渗系统工程验收</w:t>
      </w:r>
    </w:p>
    <w:p w14:paraId="5412A7FA">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6.1.1 本条规定了防渗系统工程验收的相关资料清单。</w:t>
      </w:r>
    </w:p>
    <w:p w14:paraId="26E14ACC">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6.1.2 高密度聚乙烯土工膜施工工序是防渗系统工程中最重要的工程之一。验收资料中须包括高密度聚乙烯土工膜的铺设、焊接和检测方面的施工记录。真实地记载每片高密度聚乙烯土工膜材料的卷材信息，每条焊缝的施工人员、设备和焊接参数信息，每条焊缝的检测人员、设备信息及检测结果和不合格处理意见。</w:t>
      </w:r>
    </w:p>
    <w:p w14:paraId="58D6894D">
      <w:pPr>
        <w:spacing w:before="156" w:beforeLines="50" w:after="156" w:afterLines="50"/>
        <w:jc w:val="center"/>
        <w:outlineLvl w:val="1"/>
        <w:rPr>
          <w:rFonts w:hint="eastAsia" w:asciiTheme="minorEastAsia" w:hAnsiTheme="minorEastAsia"/>
          <w:b/>
          <w:sz w:val="24"/>
          <w:lang w:val="en-US" w:eastAsia="zh-CN"/>
        </w:rPr>
      </w:pPr>
      <w:r>
        <w:rPr>
          <w:rFonts w:hint="eastAsia" w:asciiTheme="minorEastAsia" w:hAnsiTheme="minorEastAsia"/>
          <w:b/>
          <w:sz w:val="24"/>
          <w:lang w:val="en-US" w:eastAsia="zh-CN"/>
        </w:rPr>
        <w:t>6.2 防渗体系统工程维护</w:t>
      </w:r>
    </w:p>
    <w:p w14:paraId="7C1E96FD">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6.2.1 本条建议填埋场管理单位应制定防渗系统工程安全保障措施及管理办法。以方便管理人员和技术在日常执行中有章可循、有规可依，避免造成不可预见的损坏。</w:t>
      </w:r>
    </w:p>
    <w:p w14:paraId="5FE5A18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6.2.2 本条规定了防渗系统维护的基本要求。</w:t>
      </w:r>
    </w:p>
    <w:p w14:paraId="72B40DE7">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6.2.3 本条规定了防渗系统损坏时维修的基本要求。</w:t>
      </w:r>
    </w:p>
    <w:p w14:paraId="725DB97E">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6.2.4 本条要求边坡保护层分步施工时应预先制定严密施工计划，施工过程要严格遵守计划。</w:t>
      </w:r>
    </w:p>
    <w:p w14:paraId="68A547EA">
      <w:pPr>
        <w:widowControl/>
        <w:spacing w:line="360" w:lineRule="auto"/>
        <w:jc w:val="left"/>
        <w:outlineLvl w:val="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6.2.5 本条对防渗系统工程维护所用的机械设备保管、维护、 保养等方面提出要求。</w:t>
      </w:r>
    </w:p>
    <w:p w14:paraId="2C58767B">
      <w:pPr>
        <w:widowControl/>
        <w:spacing w:line="360" w:lineRule="auto"/>
        <w:jc w:val="left"/>
        <w:outlineLvl w:val="2"/>
        <w:rPr>
          <w:rFonts w:hint="default" w:ascii="Times New Roman" w:hAnsi="Times New Roman" w:eastAsia="宋体" w:cs="Times New Roman"/>
          <w:sz w:val="24"/>
          <w:lang w:val="en-US" w:eastAsia="zh-CN"/>
        </w:rPr>
      </w:pPr>
    </w:p>
    <w:p w14:paraId="6D7731D6">
      <w:pPr>
        <w:spacing w:line="360" w:lineRule="auto"/>
        <w:jc w:val="left"/>
        <w:rPr>
          <w:rFonts w:hint="eastAsia" w:cs="黑体" w:asciiTheme="minorEastAsia" w:hAnsiTheme="minorEastAsia"/>
          <w:sz w:val="24"/>
        </w:rPr>
      </w:pPr>
    </w:p>
    <w:sectPr>
      <w:footerReference r:id="rId6"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ikeFont_cmnIcon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swiss"/>
    <w:pitch w:val="default"/>
    <w:sig w:usb0="E00006FF" w:usb1="0000FCFF" w:usb2="00000001" w:usb3="00000000" w:csb0="6000019F" w:csb1="DFD70000"/>
  </w:font>
  <w:font w:name="Arial Black">
    <w:panose1 w:val="020B0A04020102020204"/>
    <w:charset w:val="00"/>
    <w:family w:val="swiss"/>
    <w:pitch w:val="default"/>
    <w:sig w:usb0="A00002AF" w:usb1="400078FB" w:usb2="00000000" w:usb3="00000000" w:csb0="6000009F" w:csb1="DFD70000"/>
  </w:font>
  <w:font w:name="方正书宋简体">
    <w:altName w:val="黑体"/>
    <w:panose1 w:val="00000000000000000000"/>
    <w:charset w:val="86"/>
    <w:family w:val="modern"/>
    <w:pitch w:val="default"/>
    <w:sig w:usb0="00000000" w:usb1="00000000" w:usb2="00000010" w:usb3="00000000" w:csb0="00040000" w:csb1="00000000"/>
  </w:font>
  <w:font w:name="仿宋_GB2312">
    <w:altName w:val="仿宋"/>
    <w:panose1 w:val="020B0604020202020204"/>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angSong_GB2312">
    <w:altName w:val="仿宋"/>
    <w:panose1 w:val="02010609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7A8B7">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4FD7A">
                          <w:pPr>
                            <w:pStyle w:val="5"/>
                            <w:rPr>
                              <w:rStyle w:val="14"/>
                            </w:rPr>
                          </w:pPr>
                          <w:r>
                            <w:rPr>
                              <w:rStyle w:val="14"/>
                            </w:rPr>
                            <w:fldChar w:fldCharType="begin"/>
                          </w:r>
                          <w:r>
                            <w:rPr>
                              <w:rStyle w:val="14"/>
                            </w:rPr>
                            <w:instrText xml:space="preserve">PAGE  </w:instrText>
                          </w:r>
                          <w:r>
                            <w:rPr>
                              <w:rStyle w:val="14"/>
                            </w:rPr>
                            <w:fldChar w:fldCharType="separate"/>
                          </w:r>
                          <w:r>
                            <w:rPr>
                              <w:rStyle w:val="14"/>
                            </w:rPr>
                            <w:t>6</w:t>
                          </w:r>
                          <w:r>
                            <w:rPr>
                              <w:rStyle w:val="1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684FD7A">
                    <w:pPr>
                      <w:pStyle w:val="5"/>
                      <w:rPr>
                        <w:rStyle w:val="14"/>
                      </w:rPr>
                    </w:pPr>
                    <w:r>
                      <w:rPr>
                        <w:rStyle w:val="14"/>
                      </w:rPr>
                      <w:fldChar w:fldCharType="begin"/>
                    </w:r>
                    <w:r>
                      <w:rPr>
                        <w:rStyle w:val="14"/>
                      </w:rPr>
                      <w:instrText xml:space="preserve">PAGE  </w:instrText>
                    </w:r>
                    <w:r>
                      <w:rPr>
                        <w:rStyle w:val="14"/>
                      </w:rPr>
                      <w:fldChar w:fldCharType="separate"/>
                    </w:r>
                    <w:r>
                      <w:rPr>
                        <w:rStyle w:val="14"/>
                      </w:rPr>
                      <w:t>6</w:t>
                    </w:r>
                    <w:r>
                      <w:rPr>
                        <w:rStyle w:val="1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EFD6">
    <w:pPr>
      <w:pStyle w:val="5"/>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14:paraId="27ABCEEB">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BCA8D">
    <w:pPr>
      <w:pStyle w:val="5"/>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770" cy="1460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DB04A">
                          <w:pPr>
                            <w:pStyle w:val="5"/>
                            <w:rPr>
                              <w:rStyle w:val="14"/>
                            </w:rPr>
                          </w:pPr>
                          <w:r>
                            <w:rPr>
                              <w:rStyle w:val="14"/>
                            </w:rPr>
                            <w:fldChar w:fldCharType="begin"/>
                          </w:r>
                          <w:r>
                            <w:rPr>
                              <w:rStyle w:val="14"/>
                            </w:rPr>
                            <w:instrText xml:space="preserve">PAGE  </w:instrText>
                          </w:r>
                          <w:r>
                            <w:rPr>
                              <w:rStyle w:val="14"/>
                            </w:rPr>
                            <w:fldChar w:fldCharType="separate"/>
                          </w:r>
                          <w:r>
                            <w:rPr>
                              <w:rStyle w:val="14"/>
                            </w:rPr>
                            <w:t>5</w:t>
                          </w:r>
                          <w:r>
                            <w:rPr>
                              <w:rStyle w:val="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59264;mso-width-relative:page;mso-height-relative:page;" filled="f" stroked="f" coordsize="21600,21600" o:gfxdata="UEsDBAoAAAAAAIdO4kAAAAAAAAAAAAAAAAAEAAAAZHJzL1BLAwQUAAAACACHTuJAD9/NLtEAAAAD&#10;AQAADwAAAGRycy9kb3ducmV2LnhtbE2PwU7DMBBE70j8g7VI3KjdFCEUsqlERTgi0XDg6MZLErDX&#10;ke2m4e9xucBlpdGMZt5W28VZMVOIo2eE9UqBIO68GblHeGubm3sQMWk22nomhG+KsK0vLypdGn/i&#10;V5r3qRe5hGOpEYaUplLK2A3kdFz5iTh7Hz44nbIMvTRBn3K5s7JQ6k46PXJeGPREu4G6r/3RIeya&#10;tg0zxWDf6bnZfL483tLTgnh9tVYPIBIt6S8MZ/yMDnVmOvgjmygsQn4k/d6zpwoQB4Rio0DWlfzP&#10;Xv8AUEsDBBQAAAAIAIdO4kDBUZKPLAIAAFQEAAAOAAAAZHJzL2Uyb0RvYy54bWytVM2O0zAQviPx&#10;DpbvNO2y7KKq6apsVYRUsSsVxNl1nCaS/2S7TcoDwBtw4sKd5+pz8NlJurBw2AMXdzIz/ma+b8ad&#10;3bRKkoNwvjY6p5PRmBKhuSlqvcvpxw+rF68p8YHpgkmjRU6PwtOb+fNns8ZOxYWpjCyEIwDRftrY&#10;nFYh2GmWeV4JxfzIWKERLI1TLODT7bLCsQboSmYX4/FV1hhXWGe48B7eZRekPaJ7CqApy5qLpeF7&#10;JXToUJ2QLICSr2rr6Tx1W5aCh7uy9CIQmVMwDelEEdjbeGbzGZvuHLNVzfsW2FNaeMRJsVqj6Blq&#10;yQIje1f/BaVq7ow3ZRhxo7KOSFIELCbjR9psKmZF4gKpvT2L7v8fLH9/uHekLrAJE0o0U5j46dvX&#10;0/efpx9fCHwQqLF+iryNRWZo35gWyYPfwxl5t6VT8ReMCOKQ93iWV7SBcDivLq+vEeCITC6vxq+S&#10;+tnDXet8eCuMItHIqcPwkqbssPYBfSB1SImltFnVUqYBSk0a4L8E5B8R3JAaFyODrtNohXbb9rS2&#10;pjiClTPdYnjLVzWKr5kP98xhE9Av3kq4w1FKgyKmtyipjPv8L3/Mx4AQpaTBZuVU4yFRIt9pDA6A&#10;YTDcYGwHQ+/VrcGqYhboJZm44IIczNIZ9QkPaBFrIMQ0R6WchsG8Dd124wFysVikJKyaZWGtN5ZH&#10;6CiRt4t9gIBJ1yhKp0SvFZYtyd0/jLjNv3+nrIc/g/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NLtEAAAADAQAADwAAAAAAAAABACAAAAAiAAAAZHJzL2Rvd25yZXYueG1sUEsBAhQAFAAAAAgA&#10;h07iQMFRko8sAgAAVAQAAA4AAAAAAAAAAQAgAAAAIAEAAGRycy9lMm9Eb2MueG1sUEsFBgAAAAAG&#10;AAYAWQEAAL4FAAAAAA==&#10;">
              <v:fill on="f" focussize="0,0"/>
              <v:stroke on="f" weight="0.5pt"/>
              <v:imagedata o:title=""/>
              <o:lock v:ext="edit" aspectratio="f"/>
              <v:textbox inset="0mm,0mm,0mm,0mm" style="mso-fit-shape-to-text:t;">
                <w:txbxContent>
                  <w:p w14:paraId="352DB04A">
                    <w:pPr>
                      <w:pStyle w:val="5"/>
                      <w:rPr>
                        <w:rStyle w:val="14"/>
                      </w:rPr>
                    </w:pPr>
                    <w:r>
                      <w:rPr>
                        <w:rStyle w:val="14"/>
                      </w:rPr>
                      <w:fldChar w:fldCharType="begin"/>
                    </w:r>
                    <w:r>
                      <w:rPr>
                        <w:rStyle w:val="14"/>
                      </w:rPr>
                      <w:instrText xml:space="preserve">PAGE  </w:instrText>
                    </w:r>
                    <w:r>
                      <w:rPr>
                        <w:rStyle w:val="14"/>
                      </w:rPr>
                      <w:fldChar w:fldCharType="separate"/>
                    </w:r>
                    <w:r>
                      <w:rPr>
                        <w:rStyle w:val="14"/>
                      </w:rPr>
                      <w:t>5</w:t>
                    </w:r>
                    <w:r>
                      <w:rPr>
                        <w:rStyle w:val="1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CE36F">
    <w:pPr>
      <w:pStyle w:val="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9CDC1">
                          <w:pPr>
                            <w:pStyle w:val="5"/>
                            <w:rPr>
                              <w:rStyle w:val="14"/>
                            </w:rPr>
                          </w:pPr>
                          <w:r>
                            <w:rPr>
                              <w:rStyle w:val="14"/>
                            </w:rPr>
                            <w:fldChar w:fldCharType="begin"/>
                          </w:r>
                          <w:r>
                            <w:rPr>
                              <w:rStyle w:val="14"/>
                            </w:rPr>
                            <w:instrText xml:space="preserve">PAGE  </w:instrText>
                          </w:r>
                          <w:r>
                            <w:rPr>
                              <w:rStyle w:val="14"/>
                            </w:rPr>
                            <w:fldChar w:fldCharType="separate"/>
                          </w:r>
                          <w:r>
                            <w:rPr>
                              <w:rStyle w:val="14"/>
                            </w:rPr>
                            <w:t>6</w:t>
                          </w:r>
                          <w:r>
                            <w:rPr>
                              <w:rStyle w:val="1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D19CDC1">
                    <w:pPr>
                      <w:pStyle w:val="5"/>
                      <w:rPr>
                        <w:rStyle w:val="14"/>
                      </w:rPr>
                    </w:pPr>
                    <w:r>
                      <w:rPr>
                        <w:rStyle w:val="14"/>
                      </w:rPr>
                      <w:fldChar w:fldCharType="begin"/>
                    </w:r>
                    <w:r>
                      <w:rPr>
                        <w:rStyle w:val="14"/>
                      </w:rPr>
                      <w:instrText xml:space="preserve">PAGE  </w:instrText>
                    </w:r>
                    <w:r>
                      <w:rPr>
                        <w:rStyle w:val="14"/>
                      </w:rPr>
                      <w:fldChar w:fldCharType="separate"/>
                    </w:r>
                    <w:r>
                      <w:rPr>
                        <w:rStyle w:val="14"/>
                      </w:rPr>
                      <w:t>6</w:t>
                    </w:r>
                    <w:r>
                      <w:rPr>
                        <w:rStyle w:val="1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020F14"/>
    <w:multiLevelType w:val="multilevel"/>
    <w:tmpl w:val="1D020F14"/>
    <w:lvl w:ilvl="0" w:tentative="0">
      <w:start w:val="5"/>
      <w:numFmt w:val="decimal"/>
      <w:lvlText w:val="%1"/>
      <w:lvlJc w:val="left"/>
      <w:pPr>
        <w:ind w:left="375" w:hanging="375"/>
      </w:pPr>
      <w:rPr>
        <w:rFonts w:hint="default"/>
      </w:rPr>
    </w:lvl>
    <w:lvl w:ilvl="1" w:tentative="0">
      <w:start w:val="3"/>
      <w:numFmt w:val="decimal"/>
      <w:lvlText w:val="%1.%2"/>
      <w:lvlJc w:val="left"/>
      <w:pPr>
        <w:ind w:left="659" w:hanging="375"/>
      </w:pPr>
      <w:rPr>
        <w:rFonts w:hint="default"/>
      </w:rPr>
    </w:lvl>
    <w:lvl w:ilvl="2" w:tentative="0">
      <w:start w:val="1"/>
      <w:numFmt w:val="decimal"/>
      <w:lvlText w:val="%1.%2.%3"/>
      <w:lvlJc w:val="left"/>
      <w:pPr>
        <w:ind w:left="1288" w:hanging="720"/>
      </w:pPr>
      <w:rPr>
        <w:rFonts w:hint="default"/>
      </w:rPr>
    </w:lvl>
    <w:lvl w:ilvl="3" w:tentative="0">
      <w:start w:val="1"/>
      <w:numFmt w:val="decimal"/>
      <w:lvlText w:val="%1.%2.%3.%4"/>
      <w:lvlJc w:val="left"/>
      <w:pPr>
        <w:ind w:left="1572" w:hanging="720"/>
      </w:pPr>
      <w:rPr>
        <w:rFonts w:hint="default"/>
      </w:rPr>
    </w:lvl>
    <w:lvl w:ilvl="4" w:tentative="0">
      <w:start w:val="1"/>
      <w:numFmt w:val="decimal"/>
      <w:lvlText w:val="%1.%2.%3.%4.%5"/>
      <w:lvlJc w:val="left"/>
      <w:pPr>
        <w:ind w:left="2216" w:hanging="1080"/>
      </w:pPr>
      <w:rPr>
        <w:rFonts w:hint="default"/>
      </w:rPr>
    </w:lvl>
    <w:lvl w:ilvl="5" w:tentative="0">
      <w:start w:val="1"/>
      <w:numFmt w:val="decimal"/>
      <w:lvlText w:val="%1.%2.%3.%4.%5.%6"/>
      <w:lvlJc w:val="left"/>
      <w:pPr>
        <w:ind w:left="2500" w:hanging="1080"/>
      </w:pPr>
      <w:rPr>
        <w:rFonts w:hint="default"/>
      </w:rPr>
    </w:lvl>
    <w:lvl w:ilvl="6" w:tentative="0">
      <w:start w:val="1"/>
      <w:numFmt w:val="decimal"/>
      <w:lvlText w:val="%1.%2.%3.%4.%5.%6.%7"/>
      <w:lvlJc w:val="left"/>
      <w:pPr>
        <w:ind w:left="3144" w:hanging="1440"/>
      </w:pPr>
      <w:rPr>
        <w:rFonts w:hint="default"/>
      </w:rPr>
    </w:lvl>
    <w:lvl w:ilvl="7" w:tentative="0">
      <w:start w:val="1"/>
      <w:numFmt w:val="decimal"/>
      <w:lvlText w:val="%1.%2.%3.%4.%5.%6.%7.%8"/>
      <w:lvlJc w:val="left"/>
      <w:pPr>
        <w:ind w:left="3428" w:hanging="1440"/>
      </w:pPr>
      <w:rPr>
        <w:rFonts w:hint="default"/>
      </w:rPr>
    </w:lvl>
    <w:lvl w:ilvl="8" w:tentative="0">
      <w:start w:val="1"/>
      <w:numFmt w:val="decimal"/>
      <w:lvlText w:val="%1.%2.%3.%4.%5.%6.%7.%8.%9"/>
      <w:lvlJc w:val="left"/>
      <w:pPr>
        <w:ind w:left="4072" w:hanging="1800"/>
      </w:pPr>
      <w:rPr>
        <w:rFonts w:hint="default"/>
      </w:rPr>
    </w:lvl>
  </w:abstractNum>
  <w:abstractNum w:abstractNumId="1">
    <w:nsid w:val="31DF0399"/>
    <w:multiLevelType w:val="multilevel"/>
    <w:tmpl w:val="31DF0399"/>
    <w:lvl w:ilvl="0" w:tentative="0">
      <w:start w:val="5"/>
      <w:numFmt w:val="decimal"/>
      <w:lvlText w:val="%1"/>
      <w:lvlJc w:val="left"/>
      <w:pPr>
        <w:ind w:left="375" w:hanging="375"/>
      </w:pPr>
      <w:rPr>
        <w:rFonts w:hint="default"/>
      </w:rPr>
    </w:lvl>
    <w:lvl w:ilvl="1" w:tentative="0">
      <w:start w:val="4"/>
      <w:numFmt w:val="decimal"/>
      <w:lvlText w:val="%1.%2"/>
      <w:lvlJc w:val="left"/>
      <w:pPr>
        <w:ind w:left="659" w:hanging="375"/>
      </w:pPr>
      <w:rPr>
        <w:rFonts w:hint="default"/>
      </w:rPr>
    </w:lvl>
    <w:lvl w:ilvl="2" w:tentative="0">
      <w:start w:val="1"/>
      <w:numFmt w:val="decimal"/>
      <w:lvlText w:val="%1.%2.%3"/>
      <w:lvlJc w:val="left"/>
      <w:pPr>
        <w:ind w:left="1288" w:hanging="720"/>
      </w:pPr>
      <w:rPr>
        <w:rFonts w:hint="default"/>
      </w:rPr>
    </w:lvl>
    <w:lvl w:ilvl="3" w:tentative="0">
      <w:start w:val="1"/>
      <w:numFmt w:val="decimal"/>
      <w:lvlText w:val="%1.%2.%3.%4"/>
      <w:lvlJc w:val="left"/>
      <w:pPr>
        <w:ind w:left="1572" w:hanging="720"/>
      </w:pPr>
      <w:rPr>
        <w:rFonts w:hint="default"/>
      </w:rPr>
    </w:lvl>
    <w:lvl w:ilvl="4" w:tentative="0">
      <w:start w:val="1"/>
      <w:numFmt w:val="decimal"/>
      <w:lvlText w:val="%1.%2.%3.%4.%5"/>
      <w:lvlJc w:val="left"/>
      <w:pPr>
        <w:ind w:left="2216" w:hanging="1080"/>
      </w:pPr>
      <w:rPr>
        <w:rFonts w:hint="default"/>
      </w:rPr>
    </w:lvl>
    <w:lvl w:ilvl="5" w:tentative="0">
      <w:start w:val="1"/>
      <w:numFmt w:val="decimal"/>
      <w:lvlText w:val="%1.%2.%3.%4.%5.%6"/>
      <w:lvlJc w:val="left"/>
      <w:pPr>
        <w:ind w:left="2500" w:hanging="1080"/>
      </w:pPr>
      <w:rPr>
        <w:rFonts w:hint="default"/>
      </w:rPr>
    </w:lvl>
    <w:lvl w:ilvl="6" w:tentative="0">
      <w:start w:val="1"/>
      <w:numFmt w:val="decimal"/>
      <w:lvlText w:val="%1.%2.%3.%4.%5.%6.%7"/>
      <w:lvlJc w:val="left"/>
      <w:pPr>
        <w:ind w:left="3144" w:hanging="1440"/>
      </w:pPr>
      <w:rPr>
        <w:rFonts w:hint="default"/>
      </w:rPr>
    </w:lvl>
    <w:lvl w:ilvl="7" w:tentative="0">
      <w:start w:val="1"/>
      <w:numFmt w:val="decimal"/>
      <w:lvlText w:val="%1.%2.%3.%4.%5.%6.%7.%8"/>
      <w:lvlJc w:val="left"/>
      <w:pPr>
        <w:ind w:left="3428" w:hanging="1440"/>
      </w:pPr>
      <w:rPr>
        <w:rFonts w:hint="default"/>
      </w:rPr>
    </w:lvl>
    <w:lvl w:ilvl="8" w:tentative="0">
      <w:start w:val="1"/>
      <w:numFmt w:val="decimal"/>
      <w:lvlText w:val="%1.%2.%3.%4.%5.%6.%7.%8.%9"/>
      <w:lvlJc w:val="left"/>
      <w:pPr>
        <w:ind w:left="4072" w:hanging="1800"/>
      </w:pPr>
      <w:rPr>
        <w:rFonts w:hint="default"/>
      </w:rPr>
    </w:lvl>
  </w:abstractNum>
  <w:abstractNum w:abstractNumId="2">
    <w:nsid w:val="7DC95B2D"/>
    <w:multiLevelType w:val="multilevel"/>
    <w:tmpl w:val="7DC95B2D"/>
    <w:lvl w:ilvl="0" w:tentative="0">
      <w:start w:val="1"/>
      <w:numFmt w:val="decimal"/>
      <w:lvlText w:val="%1"/>
      <w:lvlJc w:val="left"/>
      <w:pPr>
        <w:ind w:left="600" w:hanging="600"/>
      </w:pPr>
      <w:rPr>
        <w:rFonts w:hint="default"/>
      </w:rPr>
    </w:lvl>
    <w:lvl w:ilvl="1" w:tentative="0">
      <w:start w:val="0"/>
      <w:numFmt w:val="decimal"/>
      <w:lvlText w:val="%1.%2"/>
      <w:lvlJc w:val="left"/>
      <w:pPr>
        <w:ind w:left="600" w:hanging="600"/>
      </w:pPr>
      <w:rPr>
        <w:rFonts w:hint="default"/>
      </w:rPr>
    </w:lvl>
    <w:lvl w:ilvl="2" w:tentative="0">
      <w:start w:val="1"/>
      <w:numFmt w:val="decimal"/>
      <w:lvlText w:val="%1.%2.%3"/>
      <w:lvlJc w:val="left"/>
      <w:pPr>
        <w:ind w:left="720" w:hanging="720"/>
      </w:pPr>
      <w:rPr>
        <w:rFonts w:hint="default"/>
        <w:b w:val="0"/>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
    <w:nsid w:val="7F2173EA"/>
    <w:multiLevelType w:val="multilevel"/>
    <w:tmpl w:val="7F2173EA"/>
    <w:lvl w:ilvl="0" w:tentative="0">
      <w:start w:val="5"/>
      <w:numFmt w:val="decimal"/>
      <w:lvlText w:val="%1"/>
      <w:lvlJc w:val="left"/>
      <w:pPr>
        <w:ind w:left="480" w:hanging="480"/>
      </w:pPr>
      <w:rPr>
        <w:rFonts w:hint="default"/>
      </w:rPr>
    </w:lvl>
    <w:lvl w:ilvl="1" w:tentative="0">
      <w:start w:val="4"/>
      <w:numFmt w:val="decimal"/>
      <w:lvlText w:val="%1.%2"/>
      <w:lvlJc w:val="left"/>
      <w:pPr>
        <w:ind w:left="764" w:hanging="480"/>
      </w:pPr>
      <w:rPr>
        <w:rFonts w:hint="default"/>
      </w:rPr>
    </w:lvl>
    <w:lvl w:ilvl="2" w:tentative="0">
      <w:start w:val="4"/>
      <w:numFmt w:val="decimal"/>
      <w:lvlText w:val="%1.%2.%3"/>
      <w:lvlJc w:val="left"/>
      <w:pPr>
        <w:ind w:left="1288" w:hanging="720"/>
      </w:pPr>
      <w:rPr>
        <w:rFonts w:hint="default"/>
      </w:rPr>
    </w:lvl>
    <w:lvl w:ilvl="3" w:tentative="0">
      <w:start w:val="1"/>
      <w:numFmt w:val="decimal"/>
      <w:lvlText w:val="%1.%2.%3.%4"/>
      <w:lvlJc w:val="left"/>
      <w:pPr>
        <w:ind w:left="1572" w:hanging="720"/>
      </w:pPr>
      <w:rPr>
        <w:rFonts w:hint="default"/>
      </w:rPr>
    </w:lvl>
    <w:lvl w:ilvl="4" w:tentative="0">
      <w:start w:val="1"/>
      <w:numFmt w:val="decimal"/>
      <w:lvlText w:val="%1.%2.%3.%4.%5"/>
      <w:lvlJc w:val="left"/>
      <w:pPr>
        <w:ind w:left="2216" w:hanging="1080"/>
      </w:pPr>
      <w:rPr>
        <w:rFonts w:hint="default"/>
      </w:rPr>
    </w:lvl>
    <w:lvl w:ilvl="5" w:tentative="0">
      <w:start w:val="1"/>
      <w:numFmt w:val="decimal"/>
      <w:lvlText w:val="%1.%2.%3.%4.%5.%6"/>
      <w:lvlJc w:val="left"/>
      <w:pPr>
        <w:ind w:left="2500" w:hanging="1080"/>
      </w:pPr>
      <w:rPr>
        <w:rFonts w:hint="default"/>
      </w:rPr>
    </w:lvl>
    <w:lvl w:ilvl="6" w:tentative="0">
      <w:start w:val="1"/>
      <w:numFmt w:val="decimal"/>
      <w:lvlText w:val="%1.%2.%3.%4.%5.%6.%7"/>
      <w:lvlJc w:val="left"/>
      <w:pPr>
        <w:ind w:left="3144" w:hanging="1440"/>
      </w:pPr>
      <w:rPr>
        <w:rFonts w:hint="default"/>
      </w:rPr>
    </w:lvl>
    <w:lvl w:ilvl="7" w:tentative="0">
      <w:start w:val="1"/>
      <w:numFmt w:val="decimal"/>
      <w:lvlText w:val="%1.%2.%3.%4.%5.%6.%7.%8"/>
      <w:lvlJc w:val="left"/>
      <w:pPr>
        <w:ind w:left="3428" w:hanging="1440"/>
      </w:pPr>
      <w:rPr>
        <w:rFonts w:hint="default"/>
      </w:rPr>
    </w:lvl>
    <w:lvl w:ilvl="8" w:tentative="0">
      <w:start w:val="1"/>
      <w:numFmt w:val="decimal"/>
      <w:lvlText w:val="%1.%2.%3.%4.%5.%6.%7.%8.%9"/>
      <w:lvlJc w:val="left"/>
      <w:pPr>
        <w:ind w:left="4072" w:hanging="180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3NWEzOWQ2NTgyMGRkNjc5ZDk3ZDViNDliZWQxNDQifQ=="/>
  </w:docVars>
  <w:rsids>
    <w:rsidRoot w:val="2D8C42B6"/>
    <w:rsid w:val="00013A85"/>
    <w:rsid w:val="001F62CF"/>
    <w:rsid w:val="00386D98"/>
    <w:rsid w:val="005F6A6E"/>
    <w:rsid w:val="00615789"/>
    <w:rsid w:val="008C079D"/>
    <w:rsid w:val="00A10D6F"/>
    <w:rsid w:val="00A95D02"/>
    <w:rsid w:val="00B47A7C"/>
    <w:rsid w:val="00C207E3"/>
    <w:rsid w:val="05704A4D"/>
    <w:rsid w:val="0AA3501D"/>
    <w:rsid w:val="0B6B63AF"/>
    <w:rsid w:val="121420F8"/>
    <w:rsid w:val="141A28D2"/>
    <w:rsid w:val="1DB80145"/>
    <w:rsid w:val="24DE7A25"/>
    <w:rsid w:val="25ED563F"/>
    <w:rsid w:val="29A7388C"/>
    <w:rsid w:val="2D8C42B6"/>
    <w:rsid w:val="2F2A6CFE"/>
    <w:rsid w:val="366D0E58"/>
    <w:rsid w:val="3A33772B"/>
    <w:rsid w:val="3D5543D2"/>
    <w:rsid w:val="3D917117"/>
    <w:rsid w:val="3F0325F7"/>
    <w:rsid w:val="3F115748"/>
    <w:rsid w:val="3F633044"/>
    <w:rsid w:val="40265590"/>
    <w:rsid w:val="412528E3"/>
    <w:rsid w:val="51E57A85"/>
    <w:rsid w:val="534B31D2"/>
    <w:rsid w:val="54C87682"/>
    <w:rsid w:val="5893542E"/>
    <w:rsid w:val="58E41B62"/>
    <w:rsid w:val="5A7C2F4D"/>
    <w:rsid w:val="5D031805"/>
    <w:rsid w:val="60077BBC"/>
    <w:rsid w:val="60D81578"/>
    <w:rsid w:val="61EC7079"/>
    <w:rsid w:val="66AA65DF"/>
    <w:rsid w:val="6C6B1095"/>
    <w:rsid w:val="6DEA53D7"/>
    <w:rsid w:val="6FBB30B7"/>
    <w:rsid w:val="7348106F"/>
    <w:rsid w:val="77253507"/>
    <w:rsid w:val="7AFA2BEA"/>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jc w:val="center"/>
      <w:outlineLvl w:val="0"/>
    </w:pPr>
    <w:rPr>
      <w:sz w:val="2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2"/>
      <w:szCs w:val="22"/>
      <w:lang w:eastAsia="en-US"/>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Autospacing="1" w:afterAutospacing="1"/>
      <w:jc w:val="left"/>
    </w:pPr>
    <w:rPr>
      <w:rFonts w:ascii="baikeFont_cmnIconFont" w:hAnsi="baikeFont_cmnIconFont" w:eastAsia="baikeFont_cmnIconFont" w:cs="Times New Roman"/>
      <w:kern w:val="0"/>
      <w:sz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bCs/>
      <w:color w:val="333333"/>
      <w:sz w:val="16"/>
      <w:szCs w:val="16"/>
      <w:shd w:val="clear" w:color="auto" w:fill="F8F8F8"/>
    </w:rPr>
  </w:style>
  <w:style w:type="character" w:styleId="14">
    <w:name w:val="page number"/>
    <w:basedOn w:val="12"/>
    <w:qFormat/>
    <w:uiPriority w:val="0"/>
  </w:style>
  <w:style w:type="character" w:styleId="15">
    <w:name w:val="FollowedHyperlink"/>
    <w:basedOn w:val="12"/>
    <w:qFormat/>
    <w:uiPriority w:val="0"/>
    <w:rPr>
      <w:color w:val="999999"/>
      <w:u w:val="none"/>
    </w:rPr>
  </w:style>
  <w:style w:type="character" w:styleId="16">
    <w:name w:val="Emphasis"/>
    <w:basedOn w:val="12"/>
    <w:qFormat/>
    <w:uiPriority w:val="0"/>
  </w:style>
  <w:style w:type="character" w:styleId="17">
    <w:name w:val="HTML Definition"/>
    <w:basedOn w:val="12"/>
    <w:qFormat/>
    <w:uiPriority w:val="0"/>
  </w:style>
  <w:style w:type="character" w:styleId="18">
    <w:name w:val="HTML Variable"/>
    <w:basedOn w:val="12"/>
    <w:qFormat/>
    <w:uiPriority w:val="0"/>
  </w:style>
  <w:style w:type="character" w:styleId="19">
    <w:name w:val="Hyperlink"/>
    <w:basedOn w:val="12"/>
    <w:qFormat/>
    <w:uiPriority w:val="0"/>
    <w:rPr>
      <w:color w:val="222222"/>
      <w:u w:val="none"/>
    </w:rPr>
  </w:style>
  <w:style w:type="character" w:styleId="20">
    <w:name w:val="HTML Code"/>
    <w:basedOn w:val="12"/>
    <w:qFormat/>
    <w:uiPriority w:val="0"/>
    <w:rPr>
      <w:rFonts w:ascii="Consolas" w:hAnsi="Consolas" w:eastAsia="Consolas" w:cs="Consolas"/>
      <w:sz w:val="21"/>
      <w:szCs w:val="21"/>
    </w:rPr>
  </w:style>
  <w:style w:type="character" w:styleId="21">
    <w:name w:val="HTML Cite"/>
    <w:basedOn w:val="12"/>
    <w:qFormat/>
    <w:uiPriority w:val="0"/>
  </w:style>
  <w:style w:type="character" w:styleId="22">
    <w:name w:val="HTML Keyboard"/>
    <w:basedOn w:val="12"/>
    <w:qFormat/>
    <w:uiPriority w:val="0"/>
    <w:rPr>
      <w:rFonts w:hint="default" w:ascii="Consolas" w:hAnsi="Consolas" w:eastAsia="Consolas" w:cs="Consolas"/>
      <w:sz w:val="21"/>
      <w:szCs w:val="21"/>
    </w:rPr>
  </w:style>
  <w:style w:type="character" w:styleId="23">
    <w:name w:val="HTML Sample"/>
    <w:basedOn w:val="12"/>
    <w:qFormat/>
    <w:uiPriority w:val="0"/>
    <w:rPr>
      <w:rFonts w:hint="default" w:ascii="Consolas" w:hAnsi="Consolas" w:eastAsia="Consolas" w:cs="Consolas"/>
      <w:sz w:val="21"/>
      <w:szCs w:val="21"/>
    </w:rPr>
  </w:style>
  <w:style w:type="paragraph" w:styleId="24">
    <w:name w:val="List Paragraph"/>
    <w:basedOn w:val="1"/>
    <w:qFormat/>
    <w:uiPriority w:val="34"/>
    <w:pPr>
      <w:ind w:firstLine="420" w:firstLineChars="200"/>
    </w:pPr>
  </w:style>
  <w:style w:type="paragraph" w:customStyle="1" w:styleId="25">
    <w:name w:val="Table Text"/>
    <w:basedOn w:val="1"/>
    <w:semiHidden/>
    <w:qFormat/>
    <w:uiPriority w:val="0"/>
    <w:rPr>
      <w:rFonts w:ascii="宋体" w:hAnsi="宋体" w:eastAsia="宋体" w:cs="宋体"/>
      <w:sz w:val="17"/>
      <w:szCs w:val="17"/>
      <w:lang w:eastAsia="en-US"/>
    </w:rPr>
  </w:style>
  <w:style w:type="table" w:customStyle="1" w:styleId="26">
    <w:name w:val="Table Normal"/>
    <w:semiHidden/>
    <w:unhideWhenUsed/>
    <w:qFormat/>
    <w:uiPriority w:val="0"/>
    <w:tblPr>
      <w:tblCellMar>
        <w:top w:w="0" w:type="dxa"/>
        <w:left w:w="0" w:type="dxa"/>
        <w:bottom w:w="0" w:type="dxa"/>
        <w:right w:w="0" w:type="dxa"/>
      </w:tblCellMar>
    </w:tblPr>
  </w:style>
  <w:style w:type="character" w:customStyle="1" w:styleId="27">
    <w:name w:val="before"/>
    <w:basedOn w:val="12"/>
    <w:qFormat/>
    <w:uiPriority w:val="0"/>
    <w:rPr>
      <w:shd w:val="clear" w:color="auto" w:fill="E8E8E8"/>
    </w:rPr>
  </w:style>
  <w:style w:type="character" w:customStyle="1" w:styleId="28">
    <w:name w:val="first-child"/>
    <w:basedOn w:val="12"/>
    <w:qFormat/>
    <w:uiPriority w:val="0"/>
  </w:style>
  <w:style w:type="character" w:customStyle="1" w:styleId="29">
    <w:name w:val="sidecatalog-index1"/>
    <w:basedOn w:val="12"/>
    <w:qFormat/>
    <w:uiPriority w:val="0"/>
    <w:rPr>
      <w:rFonts w:ascii="Arial" w:hAnsi="Arial" w:cs="Arial"/>
      <w:b/>
      <w:bCs/>
      <w:color w:val="999999"/>
      <w:sz w:val="16"/>
      <w:szCs w:val="16"/>
    </w:rPr>
  </w:style>
  <w:style w:type="character" w:customStyle="1" w:styleId="30">
    <w:name w:val="sidecatalog-dot"/>
    <w:basedOn w:val="12"/>
    <w:qFormat/>
    <w:uiPriority w:val="0"/>
  </w:style>
  <w:style w:type="character" w:customStyle="1" w:styleId="31">
    <w:name w:val="lemmatitleh1"/>
    <w:basedOn w:val="12"/>
    <w:qFormat/>
    <w:uiPriority w:val="0"/>
  </w:style>
  <w:style w:type="character" w:customStyle="1" w:styleId="32">
    <w:name w:val="layui-this"/>
    <w:basedOn w:val="12"/>
    <w:qFormat/>
    <w:uiPriority w:val="0"/>
    <w:rPr>
      <w:bdr w:val="single" w:color="EEEEEE" w:sz="4" w:space="0"/>
      <w:shd w:val="clear" w:color="auto" w:fill="FFFFFF"/>
    </w:rPr>
  </w:style>
  <w:style w:type="paragraph" w:customStyle="1" w:styleId="33">
    <w:name w:val="_Style 26"/>
    <w:basedOn w:val="1"/>
    <w:next w:val="1"/>
    <w:qFormat/>
    <w:uiPriority w:val="0"/>
    <w:pPr>
      <w:pBdr>
        <w:bottom w:val="single" w:color="auto" w:sz="6" w:space="1"/>
      </w:pBdr>
      <w:jc w:val="center"/>
    </w:pPr>
    <w:rPr>
      <w:rFonts w:ascii="Arial" w:eastAsia="宋体"/>
      <w:vanish/>
      <w:sz w:val="16"/>
    </w:rPr>
  </w:style>
  <w:style w:type="paragraph" w:customStyle="1" w:styleId="34">
    <w:name w:val="_Style 27"/>
    <w:basedOn w:val="1"/>
    <w:next w:val="1"/>
    <w:qFormat/>
    <w:uiPriority w:val="0"/>
    <w:pPr>
      <w:pBdr>
        <w:top w:val="single" w:color="auto" w:sz="6" w:space="1"/>
      </w:pBdr>
      <w:jc w:val="center"/>
    </w:pPr>
    <w:rPr>
      <w:rFonts w:ascii="Arial" w:eastAsia="宋体"/>
      <w:vanish/>
      <w:sz w:val="16"/>
    </w:rPr>
  </w:style>
  <w:style w:type="character" w:customStyle="1" w:styleId="35">
    <w:name w:val="ss21"/>
    <w:basedOn w:val="12"/>
    <w:qFormat/>
    <w:uiPriority w:val="0"/>
    <w:rPr>
      <w:sz w:val="27"/>
      <w:szCs w:val="27"/>
      <w:vertAlign w:val="superscript"/>
    </w:rPr>
  </w:style>
  <w:style w:type="character" w:customStyle="1" w:styleId="36">
    <w:name w:val="headline-content3"/>
    <w:basedOn w:val="12"/>
    <w:qFormat/>
    <w:uiPriority w:val="0"/>
    <w:rPr>
      <w:shd w:val="clear" w:color="auto" w:fill="FFFFFF"/>
    </w:rPr>
  </w:style>
  <w:style w:type="character" w:customStyle="1" w:styleId="37">
    <w:name w:val="bold3"/>
    <w:basedOn w:val="12"/>
    <w:qFormat/>
    <w:uiPriority w:val="0"/>
    <w:rPr>
      <w:b/>
      <w:bCs/>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8799</Words>
  <Characters>10331</Characters>
  <Lines>176</Lines>
  <Paragraphs>49</Paragraphs>
  <TotalTime>5</TotalTime>
  <ScaleCrop>false</ScaleCrop>
  <LinksUpToDate>false</LinksUpToDate>
  <CharactersWithSpaces>10788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2024-09-12T00:28:00Z</dcterms:created>
  <dc:creator>曲成平 青理工</dc:creator>
  <cp:lastModifiedBy>王云燕</cp:lastModifiedBy>
  <dcterms:modified xsi:type="dcterms:W3CDTF">2025-06-11T05:39:30Z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4BCDDD83F76D4AC296682A0F4F938598_13</vt:lpwstr>
  </property>
  <property fmtid="{D5CDD505-2E9C-101B-9397-08002B2CF9AE}" pid="4" name="KSOTemplateDocerSaveRecord">
    <vt:lpwstr>eyJoZGlkIjoiZDk3NTA2M2QwZjQyZDhjZjUxOWZmZmQ0YTdjMzVlOTIiLCJ1c2VySWQiOiIyNDMyNzIwOTQifQ==</vt:lpwstr>
  </property>
</Properties>
</file>