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rPr>
      </w:pPr>
    </w:p>
    <w:p>
      <w:pPr>
        <w:rPr>
          <w:rFonts w:ascii="宋体" w:hAnsi="宋体"/>
        </w:rPr>
      </w:pPr>
    </w:p>
    <w:p>
      <w:pPr>
        <w:keepNext/>
        <w:ind w:firstLine="560" w:firstLineChars="200"/>
        <w:rPr>
          <w:sz w:val="28"/>
          <w:szCs w:val="36"/>
        </w:rPr>
      </w:pPr>
      <w:r>
        <w:rPr>
          <w:rFonts w:hint="eastAsia"/>
          <w:sz w:val="28"/>
          <w:szCs w:val="36"/>
        </w:rPr>
        <w:t xml:space="preserve">ICS   </w:t>
      </w:r>
    </w:p>
    <w:p>
      <w:pPr>
        <w:spacing w:line="360" w:lineRule="auto"/>
        <w:ind w:firstLine="1606" w:firstLineChars="500"/>
        <w:rPr>
          <w:rFonts w:eastAsia="黑体"/>
          <w:b/>
          <w:bCs/>
          <w:sz w:val="72"/>
        </w:rPr>
      </w:pPr>
      <w:r>
        <w:rPr>
          <w:rFonts w:hint="eastAsia" w:eastAsia="黑体"/>
          <w:b/>
          <w:bCs/>
          <w:sz w:val="32"/>
        </w:rPr>
        <w:t xml:space="preserve">中国建筑业协会团体标准   </w:t>
      </w:r>
      <w:r>
        <w:rPr>
          <w:rFonts w:hint="eastAsia" w:ascii="Arial Black" w:hAnsi="Arial Black" w:eastAsia="黑体"/>
          <w:b/>
          <w:bCs/>
          <w:sz w:val="52"/>
          <w:szCs w:val="52"/>
          <w14:shadow w14:blurRad="50800" w14:dist="38100" w14:dir="2700000" w14:sx="100000" w14:sy="100000" w14:kx="0" w14:ky="0" w14:algn="tl">
            <w14:srgbClr w14:val="000000">
              <w14:alpha w14:val="60000"/>
            </w14:srgbClr>
          </w14:shadow>
        </w:rPr>
        <w:t>团体</w:t>
      </w:r>
      <w:r>
        <w:rPr>
          <w:rFonts w:ascii="Arial Black" w:hAnsi="Arial Black" w:eastAsia="黑体"/>
          <w:b/>
          <w:bCs/>
          <w:sz w:val="52"/>
          <w:szCs w:val="52"/>
          <w14:shadow w14:blurRad="50800" w14:dist="38100" w14:dir="2700000" w14:sx="100000" w14:sy="100000" w14:kx="0" w14:ky="0" w14:algn="tl">
            <w14:srgbClr w14:val="000000">
              <w14:alpha w14:val="60000"/>
            </w14:srgbClr>
          </w14:shadow>
        </w:rPr>
        <w:t>标准</w:t>
      </w:r>
    </w:p>
    <w:p>
      <w:pPr>
        <w:spacing w:line="360" w:lineRule="auto"/>
        <w:ind w:firstLine="744" w:firstLineChars="247"/>
        <w:rPr>
          <w:b/>
          <w:bCs/>
          <w:sz w:val="28"/>
        </w:rPr>
      </w:pPr>
      <w:r>
        <w:rPr>
          <w:rFonts w:hint="eastAsia"/>
          <w:b/>
          <w:bCs/>
          <w:sz w:val="30"/>
        </w:rPr>
        <w:t xml:space="preserve">P </w:t>
      </w:r>
      <w:r>
        <w:rPr>
          <w:rFonts w:hint="eastAsia"/>
          <w:b/>
          <w:bCs/>
          <w:sz w:val="28"/>
        </w:rPr>
        <w:t xml:space="preserve">   </w:t>
      </w:r>
      <w:r>
        <w:rPr>
          <w:rFonts w:hint="eastAsia"/>
          <w:sz w:val="28"/>
        </w:rPr>
        <w:t xml:space="preserve">               </w:t>
      </w:r>
      <w:r>
        <w:rPr>
          <w:sz w:val="28"/>
        </w:rPr>
        <w:t xml:space="preserve">    </w:t>
      </w:r>
      <w:r>
        <w:rPr>
          <w:rFonts w:hint="eastAsia"/>
          <w:sz w:val="28"/>
        </w:rPr>
        <w:t xml:space="preserve">    T/CCIAT xxxx</w:t>
      </w:r>
      <w:r>
        <w:rPr>
          <w:rFonts w:hint="eastAsia"/>
          <w:sz w:val="28"/>
          <w:lang w:val="en-GB"/>
        </w:rPr>
        <w:t>—</w:t>
      </w:r>
      <w:r>
        <w:rPr>
          <w:rFonts w:hint="eastAsia"/>
          <w:sz w:val="28"/>
        </w:rPr>
        <w:t xml:space="preserve"> 20xx         </w:t>
      </w:r>
    </w:p>
    <w:p>
      <w:pPr>
        <w:spacing w:line="360" w:lineRule="auto"/>
        <w:rPr>
          <w:b/>
          <w:bCs/>
          <w:sz w:val="44"/>
        </w:rPr>
      </w:pPr>
      <w:r>
        <w:rPr>
          <w:b/>
          <w:bCs/>
          <w:sz w:val="20"/>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99060</wp:posOffset>
                </wp:positionV>
                <wp:extent cx="46863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4686300"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6pt;margin-top:7.8pt;height:0pt;width:369pt;z-index:251659264;mso-width-relative:page;mso-height-relative:page;" filled="f" stroked="t" coordsize="21600,21600" o:gfxdata="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c&#10;SqPs1gAAAAgBAAAPAAAAAAAAAAEAIAAAACIAAABkcnMvZG93bnJldi54bWxQSwECFAAUAAAACACH&#10;TuJAPAKMae0BAADZAwAADgAAAAAAAAABACAAAAAlAQAAZHJzL2Uyb0RvYy54bWxQSwUGAAAAAAYA&#10;BgBZAQAAhAUAAAAA&#10;">
                <v:fill on="f" focussize="0,0"/>
                <v:stroke weight="1.25pt" color="#000000" joinstyle="round"/>
                <v:imagedata o:title=""/>
                <o:lock v:ext="edit" aspectratio="f"/>
              </v:line>
            </w:pict>
          </mc:Fallback>
        </mc:AlternateContent>
      </w:r>
      <w:r>
        <w:rPr>
          <w:b/>
          <w:bCs/>
          <w:sz w:val="44"/>
        </w:rPr>
        <w:t xml:space="preserve">     </w:t>
      </w:r>
    </w:p>
    <w:p>
      <w:pPr>
        <w:spacing w:line="300" w:lineRule="auto"/>
        <w:jc w:val="center"/>
        <w:rPr>
          <w:rFonts w:ascii="宋体"/>
          <w:b/>
          <w:sz w:val="44"/>
        </w:rPr>
      </w:pPr>
    </w:p>
    <w:p>
      <w:pPr>
        <w:jc w:val="center"/>
        <w:rPr>
          <w:rFonts w:ascii="黑体" w:eastAsia="黑体"/>
          <w:sz w:val="48"/>
        </w:rPr>
      </w:pPr>
      <w:r>
        <w:rPr>
          <w:rFonts w:hint="eastAsia" w:ascii="黑体" w:eastAsia="黑体"/>
          <w:sz w:val="48"/>
        </w:rPr>
        <w:t>管幕法施工技术规程</w:t>
      </w:r>
    </w:p>
    <w:p>
      <w:pPr>
        <w:jc w:val="center"/>
        <w:rPr>
          <w:rFonts w:eastAsia="黑体"/>
          <w:sz w:val="28"/>
        </w:rPr>
      </w:pPr>
      <w:r>
        <w:rPr>
          <w:rFonts w:hint="eastAsia" w:eastAsia="黑体"/>
          <w:sz w:val="28"/>
        </w:rPr>
        <w:t>Technical code for construction of pipe-curtain method</w:t>
      </w:r>
    </w:p>
    <w:p>
      <w:pPr>
        <w:spacing w:line="360" w:lineRule="auto"/>
        <w:jc w:val="center"/>
        <w:rPr>
          <w:b/>
          <w:bCs/>
          <w:sz w:val="24"/>
        </w:rPr>
      </w:pPr>
      <w:r>
        <w:rPr>
          <w:rFonts w:hint="eastAsia"/>
          <w:b/>
          <w:bCs/>
          <w:sz w:val="24"/>
        </w:rPr>
        <w:t>（征求意见稿）</w:t>
      </w:r>
    </w:p>
    <w:p>
      <w:pPr>
        <w:pStyle w:val="2"/>
        <w:ind w:firstLine="482"/>
        <w:rPr>
          <w:b/>
          <w:bCs/>
          <w:sz w:val="24"/>
        </w:rPr>
      </w:pPr>
      <w:r>
        <w:rPr>
          <w:rFonts w:hint="eastAsia"/>
          <w:b/>
          <w:bCs/>
          <w:sz w:val="24"/>
        </w:rPr>
        <w:t xml:space="preserve"> </w:t>
      </w:r>
    </w:p>
    <w:p>
      <w:pPr>
        <w:pStyle w:val="2"/>
        <w:ind w:firstLine="482"/>
        <w:rPr>
          <w:b/>
          <w:bCs/>
          <w:sz w:val="24"/>
        </w:rPr>
      </w:pPr>
    </w:p>
    <w:p>
      <w:pPr>
        <w:pStyle w:val="2"/>
        <w:ind w:firstLine="482"/>
        <w:rPr>
          <w:b/>
          <w:bCs/>
          <w:sz w:val="24"/>
        </w:rPr>
      </w:pPr>
    </w:p>
    <w:p>
      <w:pPr>
        <w:pStyle w:val="2"/>
        <w:ind w:firstLine="482"/>
        <w:rPr>
          <w:b/>
          <w:bCs/>
          <w:sz w:val="24"/>
        </w:rPr>
      </w:pPr>
    </w:p>
    <w:p>
      <w:pPr>
        <w:pStyle w:val="2"/>
        <w:ind w:firstLine="482"/>
        <w:rPr>
          <w:b/>
          <w:bCs/>
          <w:sz w:val="24"/>
        </w:rPr>
      </w:pPr>
    </w:p>
    <w:p>
      <w:pPr>
        <w:pStyle w:val="2"/>
        <w:ind w:firstLine="482"/>
        <w:rPr>
          <w:b/>
          <w:bCs/>
          <w:sz w:val="24"/>
        </w:rPr>
      </w:pPr>
    </w:p>
    <w:p>
      <w:pPr>
        <w:pStyle w:val="2"/>
        <w:ind w:firstLine="482"/>
        <w:rPr>
          <w:b/>
          <w:bCs/>
          <w:sz w:val="24"/>
        </w:rPr>
      </w:pPr>
    </w:p>
    <w:p>
      <w:pPr>
        <w:pStyle w:val="2"/>
        <w:ind w:firstLine="482"/>
        <w:rPr>
          <w:b/>
          <w:bCs/>
          <w:sz w:val="24"/>
        </w:rPr>
      </w:pPr>
    </w:p>
    <w:p>
      <w:pPr>
        <w:pStyle w:val="2"/>
        <w:ind w:firstLine="482"/>
        <w:rPr>
          <w:b/>
          <w:bCs/>
          <w:sz w:val="24"/>
        </w:rPr>
      </w:pPr>
    </w:p>
    <w:p>
      <w:pPr>
        <w:pStyle w:val="2"/>
        <w:ind w:firstLine="482"/>
        <w:rPr>
          <w:b/>
          <w:bCs/>
          <w:sz w:val="24"/>
        </w:rPr>
      </w:pPr>
    </w:p>
    <w:p>
      <w:pPr>
        <w:spacing w:line="360" w:lineRule="auto"/>
        <w:ind w:firstLine="3123" w:firstLineChars="1296"/>
        <w:rPr>
          <w:b/>
          <w:bCs/>
          <w:sz w:val="24"/>
        </w:rPr>
      </w:pPr>
    </w:p>
    <w:p>
      <w:pPr>
        <w:spacing w:line="240" w:lineRule="atLeast"/>
        <w:ind w:firstLine="967" w:firstLineChars="344"/>
        <w:rPr>
          <w:b/>
          <w:bCs/>
          <w:sz w:val="28"/>
        </w:rPr>
      </w:pPr>
      <w:r>
        <w:rPr>
          <w:rFonts w:hint="eastAsia" w:ascii="黑体"/>
          <w:b/>
          <w:bCs/>
          <w:sz w:val="28"/>
        </w:rPr>
        <w:t>20xx— xx—xx 发布　　　20xx—xx —xx  实施</w:t>
      </w:r>
    </w:p>
    <w:p>
      <w:pPr>
        <w:spacing w:line="360" w:lineRule="auto"/>
        <w:ind w:firstLine="2602" w:firstLineChars="1296"/>
        <w:rPr>
          <w:b/>
          <w:bCs/>
          <w:sz w:val="24"/>
        </w:rPr>
      </w:pPr>
      <w:r>
        <w:rPr>
          <w:b/>
          <w:bCs/>
          <w:sz w:val="2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48006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4800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7pt;margin-top:7.8pt;height:0pt;width:378pt;z-index:251660288;mso-width-relative:page;mso-height-relative:page;" filled="f" stroked="t" coordsize="21600,21600" o:gfxdata="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4TTks&#10;1QAAAAgBAAAPAAAAAAAAAAEAIAAAACIAAABkcnMvZG93bnJldi54bWxQSwECFAAUAAAACACHTuJA&#10;EM88XesBAADYAwAADgAAAAAAAAABACAAAAAkAQAAZHJzL2Uyb0RvYy54bWxQSwUGAAAAAAYABgBZ&#10;AQAAgQUAAAAA&#10;">
                <v:fill on="f" focussize="0,0"/>
                <v:stroke color="#000000" joinstyle="round"/>
                <v:imagedata o:title=""/>
                <o:lock v:ext="edit" aspectratio="f"/>
              </v:line>
            </w:pict>
          </mc:Fallback>
        </mc:AlternateContent>
      </w:r>
    </w:p>
    <w:p>
      <w:pPr>
        <w:spacing w:line="360" w:lineRule="auto"/>
        <w:ind w:firstLine="2331" w:firstLineChars="645"/>
        <w:rPr>
          <w:b/>
          <w:bCs/>
          <w:sz w:val="36"/>
        </w:rPr>
      </w:pPr>
      <w:r>
        <w:rPr>
          <w:rFonts w:hint="eastAsia"/>
          <w:b/>
          <w:bCs/>
          <w:sz w:val="36"/>
        </w:rPr>
        <w:t>中国建筑业协会   发布</w:t>
      </w:r>
    </w:p>
    <w:p>
      <w:pPr>
        <w:jc w:val="center"/>
        <w:rPr>
          <w:sz w:val="36"/>
          <w:szCs w:val="20"/>
        </w:rPr>
      </w:pPr>
      <w:r>
        <w:rPr>
          <w:rFonts w:hint="eastAsia" w:eastAsia="仿宋_GB2312"/>
          <w:sz w:val="36"/>
          <w:szCs w:val="20"/>
        </w:rPr>
        <w:br w:type="page"/>
      </w:r>
      <w:r>
        <w:rPr>
          <w:rFonts w:hint="eastAsia"/>
          <w:sz w:val="36"/>
        </w:rPr>
        <w:t>中国建筑业协会团体标准</w:t>
      </w:r>
    </w:p>
    <w:p>
      <w:pPr>
        <w:jc w:val="center"/>
        <w:rPr>
          <w:rFonts w:eastAsia="仿宋_GB2312"/>
          <w:sz w:val="36"/>
          <w:szCs w:val="20"/>
        </w:rPr>
      </w:pPr>
    </w:p>
    <w:p>
      <w:pPr>
        <w:jc w:val="center"/>
        <w:rPr>
          <w:rFonts w:ascii="黑体" w:eastAsia="黑体"/>
          <w:sz w:val="48"/>
        </w:rPr>
      </w:pPr>
      <w:r>
        <w:rPr>
          <w:rFonts w:hint="eastAsia" w:ascii="黑体" w:eastAsia="黑体"/>
          <w:sz w:val="48"/>
        </w:rPr>
        <w:t>管幕法施工技术规程</w:t>
      </w:r>
    </w:p>
    <w:p>
      <w:pPr>
        <w:jc w:val="center"/>
        <w:rPr>
          <w:rFonts w:eastAsia="黑体"/>
          <w:sz w:val="28"/>
        </w:rPr>
      </w:pPr>
      <w:r>
        <w:rPr>
          <w:rFonts w:hint="eastAsia" w:eastAsia="黑体"/>
          <w:sz w:val="28"/>
        </w:rPr>
        <w:t>Technical code for construction of pipe-curtain method</w:t>
      </w:r>
    </w:p>
    <w:p>
      <w:pPr>
        <w:jc w:val="center"/>
        <w:rPr>
          <w:rFonts w:eastAsia="仿宋_GB2312"/>
          <w:sz w:val="36"/>
          <w:szCs w:val="20"/>
        </w:rPr>
      </w:pPr>
    </w:p>
    <w:p>
      <w:pPr>
        <w:jc w:val="center"/>
        <w:rPr>
          <w:rFonts w:eastAsia="仿宋_GB2312"/>
          <w:sz w:val="36"/>
          <w:szCs w:val="20"/>
        </w:rPr>
      </w:pPr>
    </w:p>
    <w:p>
      <w:pPr>
        <w:jc w:val="center"/>
        <w:rPr>
          <w:rFonts w:eastAsia="仿宋_GB2312"/>
          <w:sz w:val="30"/>
          <w:szCs w:val="20"/>
        </w:rPr>
      </w:pPr>
      <w:r>
        <w:rPr>
          <w:rFonts w:hint="eastAsia"/>
          <w:sz w:val="28"/>
        </w:rPr>
        <w:t>T/CCIAT xxxx</w:t>
      </w:r>
      <w:r>
        <w:rPr>
          <w:rFonts w:hint="eastAsia"/>
          <w:sz w:val="28"/>
          <w:lang w:val="en-GB"/>
        </w:rPr>
        <w:t>—</w:t>
      </w:r>
      <w:r>
        <w:rPr>
          <w:rFonts w:hint="eastAsia"/>
          <w:sz w:val="28"/>
        </w:rPr>
        <w:t xml:space="preserve"> 20xx</w:t>
      </w:r>
    </w:p>
    <w:p>
      <w:pPr>
        <w:jc w:val="center"/>
        <w:rPr>
          <w:rFonts w:eastAsia="仿宋_GB2312"/>
          <w:sz w:val="36"/>
          <w:szCs w:val="20"/>
        </w:rPr>
      </w:pPr>
    </w:p>
    <w:p>
      <w:pPr>
        <w:jc w:val="center"/>
        <w:rPr>
          <w:rFonts w:eastAsia="仿宋_GB2312"/>
          <w:sz w:val="28"/>
          <w:szCs w:val="20"/>
        </w:rPr>
      </w:pPr>
      <w:r>
        <w:rPr>
          <w:rFonts w:hint="eastAsia" w:eastAsia="仿宋_GB2312"/>
          <w:sz w:val="28"/>
        </w:rPr>
        <w:t>批准部门：中国建筑业协会</w:t>
      </w:r>
    </w:p>
    <w:p>
      <w:pPr>
        <w:jc w:val="center"/>
        <w:rPr>
          <w:rFonts w:eastAsia="仿宋_GB2312"/>
          <w:sz w:val="28"/>
          <w:szCs w:val="20"/>
        </w:rPr>
      </w:pPr>
      <w:r>
        <w:rPr>
          <w:rFonts w:hint="eastAsia" w:eastAsia="仿宋_GB2312"/>
          <w:sz w:val="28"/>
        </w:rPr>
        <w:t>施行日期：20xx年xx月xx日</w:t>
      </w:r>
    </w:p>
    <w:p>
      <w:pPr>
        <w:jc w:val="center"/>
        <w:rPr>
          <w:rFonts w:eastAsia="仿宋_GB2312"/>
          <w:sz w:val="36"/>
          <w:szCs w:val="20"/>
        </w:rPr>
      </w:pPr>
    </w:p>
    <w:p>
      <w:pPr>
        <w:jc w:val="center"/>
        <w:rPr>
          <w:rFonts w:eastAsia="仿宋_GB2312"/>
          <w:sz w:val="36"/>
          <w:szCs w:val="20"/>
        </w:rPr>
      </w:pPr>
    </w:p>
    <w:p>
      <w:pPr>
        <w:jc w:val="center"/>
        <w:rPr>
          <w:rFonts w:eastAsia="仿宋_GB2312"/>
          <w:sz w:val="36"/>
          <w:szCs w:val="20"/>
        </w:rPr>
      </w:pPr>
    </w:p>
    <w:p>
      <w:pPr>
        <w:jc w:val="center"/>
        <w:rPr>
          <w:rFonts w:eastAsia="仿宋_GB2312"/>
          <w:sz w:val="36"/>
          <w:szCs w:val="20"/>
        </w:rPr>
      </w:pPr>
    </w:p>
    <w:p>
      <w:pPr>
        <w:jc w:val="center"/>
        <w:rPr>
          <w:rFonts w:eastAsia="仿宋_GB2312"/>
          <w:sz w:val="36"/>
          <w:szCs w:val="20"/>
        </w:rPr>
      </w:pPr>
    </w:p>
    <w:p>
      <w:pPr>
        <w:pStyle w:val="2"/>
      </w:pPr>
    </w:p>
    <w:p>
      <w:pPr>
        <w:pStyle w:val="2"/>
      </w:pPr>
    </w:p>
    <w:p>
      <w:pPr>
        <w:pStyle w:val="2"/>
      </w:pPr>
    </w:p>
    <w:p>
      <w:pPr>
        <w:pStyle w:val="2"/>
      </w:pPr>
    </w:p>
    <w:p>
      <w:pPr>
        <w:jc w:val="center"/>
        <w:rPr>
          <w:rFonts w:eastAsia="仿宋_GB2312"/>
          <w:sz w:val="36"/>
          <w:szCs w:val="20"/>
        </w:rPr>
      </w:pPr>
    </w:p>
    <w:p>
      <w:pPr>
        <w:jc w:val="center"/>
        <w:rPr>
          <w:rFonts w:eastAsia="仿宋_GB2312"/>
          <w:sz w:val="30"/>
          <w:szCs w:val="20"/>
        </w:rPr>
      </w:pPr>
      <w:r>
        <w:rPr>
          <w:rFonts w:hint="eastAsia" w:eastAsia="仿宋_GB2312"/>
          <w:sz w:val="30"/>
        </w:rPr>
        <w:t>中国建筑工业出版社</w:t>
      </w:r>
    </w:p>
    <w:p>
      <w:pPr>
        <w:jc w:val="center"/>
      </w:pPr>
      <w:r>
        <w:rPr>
          <w:rFonts w:eastAsia="仿宋_GB2312"/>
          <w:sz w:val="30"/>
        </w:rPr>
        <w:t>20</w:t>
      </w:r>
      <w:r>
        <w:rPr>
          <w:rFonts w:hint="eastAsia" w:eastAsia="仿宋_GB2312"/>
          <w:sz w:val="30"/>
        </w:rPr>
        <w:t>xx</w:t>
      </w:r>
      <w:r>
        <w:rPr>
          <w:rFonts w:eastAsia="仿宋_GB2312"/>
          <w:sz w:val="30"/>
        </w:rPr>
        <w:t xml:space="preserve">  </w:t>
      </w:r>
      <w:r>
        <w:rPr>
          <w:rFonts w:hint="eastAsia" w:eastAsia="仿宋_GB2312"/>
          <w:sz w:val="30"/>
        </w:rPr>
        <w:t>北京</w:t>
      </w:r>
    </w:p>
    <w:p>
      <w:pPr>
        <w:rPr>
          <w:rFonts w:ascii="宋体" w:hAnsi="宋体"/>
        </w:rPr>
      </w:pPr>
    </w:p>
    <w:p>
      <w:pPr>
        <w:rPr>
          <w:rFonts w:ascii="宋体" w:hAnsi="宋体"/>
        </w:rPr>
      </w:pPr>
    </w:p>
    <w:p>
      <w:pPr>
        <w:rPr>
          <w:rFonts w:eastAsia="黑体"/>
          <w:sz w:val="36"/>
        </w:rPr>
      </w:pPr>
    </w:p>
    <w:p>
      <w:pPr>
        <w:jc w:val="center"/>
        <w:outlineLvl w:val="0"/>
        <w:rPr>
          <w:rFonts w:eastAsia="黑体"/>
          <w:sz w:val="36"/>
        </w:rPr>
      </w:pPr>
      <w:bookmarkStart w:id="0" w:name="_Toc27775"/>
      <w:bookmarkStart w:id="1" w:name="_Toc19316"/>
      <w:bookmarkStart w:id="2" w:name="_Toc103257146"/>
      <w:bookmarkStart w:id="3" w:name="_Toc21809"/>
      <w:bookmarkStart w:id="4" w:name="_Toc7991"/>
      <w:r>
        <w:rPr>
          <w:rFonts w:hint="eastAsia" w:eastAsia="黑体"/>
          <w:sz w:val="36"/>
        </w:rPr>
        <w:t>前    言</w:t>
      </w:r>
      <w:bookmarkEnd w:id="0"/>
      <w:bookmarkEnd w:id="1"/>
      <w:bookmarkEnd w:id="2"/>
      <w:bookmarkEnd w:id="3"/>
      <w:bookmarkEnd w:id="4"/>
    </w:p>
    <w:p>
      <w:pPr>
        <w:spacing w:line="360" w:lineRule="auto"/>
        <w:ind w:firstLine="480" w:firstLineChars="200"/>
        <w:rPr>
          <w:sz w:val="24"/>
        </w:rPr>
      </w:pPr>
      <w:r>
        <w:rPr>
          <w:rFonts w:hint="eastAsia"/>
          <w:sz w:val="24"/>
        </w:rPr>
        <w:t>根据中国建筑业协会《关于开展第三批团体标准编制工作的通知》（建协函[2019]49号）的要求，规程编制组经广泛调查研究，认真总结实践经验，参考有关国际标准和国外先进标准，并在广泛征求意见的基础上，制定本规程。</w:t>
      </w:r>
    </w:p>
    <w:p>
      <w:pPr>
        <w:pStyle w:val="14"/>
        <w:tabs>
          <w:tab w:val="right" w:leader="dot" w:pos="8302"/>
        </w:tabs>
        <w:spacing w:line="360" w:lineRule="auto"/>
        <w:ind w:firstLine="480" w:firstLineChars="200"/>
        <w:rPr>
          <w:sz w:val="24"/>
        </w:rPr>
      </w:pPr>
      <w:r>
        <w:rPr>
          <w:rFonts w:hint="eastAsia"/>
          <w:sz w:val="24"/>
        </w:rPr>
        <w:t>本规程的主要技术内容是：总则、</w:t>
      </w:r>
      <w:r>
        <w:rPr>
          <w:sz w:val="24"/>
        </w:rPr>
        <w:t>术语</w:t>
      </w:r>
      <w:r>
        <w:rPr>
          <w:rFonts w:hint="eastAsia"/>
          <w:sz w:val="24"/>
        </w:rPr>
        <w:t>、基本规定、管幕设计、施工准备、管幕钢管及附件制作、管幕钢管顶进施工、管幕钢管填充、施工监测和质量验收。</w:t>
      </w:r>
    </w:p>
    <w:p>
      <w:pPr>
        <w:spacing w:line="360" w:lineRule="auto"/>
        <w:ind w:firstLine="480" w:firstLineChars="200"/>
        <w:rPr>
          <w:sz w:val="24"/>
        </w:rPr>
      </w:pPr>
      <w:r>
        <w:rPr>
          <w:rFonts w:hint="eastAsia"/>
          <w:sz w:val="24"/>
        </w:rPr>
        <w:t>本规程由中国建筑业协会负责管理，由中国建筑业协会深基础与地下空间工</w:t>
      </w:r>
      <w:r>
        <w:rPr>
          <w:rFonts w:hint="eastAsia"/>
          <w:sz w:val="24"/>
        </w:rPr>
        <w:t>程分会负责日常管理，由北京城建集团有限责任公司负责具体技术内容的解释。执行过程中如有意见或建议，请寄送北京城建集团有限责任公司（地址：北京市海淀区北太平庄路18号城建大厦，邮政编码：100088）</w:t>
      </w:r>
    </w:p>
    <w:p>
      <w:pPr>
        <w:spacing w:line="440" w:lineRule="exact"/>
        <w:ind w:firstLine="480" w:firstLineChars="200"/>
        <w:rPr>
          <w:sz w:val="24"/>
        </w:rPr>
      </w:pPr>
      <w:r>
        <w:rPr>
          <w:rFonts w:hint="eastAsia"/>
          <w:sz w:val="24"/>
        </w:rPr>
        <w:t>本标准主编单位：</w:t>
      </w:r>
    </w:p>
    <w:p>
      <w:pPr>
        <w:spacing w:line="440" w:lineRule="exact"/>
        <w:ind w:firstLine="2400" w:firstLineChars="1000"/>
        <w:rPr>
          <w:sz w:val="24"/>
        </w:rPr>
      </w:pPr>
    </w:p>
    <w:p>
      <w:pPr>
        <w:spacing w:line="440" w:lineRule="exact"/>
        <w:ind w:left="2399" w:leftChars="228" w:hanging="1920" w:hangingChars="800"/>
        <w:rPr>
          <w:rFonts w:hint="eastAsia"/>
          <w:sz w:val="24"/>
        </w:rPr>
      </w:pPr>
      <w:r>
        <w:rPr>
          <w:rFonts w:hint="eastAsia"/>
          <w:sz w:val="24"/>
        </w:rPr>
        <w:t>本标准参编单位：</w:t>
      </w:r>
    </w:p>
    <w:p>
      <w:pPr>
        <w:spacing w:line="440" w:lineRule="exact"/>
        <w:ind w:firstLine="2400" w:firstLineChars="1000"/>
        <w:rPr>
          <w:rFonts w:hint="default"/>
          <w:sz w:val="24"/>
          <w:lang w:val="en-US" w:eastAsia="zh-CN"/>
        </w:rPr>
      </w:pPr>
    </w:p>
    <w:p>
      <w:pPr>
        <w:spacing w:before="156" w:beforeLines="50" w:after="156" w:afterLines="50"/>
        <w:jc w:val="center"/>
        <w:outlineLvl w:val="0"/>
        <w:rPr>
          <w:rFonts w:ascii="宋体" w:hAnsi="宋体"/>
          <w:sz w:val="28"/>
        </w:rPr>
      </w:pPr>
      <w:r>
        <w:rPr>
          <w:rFonts w:ascii="宋体" w:hAnsi="宋体"/>
          <w:sz w:val="28"/>
        </w:rPr>
        <w:br w:type="page"/>
      </w:r>
      <w:bookmarkStart w:id="5" w:name="_Toc82"/>
      <w:bookmarkStart w:id="6" w:name="_Toc103257147"/>
      <w:bookmarkStart w:id="7" w:name="_Toc2131"/>
      <w:bookmarkStart w:id="8" w:name="_Toc11160"/>
      <w:r>
        <w:rPr>
          <w:rFonts w:hint="eastAsia"/>
          <w:sz w:val="32"/>
          <w:szCs w:val="20"/>
        </w:rPr>
        <w:t>目    次</w:t>
      </w:r>
      <w:bookmarkEnd w:id="5"/>
      <w:bookmarkEnd w:id="6"/>
      <w:bookmarkEnd w:id="7"/>
      <w:bookmarkEnd w:id="8"/>
    </w:p>
    <w:p>
      <w:pPr>
        <w:pStyle w:val="14"/>
        <w:tabs>
          <w:tab w:val="right" w:leader="dot" w:pos="8312"/>
        </w:tabs>
      </w:pPr>
      <w:r>
        <w:rPr>
          <w:rFonts w:hint="eastAsia" w:ascii="宋体" w:hAnsi="宋体"/>
        </w:rPr>
        <w:fldChar w:fldCharType="begin"/>
      </w:r>
      <w:r>
        <w:rPr>
          <w:rFonts w:hint="eastAsia" w:ascii="宋体" w:hAnsi="宋体"/>
        </w:rPr>
        <w:instrText xml:space="preserve">TOC \o "1-2" \u </w:instrText>
      </w:r>
      <w:r>
        <w:rPr>
          <w:rFonts w:hint="eastAsia" w:ascii="宋体" w:hAnsi="宋体"/>
        </w:rPr>
        <w:fldChar w:fldCharType="separate"/>
      </w:r>
      <w:r>
        <w:rPr>
          <w:rFonts w:hint="eastAsia"/>
          <w:szCs w:val="20"/>
        </w:rPr>
        <w:t>1  总</w:t>
      </w:r>
      <w:r>
        <w:rPr>
          <w:rFonts w:hint="eastAsia"/>
          <w:szCs w:val="20"/>
          <w:lang w:val="en-US" w:eastAsia="zh-CN"/>
        </w:rPr>
        <w:t xml:space="preserve"> </w:t>
      </w:r>
      <w:r>
        <w:rPr>
          <w:rFonts w:hint="eastAsia"/>
          <w:szCs w:val="20"/>
        </w:rPr>
        <w:t xml:space="preserve"> 则</w:t>
      </w:r>
      <w:r>
        <w:tab/>
      </w:r>
      <w:r>
        <w:fldChar w:fldCharType="begin"/>
      </w:r>
      <w:r>
        <w:instrText xml:space="preserve"> PAGEREF _Toc16081 \h </w:instrText>
      </w:r>
      <w:r>
        <w:fldChar w:fldCharType="separate"/>
      </w:r>
      <w:r>
        <w:t>1</w:t>
      </w:r>
      <w:r>
        <w:fldChar w:fldCharType="end"/>
      </w:r>
    </w:p>
    <w:p>
      <w:pPr>
        <w:pStyle w:val="14"/>
        <w:tabs>
          <w:tab w:val="right" w:leader="dot" w:pos="8312"/>
        </w:tabs>
      </w:pPr>
      <w:r>
        <w:rPr>
          <w:rFonts w:hint="eastAsia"/>
          <w:szCs w:val="20"/>
        </w:rPr>
        <w:t xml:space="preserve">2 </w:t>
      </w:r>
      <w:r>
        <w:rPr>
          <w:rFonts w:hint="eastAsia"/>
          <w:szCs w:val="20"/>
          <w:lang w:val="en-US" w:eastAsia="zh-CN"/>
        </w:rPr>
        <w:t xml:space="preserve"> </w:t>
      </w:r>
      <w:r>
        <w:rPr>
          <w:rFonts w:hint="eastAsia"/>
          <w:szCs w:val="20"/>
        </w:rPr>
        <w:t>术</w:t>
      </w:r>
      <w:r>
        <w:rPr>
          <w:rFonts w:hint="eastAsia"/>
          <w:szCs w:val="20"/>
          <w:lang w:val="en-US" w:eastAsia="zh-CN"/>
        </w:rPr>
        <w:t xml:space="preserve">  </w:t>
      </w:r>
      <w:r>
        <w:rPr>
          <w:rFonts w:hint="eastAsia"/>
          <w:szCs w:val="20"/>
        </w:rPr>
        <w:t>语</w:t>
      </w:r>
      <w:r>
        <w:tab/>
      </w:r>
      <w:r>
        <w:fldChar w:fldCharType="begin"/>
      </w:r>
      <w:r>
        <w:instrText xml:space="preserve"> PAGEREF _Toc8480 \h </w:instrText>
      </w:r>
      <w:r>
        <w:fldChar w:fldCharType="separate"/>
      </w:r>
      <w:r>
        <w:t>2</w:t>
      </w:r>
      <w:r>
        <w:fldChar w:fldCharType="end"/>
      </w:r>
    </w:p>
    <w:p>
      <w:pPr>
        <w:pStyle w:val="14"/>
        <w:tabs>
          <w:tab w:val="right" w:leader="dot" w:pos="8312"/>
        </w:tabs>
      </w:pPr>
      <w:r>
        <w:rPr>
          <w:rFonts w:hint="eastAsia"/>
          <w:szCs w:val="20"/>
        </w:rPr>
        <w:t>3  基 本 规 定</w:t>
      </w:r>
      <w:r>
        <w:tab/>
      </w:r>
      <w:r>
        <w:fldChar w:fldCharType="begin"/>
      </w:r>
      <w:r>
        <w:instrText xml:space="preserve"> PAGEREF _Toc25953 \h </w:instrText>
      </w:r>
      <w:r>
        <w:fldChar w:fldCharType="separate"/>
      </w:r>
      <w:r>
        <w:t>4</w:t>
      </w:r>
      <w:r>
        <w:fldChar w:fldCharType="end"/>
      </w:r>
    </w:p>
    <w:p>
      <w:pPr>
        <w:pStyle w:val="14"/>
        <w:tabs>
          <w:tab w:val="right" w:leader="dot" w:pos="8312"/>
        </w:tabs>
      </w:pPr>
      <w:r>
        <w:rPr>
          <w:rFonts w:hint="eastAsia"/>
          <w:szCs w:val="20"/>
        </w:rPr>
        <w:t>4  管 幕 设 计</w:t>
      </w:r>
      <w:r>
        <w:tab/>
      </w:r>
      <w:r>
        <w:fldChar w:fldCharType="begin"/>
      </w:r>
      <w:r>
        <w:instrText xml:space="preserve"> PAGEREF _Toc30598 \h </w:instrText>
      </w:r>
      <w:r>
        <w:fldChar w:fldCharType="separate"/>
      </w:r>
      <w:r>
        <w:t>5</w:t>
      </w:r>
      <w:r>
        <w:fldChar w:fldCharType="end"/>
      </w:r>
    </w:p>
    <w:p>
      <w:pPr>
        <w:pStyle w:val="15"/>
        <w:tabs>
          <w:tab w:val="right" w:leader="dot" w:pos="8312"/>
        </w:tabs>
      </w:pPr>
      <w:r>
        <w:rPr>
          <w:rFonts w:eastAsia="黑体"/>
        </w:rPr>
        <w:t>4.1  一</w:t>
      </w:r>
      <w:r>
        <w:rPr>
          <w:rFonts w:hint="eastAsia" w:eastAsia="黑体"/>
          <w:lang w:val="en-US" w:eastAsia="zh-CN"/>
        </w:rPr>
        <w:t xml:space="preserve"> </w:t>
      </w:r>
      <w:r>
        <w:rPr>
          <w:rFonts w:eastAsia="黑体"/>
        </w:rPr>
        <w:t>般</w:t>
      </w:r>
      <w:r>
        <w:rPr>
          <w:rFonts w:hint="eastAsia" w:eastAsia="黑体"/>
          <w:lang w:val="en-US" w:eastAsia="zh-CN"/>
        </w:rPr>
        <w:t xml:space="preserve"> </w:t>
      </w:r>
      <w:r>
        <w:rPr>
          <w:rFonts w:eastAsia="黑体"/>
        </w:rPr>
        <w:t>规</w:t>
      </w:r>
      <w:r>
        <w:rPr>
          <w:rFonts w:hint="eastAsia" w:eastAsia="黑体"/>
          <w:lang w:val="en-US" w:eastAsia="zh-CN"/>
        </w:rPr>
        <w:t xml:space="preserve"> </w:t>
      </w:r>
      <w:r>
        <w:rPr>
          <w:rFonts w:eastAsia="黑体"/>
        </w:rPr>
        <w:t>定</w:t>
      </w:r>
      <w:r>
        <w:tab/>
      </w:r>
      <w:r>
        <w:fldChar w:fldCharType="begin"/>
      </w:r>
      <w:r>
        <w:instrText xml:space="preserve"> PAGEREF _Toc782 \h </w:instrText>
      </w:r>
      <w:r>
        <w:fldChar w:fldCharType="separate"/>
      </w:r>
      <w:r>
        <w:t>5</w:t>
      </w:r>
      <w:r>
        <w:fldChar w:fldCharType="end"/>
      </w:r>
    </w:p>
    <w:p>
      <w:pPr>
        <w:pStyle w:val="15"/>
        <w:tabs>
          <w:tab w:val="right" w:leader="dot" w:pos="8312"/>
        </w:tabs>
      </w:pPr>
      <w:r>
        <w:rPr>
          <w:rFonts w:eastAsia="黑体"/>
        </w:rPr>
        <w:t>4.2  管幕结构选型</w:t>
      </w:r>
      <w:r>
        <w:tab/>
      </w:r>
      <w:r>
        <w:fldChar w:fldCharType="begin"/>
      </w:r>
      <w:r>
        <w:instrText xml:space="preserve"> PAGEREF _Toc15996 \h </w:instrText>
      </w:r>
      <w:r>
        <w:fldChar w:fldCharType="separate"/>
      </w:r>
      <w:r>
        <w:t>5</w:t>
      </w:r>
      <w:r>
        <w:fldChar w:fldCharType="end"/>
      </w:r>
    </w:p>
    <w:p>
      <w:pPr>
        <w:pStyle w:val="15"/>
        <w:tabs>
          <w:tab w:val="right" w:leader="dot" w:pos="8312"/>
        </w:tabs>
      </w:pPr>
      <w:r>
        <w:rPr>
          <w:rFonts w:eastAsia="黑体"/>
        </w:rPr>
        <w:t>4.3  管</w:t>
      </w:r>
      <w:r>
        <w:rPr>
          <w:rFonts w:hint="eastAsia" w:eastAsia="黑体"/>
          <w:lang w:val="en-US" w:eastAsia="zh-CN"/>
        </w:rPr>
        <w:t xml:space="preserve"> </w:t>
      </w:r>
      <w:r>
        <w:rPr>
          <w:rFonts w:eastAsia="黑体"/>
        </w:rPr>
        <w:t>幕</w:t>
      </w:r>
      <w:r>
        <w:rPr>
          <w:rFonts w:hint="eastAsia" w:eastAsia="黑体"/>
          <w:lang w:val="en-US" w:eastAsia="zh-CN"/>
        </w:rPr>
        <w:t xml:space="preserve"> </w:t>
      </w:r>
      <w:r>
        <w:rPr>
          <w:rFonts w:eastAsia="黑体"/>
        </w:rPr>
        <w:t>材</w:t>
      </w:r>
      <w:r>
        <w:rPr>
          <w:rFonts w:hint="eastAsia" w:eastAsia="黑体"/>
          <w:lang w:val="en-US" w:eastAsia="zh-CN"/>
        </w:rPr>
        <w:t xml:space="preserve"> </w:t>
      </w:r>
      <w:r>
        <w:rPr>
          <w:rFonts w:eastAsia="黑体"/>
        </w:rPr>
        <w:t>料</w:t>
      </w:r>
      <w:r>
        <w:tab/>
      </w:r>
      <w:r>
        <w:fldChar w:fldCharType="begin"/>
      </w:r>
      <w:r>
        <w:instrText xml:space="preserve"> PAGEREF _Toc17996 \h </w:instrText>
      </w:r>
      <w:r>
        <w:fldChar w:fldCharType="separate"/>
      </w:r>
      <w:r>
        <w:t>6</w:t>
      </w:r>
      <w:r>
        <w:fldChar w:fldCharType="end"/>
      </w:r>
    </w:p>
    <w:p>
      <w:pPr>
        <w:pStyle w:val="15"/>
        <w:tabs>
          <w:tab w:val="right" w:leader="dot" w:pos="8312"/>
        </w:tabs>
      </w:pPr>
      <w:r>
        <w:rPr>
          <w:rFonts w:eastAsia="黑体"/>
        </w:rPr>
        <w:t>4.4  管幕布置与连接</w:t>
      </w:r>
      <w:r>
        <w:tab/>
      </w:r>
      <w:r>
        <w:fldChar w:fldCharType="begin"/>
      </w:r>
      <w:r>
        <w:instrText xml:space="preserve"> PAGEREF _Toc17407 \h </w:instrText>
      </w:r>
      <w:r>
        <w:fldChar w:fldCharType="separate"/>
      </w:r>
      <w:r>
        <w:t>7</w:t>
      </w:r>
      <w:r>
        <w:fldChar w:fldCharType="end"/>
      </w:r>
    </w:p>
    <w:p>
      <w:pPr>
        <w:pStyle w:val="15"/>
        <w:tabs>
          <w:tab w:val="right" w:leader="dot" w:pos="8312"/>
        </w:tabs>
      </w:pPr>
      <w:r>
        <w:rPr>
          <w:rFonts w:eastAsia="黑体"/>
        </w:rPr>
        <w:t>4.5  管内骨架与填充</w:t>
      </w:r>
      <w:r>
        <w:tab/>
      </w:r>
      <w:r>
        <w:fldChar w:fldCharType="begin"/>
      </w:r>
      <w:r>
        <w:instrText xml:space="preserve"> PAGEREF _Toc306 \h </w:instrText>
      </w:r>
      <w:r>
        <w:fldChar w:fldCharType="separate"/>
      </w:r>
      <w:r>
        <w:t>8</w:t>
      </w:r>
      <w:r>
        <w:fldChar w:fldCharType="end"/>
      </w:r>
    </w:p>
    <w:p>
      <w:pPr>
        <w:pStyle w:val="15"/>
        <w:tabs>
          <w:tab w:val="right" w:leader="dot" w:pos="8312"/>
        </w:tabs>
      </w:pPr>
      <w:r>
        <w:rPr>
          <w:rFonts w:eastAsia="黑体"/>
        </w:rPr>
        <w:t>4.6  工作井</w:t>
      </w:r>
      <w:r>
        <w:rPr>
          <w:rFonts w:hint="eastAsia" w:eastAsia="黑体"/>
        </w:rPr>
        <w:t>或</w:t>
      </w:r>
      <w:r>
        <w:rPr>
          <w:rFonts w:eastAsia="黑体"/>
        </w:rPr>
        <w:t>洞室设计</w:t>
      </w:r>
      <w:r>
        <w:tab/>
      </w:r>
      <w:r>
        <w:fldChar w:fldCharType="begin"/>
      </w:r>
      <w:r>
        <w:instrText xml:space="preserve"> PAGEREF _Toc1448 \h </w:instrText>
      </w:r>
      <w:r>
        <w:fldChar w:fldCharType="separate"/>
      </w:r>
      <w:r>
        <w:t>8</w:t>
      </w:r>
      <w:r>
        <w:fldChar w:fldCharType="end"/>
      </w:r>
    </w:p>
    <w:p>
      <w:pPr>
        <w:pStyle w:val="15"/>
        <w:tabs>
          <w:tab w:val="right" w:leader="dot" w:pos="8312"/>
        </w:tabs>
      </w:pPr>
      <w:r>
        <w:rPr>
          <w:rFonts w:eastAsia="黑体"/>
        </w:rPr>
        <w:t>4.7  后背墙设计</w:t>
      </w:r>
      <w:r>
        <w:tab/>
      </w:r>
      <w:r>
        <w:fldChar w:fldCharType="begin"/>
      </w:r>
      <w:r>
        <w:instrText xml:space="preserve"> PAGEREF _Toc26439 \h </w:instrText>
      </w:r>
      <w:r>
        <w:fldChar w:fldCharType="separate"/>
      </w:r>
      <w:r>
        <w:t>10</w:t>
      </w:r>
      <w:r>
        <w:fldChar w:fldCharType="end"/>
      </w:r>
    </w:p>
    <w:p>
      <w:pPr>
        <w:pStyle w:val="15"/>
        <w:tabs>
          <w:tab w:val="right" w:leader="dot" w:pos="8312"/>
        </w:tabs>
      </w:pPr>
      <w:r>
        <w:rPr>
          <w:rFonts w:eastAsia="黑体"/>
        </w:rPr>
        <w:t>4.8  管幕结构计算</w:t>
      </w:r>
      <w:r>
        <w:tab/>
      </w:r>
      <w:r>
        <w:fldChar w:fldCharType="begin"/>
      </w:r>
      <w:r>
        <w:instrText xml:space="preserve"> PAGEREF _Toc19411 \h </w:instrText>
      </w:r>
      <w:r>
        <w:fldChar w:fldCharType="separate"/>
      </w:r>
      <w:r>
        <w:t>10</w:t>
      </w:r>
      <w:r>
        <w:fldChar w:fldCharType="end"/>
      </w:r>
    </w:p>
    <w:p>
      <w:pPr>
        <w:pStyle w:val="15"/>
        <w:tabs>
          <w:tab w:val="right" w:leader="dot" w:pos="8312"/>
        </w:tabs>
      </w:pPr>
      <w:r>
        <w:rPr>
          <w:rFonts w:eastAsia="黑体"/>
        </w:rPr>
        <w:t>4.9  管幕构造设计</w:t>
      </w:r>
      <w:r>
        <w:tab/>
      </w:r>
      <w:r>
        <w:fldChar w:fldCharType="begin"/>
      </w:r>
      <w:r>
        <w:instrText xml:space="preserve"> PAGEREF _Toc16041 \h </w:instrText>
      </w:r>
      <w:r>
        <w:fldChar w:fldCharType="separate"/>
      </w:r>
      <w:r>
        <w:t>13</w:t>
      </w:r>
      <w:r>
        <w:fldChar w:fldCharType="end"/>
      </w:r>
    </w:p>
    <w:p>
      <w:pPr>
        <w:pStyle w:val="14"/>
        <w:tabs>
          <w:tab w:val="right" w:leader="dot" w:pos="8312"/>
        </w:tabs>
      </w:pPr>
      <w:r>
        <w:rPr>
          <w:rFonts w:hint="eastAsia"/>
          <w:szCs w:val="20"/>
        </w:rPr>
        <w:t>5  施 工 准 备</w:t>
      </w:r>
      <w:r>
        <w:tab/>
      </w:r>
      <w:r>
        <w:fldChar w:fldCharType="begin"/>
      </w:r>
      <w:r>
        <w:instrText xml:space="preserve"> PAGEREF _Toc3754 \h </w:instrText>
      </w:r>
      <w:r>
        <w:fldChar w:fldCharType="separate"/>
      </w:r>
      <w:r>
        <w:t>14</w:t>
      </w:r>
      <w:r>
        <w:fldChar w:fldCharType="end"/>
      </w:r>
    </w:p>
    <w:p>
      <w:pPr>
        <w:pStyle w:val="15"/>
        <w:tabs>
          <w:tab w:val="right" w:leader="dot" w:pos="8312"/>
        </w:tabs>
      </w:pPr>
      <w:r>
        <w:rPr>
          <w:rFonts w:hint="eastAsia" w:eastAsia="黑体"/>
        </w:rPr>
        <w:t>5.1  一 般 规 定</w:t>
      </w:r>
      <w:r>
        <w:tab/>
      </w:r>
      <w:r>
        <w:fldChar w:fldCharType="begin"/>
      </w:r>
      <w:r>
        <w:instrText xml:space="preserve"> PAGEREF _Toc18253 \h </w:instrText>
      </w:r>
      <w:r>
        <w:fldChar w:fldCharType="separate"/>
      </w:r>
      <w:r>
        <w:t>14</w:t>
      </w:r>
      <w:r>
        <w:fldChar w:fldCharType="end"/>
      </w:r>
    </w:p>
    <w:p>
      <w:pPr>
        <w:pStyle w:val="15"/>
        <w:tabs>
          <w:tab w:val="right" w:leader="dot" w:pos="8312"/>
        </w:tabs>
      </w:pPr>
      <w:r>
        <w:rPr>
          <w:rFonts w:hint="eastAsia" w:eastAsia="黑体"/>
        </w:rPr>
        <w:t>5.2  技 术 准 备</w:t>
      </w:r>
      <w:r>
        <w:tab/>
      </w:r>
      <w:r>
        <w:fldChar w:fldCharType="begin"/>
      </w:r>
      <w:r>
        <w:instrText xml:space="preserve"> PAGEREF _Toc31965 \h </w:instrText>
      </w:r>
      <w:r>
        <w:fldChar w:fldCharType="separate"/>
      </w:r>
      <w:r>
        <w:t>14</w:t>
      </w:r>
      <w:r>
        <w:fldChar w:fldCharType="end"/>
      </w:r>
    </w:p>
    <w:p>
      <w:pPr>
        <w:pStyle w:val="15"/>
        <w:tabs>
          <w:tab w:val="right" w:leader="dot" w:pos="8312"/>
        </w:tabs>
      </w:pPr>
      <w:r>
        <w:rPr>
          <w:rFonts w:hint="eastAsia" w:eastAsia="黑体"/>
        </w:rPr>
        <w:t>5.</w:t>
      </w:r>
      <w:r>
        <w:rPr>
          <w:rFonts w:eastAsia="黑体"/>
        </w:rPr>
        <w:t>3</w:t>
      </w:r>
      <w:r>
        <w:rPr>
          <w:rFonts w:hint="eastAsia" w:eastAsia="黑体"/>
        </w:rPr>
        <w:t xml:space="preserve">  设备选型与配置</w:t>
      </w:r>
      <w:r>
        <w:tab/>
      </w:r>
      <w:r>
        <w:fldChar w:fldCharType="begin"/>
      </w:r>
      <w:r>
        <w:instrText xml:space="preserve"> PAGEREF _Toc29043 \h </w:instrText>
      </w:r>
      <w:r>
        <w:fldChar w:fldCharType="separate"/>
      </w:r>
      <w:r>
        <w:t>15</w:t>
      </w:r>
      <w:r>
        <w:fldChar w:fldCharType="end"/>
      </w:r>
    </w:p>
    <w:p>
      <w:pPr>
        <w:pStyle w:val="15"/>
        <w:tabs>
          <w:tab w:val="right" w:leader="dot" w:pos="8312"/>
        </w:tabs>
      </w:pPr>
      <w:r>
        <w:rPr>
          <w:rFonts w:hint="eastAsia" w:eastAsia="黑体"/>
        </w:rPr>
        <w:t>5.</w:t>
      </w:r>
      <w:r>
        <w:rPr>
          <w:rFonts w:eastAsia="黑体"/>
        </w:rPr>
        <w:t>4</w:t>
      </w:r>
      <w:r>
        <w:rPr>
          <w:rFonts w:hint="eastAsia" w:eastAsia="黑体"/>
        </w:rPr>
        <w:t xml:space="preserve">  辅</w:t>
      </w:r>
      <w:r>
        <w:rPr>
          <w:rFonts w:hint="eastAsia" w:eastAsia="黑体"/>
          <w:lang w:val="en-US" w:eastAsia="zh-CN"/>
        </w:rPr>
        <w:t xml:space="preserve"> </w:t>
      </w:r>
      <w:r>
        <w:rPr>
          <w:rFonts w:hint="eastAsia" w:eastAsia="黑体"/>
        </w:rPr>
        <w:t>助</w:t>
      </w:r>
      <w:r>
        <w:rPr>
          <w:rFonts w:hint="eastAsia" w:eastAsia="黑体"/>
          <w:lang w:val="en-US" w:eastAsia="zh-CN"/>
        </w:rPr>
        <w:t xml:space="preserve"> </w:t>
      </w:r>
      <w:r>
        <w:rPr>
          <w:rFonts w:hint="eastAsia" w:eastAsia="黑体"/>
        </w:rPr>
        <w:t>设</w:t>
      </w:r>
      <w:r>
        <w:rPr>
          <w:rFonts w:hint="eastAsia" w:eastAsia="黑体"/>
          <w:lang w:val="en-US" w:eastAsia="zh-CN"/>
        </w:rPr>
        <w:t xml:space="preserve"> </w:t>
      </w:r>
      <w:r>
        <w:rPr>
          <w:rFonts w:hint="eastAsia" w:eastAsia="黑体"/>
        </w:rPr>
        <w:t>施</w:t>
      </w:r>
      <w:r>
        <w:tab/>
      </w:r>
      <w:r>
        <w:fldChar w:fldCharType="begin"/>
      </w:r>
      <w:r>
        <w:instrText xml:space="preserve"> PAGEREF _Toc30929 \h </w:instrText>
      </w:r>
      <w:r>
        <w:fldChar w:fldCharType="separate"/>
      </w:r>
      <w:r>
        <w:t>18</w:t>
      </w:r>
      <w:r>
        <w:fldChar w:fldCharType="end"/>
      </w:r>
    </w:p>
    <w:p>
      <w:pPr>
        <w:pStyle w:val="15"/>
        <w:tabs>
          <w:tab w:val="right" w:leader="dot" w:pos="8312"/>
        </w:tabs>
      </w:pPr>
      <w:r>
        <w:rPr>
          <w:rFonts w:hint="eastAsia" w:eastAsia="黑体"/>
        </w:rPr>
        <w:t>5.</w:t>
      </w:r>
      <w:r>
        <w:rPr>
          <w:rFonts w:eastAsia="黑体"/>
        </w:rPr>
        <w:t>5</w:t>
      </w:r>
      <w:r>
        <w:rPr>
          <w:rFonts w:hint="eastAsia" w:eastAsia="黑体"/>
        </w:rPr>
        <w:t xml:space="preserve">  工作井与洞室施工</w:t>
      </w:r>
      <w:r>
        <w:tab/>
      </w:r>
      <w:r>
        <w:fldChar w:fldCharType="begin"/>
      </w:r>
      <w:r>
        <w:instrText xml:space="preserve"> PAGEREF _Toc1152 \h </w:instrText>
      </w:r>
      <w:r>
        <w:fldChar w:fldCharType="separate"/>
      </w:r>
      <w:r>
        <w:t>19</w:t>
      </w:r>
      <w:r>
        <w:fldChar w:fldCharType="end"/>
      </w:r>
    </w:p>
    <w:p>
      <w:pPr>
        <w:pStyle w:val="14"/>
        <w:tabs>
          <w:tab w:val="right" w:leader="dot" w:pos="8312"/>
        </w:tabs>
      </w:pPr>
      <w:r>
        <w:rPr>
          <w:rFonts w:hint="eastAsia"/>
          <w:szCs w:val="20"/>
        </w:rPr>
        <w:t>6  管幕钢管及附件制作</w:t>
      </w:r>
      <w:r>
        <w:tab/>
      </w:r>
      <w:r>
        <w:fldChar w:fldCharType="begin"/>
      </w:r>
      <w:r>
        <w:instrText xml:space="preserve"> PAGEREF _Toc18570 \h </w:instrText>
      </w:r>
      <w:r>
        <w:fldChar w:fldCharType="separate"/>
      </w:r>
      <w:r>
        <w:t>20</w:t>
      </w:r>
      <w:r>
        <w:fldChar w:fldCharType="end"/>
      </w:r>
    </w:p>
    <w:p>
      <w:pPr>
        <w:pStyle w:val="15"/>
        <w:tabs>
          <w:tab w:val="right" w:leader="dot" w:pos="8312"/>
        </w:tabs>
      </w:pPr>
      <w:r>
        <w:rPr>
          <w:rFonts w:hint="eastAsia" w:eastAsia="黑体"/>
        </w:rPr>
        <w:t>6.1  一</w:t>
      </w:r>
      <w:r>
        <w:rPr>
          <w:rFonts w:hint="eastAsia" w:eastAsia="黑体"/>
          <w:lang w:val="en-US" w:eastAsia="zh-CN"/>
        </w:rPr>
        <w:t xml:space="preserve"> </w:t>
      </w:r>
      <w:r>
        <w:rPr>
          <w:rFonts w:hint="eastAsia" w:eastAsia="黑体"/>
        </w:rPr>
        <w:t>般</w:t>
      </w:r>
      <w:r>
        <w:rPr>
          <w:rFonts w:hint="eastAsia" w:eastAsia="黑体"/>
          <w:lang w:val="en-US" w:eastAsia="zh-CN"/>
        </w:rPr>
        <w:t xml:space="preserve"> </w:t>
      </w:r>
      <w:r>
        <w:rPr>
          <w:rFonts w:hint="eastAsia" w:eastAsia="黑体"/>
        </w:rPr>
        <w:t>规</w:t>
      </w:r>
      <w:r>
        <w:rPr>
          <w:rFonts w:hint="eastAsia" w:eastAsia="黑体"/>
          <w:lang w:val="en-US" w:eastAsia="zh-CN"/>
        </w:rPr>
        <w:t xml:space="preserve"> </w:t>
      </w:r>
      <w:r>
        <w:rPr>
          <w:rFonts w:hint="eastAsia" w:eastAsia="黑体"/>
        </w:rPr>
        <w:t>定</w:t>
      </w:r>
      <w:r>
        <w:tab/>
      </w:r>
      <w:r>
        <w:fldChar w:fldCharType="begin"/>
      </w:r>
      <w:r>
        <w:instrText xml:space="preserve"> PAGEREF _Toc8665 \h </w:instrText>
      </w:r>
      <w:r>
        <w:fldChar w:fldCharType="separate"/>
      </w:r>
      <w:r>
        <w:t>20</w:t>
      </w:r>
      <w:r>
        <w:fldChar w:fldCharType="end"/>
      </w:r>
    </w:p>
    <w:p>
      <w:pPr>
        <w:pStyle w:val="15"/>
        <w:tabs>
          <w:tab w:val="right" w:leader="dot" w:pos="8312"/>
        </w:tabs>
      </w:pPr>
      <w:r>
        <w:rPr>
          <w:rFonts w:hint="eastAsia" w:eastAsia="黑体"/>
        </w:rPr>
        <w:t>6.2  钢</w:t>
      </w:r>
      <w:r>
        <w:rPr>
          <w:rFonts w:hint="eastAsia" w:eastAsia="黑体"/>
          <w:lang w:val="en-US" w:eastAsia="zh-CN"/>
        </w:rPr>
        <w:t xml:space="preserve"> </w:t>
      </w:r>
      <w:r>
        <w:rPr>
          <w:rFonts w:hint="eastAsia" w:eastAsia="黑体"/>
        </w:rPr>
        <w:t>管</w:t>
      </w:r>
      <w:r>
        <w:rPr>
          <w:rFonts w:hint="eastAsia" w:eastAsia="黑体"/>
          <w:lang w:val="en-US" w:eastAsia="zh-CN"/>
        </w:rPr>
        <w:t xml:space="preserve"> </w:t>
      </w:r>
      <w:r>
        <w:rPr>
          <w:rFonts w:hint="eastAsia" w:eastAsia="黑体"/>
        </w:rPr>
        <w:t>制</w:t>
      </w:r>
      <w:r>
        <w:rPr>
          <w:rFonts w:hint="eastAsia" w:eastAsia="黑体"/>
          <w:lang w:val="en-US" w:eastAsia="zh-CN"/>
        </w:rPr>
        <w:t xml:space="preserve"> </w:t>
      </w:r>
      <w:r>
        <w:rPr>
          <w:rFonts w:hint="eastAsia" w:eastAsia="黑体"/>
        </w:rPr>
        <w:t>作</w:t>
      </w:r>
      <w:r>
        <w:tab/>
      </w:r>
      <w:r>
        <w:fldChar w:fldCharType="begin"/>
      </w:r>
      <w:r>
        <w:instrText xml:space="preserve"> PAGEREF _Toc21915 \h </w:instrText>
      </w:r>
      <w:r>
        <w:fldChar w:fldCharType="separate"/>
      </w:r>
      <w:r>
        <w:t>20</w:t>
      </w:r>
      <w:r>
        <w:fldChar w:fldCharType="end"/>
      </w:r>
    </w:p>
    <w:p>
      <w:pPr>
        <w:pStyle w:val="15"/>
        <w:tabs>
          <w:tab w:val="right" w:leader="dot" w:pos="8312"/>
        </w:tabs>
      </w:pPr>
      <w:r>
        <w:rPr>
          <w:rFonts w:hint="eastAsia" w:eastAsia="黑体"/>
        </w:rPr>
        <w:t>6.3  管幕钢管附件</w:t>
      </w:r>
      <w:r>
        <w:tab/>
      </w:r>
      <w:r>
        <w:fldChar w:fldCharType="begin"/>
      </w:r>
      <w:r>
        <w:instrText xml:space="preserve"> PAGEREF _Toc11129 \h </w:instrText>
      </w:r>
      <w:r>
        <w:fldChar w:fldCharType="separate"/>
      </w:r>
      <w:r>
        <w:t>20</w:t>
      </w:r>
      <w:r>
        <w:fldChar w:fldCharType="end"/>
      </w:r>
    </w:p>
    <w:p>
      <w:pPr>
        <w:pStyle w:val="15"/>
        <w:tabs>
          <w:tab w:val="right" w:leader="dot" w:pos="8312"/>
        </w:tabs>
      </w:pPr>
      <w:r>
        <w:rPr>
          <w:rFonts w:hint="eastAsia" w:eastAsia="黑体"/>
        </w:rPr>
        <w:t>6.4  管内骨架制作</w:t>
      </w:r>
      <w:r>
        <w:tab/>
      </w:r>
      <w:r>
        <w:fldChar w:fldCharType="begin"/>
      </w:r>
      <w:r>
        <w:instrText xml:space="preserve"> PAGEREF _Toc1504 \h </w:instrText>
      </w:r>
      <w:r>
        <w:fldChar w:fldCharType="separate"/>
      </w:r>
      <w:r>
        <w:t>21</w:t>
      </w:r>
      <w:r>
        <w:fldChar w:fldCharType="end"/>
      </w:r>
    </w:p>
    <w:p>
      <w:pPr>
        <w:pStyle w:val="14"/>
        <w:tabs>
          <w:tab w:val="right" w:leader="dot" w:pos="8312"/>
        </w:tabs>
      </w:pPr>
      <w:r>
        <w:rPr>
          <w:rFonts w:hint="eastAsia"/>
          <w:szCs w:val="20"/>
        </w:rPr>
        <w:t>7  管幕钢管顶进施工</w:t>
      </w:r>
      <w:r>
        <w:tab/>
      </w:r>
      <w:r>
        <w:fldChar w:fldCharType="begin"/>
      </w:r>
      <w:r>
        <w:instrText xml:space="preserve"> PAGEREF _Toc5208 \h </w:instrText>
      </w:r>
      <w:r>
        <w:fldChar w:fldCharType="separate"/>
      </w:r>
      <w:r>
        <w:t>22</w:t>
      </w:r>
      <w:r>
        <w:fldChar w:fldCharType="end"/>
      </w:r>
    </w:p>
    <w:p>
      <w:pPr>
        <w:pStyle w:val="15"/>
        <w:tabs>
          <w:tab w:val="right" w:leader="dot" w:pos="8312"/>
        </w:tabs>
      </w:pPr>
      <w:r>
        <w:rPr>
          <w:rFonts w:hint="eastAsia" w:eastAsia="黑体"/>
        </w:rPr>
        <w:t>7.1  一 般 规 定</w:t>
      </w:r>
      <w:r>
        <w:tab/>
      </w:r>
      <w:r>
        <w:fldChar w:fldCharType="begin"/>
      </w:r>
      <w:r>
        <w:instrText xml:space="preserve"> PAGEREF _Toc15061 \h </w:instrText>
      </w:r>
      <w:r>
        <w:fldChar w:fldCharType="separate"/>
      </w:r>
      <w:r>
        <w:t>22</w:t>
      </w:r>
      <w:r>
        <w:fldChar w:fldCharType="end"/>
      </w:r>
    </w:p>
    <w:p>
      <w:pPr>
        <w:pStyle w:val="15"/>
        <w:tabs>
          <w:tab w:val="right" w:leader="dot" w:pos="8312"/>
        </w:tabs>
      </w:pPr>
      <w:r>
        <w:rPr>
          <w:rFonts w:hint="eastAsia" w:eastAsia="黑体"/>
        </w:rPr>
        <w:t>7.2  拉管法施工</w:t>
      </w:r>
      <w:r>
        <w:tab/>
      </w:r>
      <w:r>
        <w:fldChar w:fldCharType="begin"/>
      </w:r>
      <w:r>
        <w:instrText xml:space="preserve"> PAGEREF _Toc4316 \h </w:instrText>
      </w:r>
      <w:r>
        <w:fldChar w:fldCharType="separate"/>
      </w:r>
      <w:r>
        <w:t>22</w:t>
      </w:r>
      <w:r>
        <w:fldChar w:fldCharType="end"/>
      </w:r>
    </w:p>
    <w:p>
      <w:pPr>
        <w:pStyle w:val="15"/>
        <w:tabs>
          <w:tab w:val="right" w:leader="dot" w:pos="8312"/>
        </w:tabs>
      </w:pPr>
      <w:r>
        <w:rPr>
          <w:rFonts w:hint="eastAsia" w:eastAsia="黑体"/>
        </w:rPr>
        <w:t>7.3  夯管法施工</w:t>
      </w:r>
      <w:r>
        <w:tab/>
      </w:r>
      <w:r>
        <w:fldChar w:fldCharType="begin"/>
      </w:r>
      <w:r>
        <w:instrText xml:space="preserve"> PAGEREF _Toc13503 \h </w:instrText>
      </w:r>
      <w:r>
        <w:fldChar w:fldCharType="separate"/>
      </w:r>
      <w:r>
        <w:t>25</w:t>
      </w:r>
      <w:r>
        <w:fldChar w:fldCharType="end"/>
      </w:r>
    </w:p>
    <w:p>
      <w:pPr>
        <w:pStyle w:val="15"/>
        <w:tabs>
          <w:tab w:val="right" w:leader="dot" w:pos="8312"/>
        </w:tabs>
      </w:pPr>
      <w:r>
        <w:rPr>
          <w:rFonts w:hint="eastAsia" w:eastAsia="黑体"/>
        </w:rPr>
        <w:t>7.4  钻进顶管法施工</w:t>
      </w:r>
      <w:r>
        <w:tab/>
      </w:r>
      <w:r>
        <w:fldChar w:fldCharType="begin"/>
      </w:r>
      <w:r>
        <w:instrText xml:space="preserve"> PAGEREF _Toc4066 \h </w:instrText>
      </w:r>
      <w:r>
        <w:fldChar w:fldCharType="separate"/>
      </w:r>
      <w:r>
        <w:t>26</w:t>
      </w:r>
      <w:r>
        <w:fldChar w:fldCharType="end"/>
      </w:r>
    </w:p>
    <w:p>
      <w:pPr>
        <w:pStyle w:val="15"/>
        <w:tabs>
          <w:tab w:val="right" w:leader="dot" w:pos="8312"/>
        </w:tabs>
      </w:pPr>
      <w:r>
        <w:rPr>
          <w:rFonts w:hint="eastAsia" w:eastAsia="黑体"/>
        </w:rPr>
        <w:t>7.5  机械顶管法施工</w:t>
      </w:r>
      <w:r>
        <w:tab/>
      </w:r>
      <w:r>
        <w:fldChar w:fldCharType="begin"/>
      </w:r>
      <w:r>
        <w:instrText xml:space="preserve"> PAGEREF _Toc16388 \h </w:instrText>
      </w:r>
      <w:r>
        <w:fldChar w:fldCharType="separate"/>
      </w:r>
      <w:r>
        <w:t>28</w:t>
      </w:r>
      <w:r>
        <w:fldChar w:fldCharType="end"/>
      </w:r>
    </w:p>
    <w:p>
      <w:pPr>
        <w:pStyle w:val="15"/>
        <w:tabs>
          <w:tab w:val="right" w:leader="dot" w:pos="8312"/>
        </w:tabs>
      </w:pPr>
      <w:r>
        <w:rPr>
          <w:rFonts w:hint="eastAsia" w:eastAsia="黑体"/>
        </w:rPr>
        <w:t>7.6  管幕钢管连接</w:t>
      </w:r>
      <w:r>
        <w:tab/>
      </w:r>
      <w:r>
        <w:fldChar w:fldCharType="begin"/>
      </w:r>
      <w:r>
        <w:instrText xml:space="preserve"> PAGEREF _Toc26927 \h </w:instrText>
      </w:r>
      <w:r>
        <w:fldChar w:fldCharType="separate"/>
      </w:r>
      <w:r>
        <w:t>31</w:t>
      </w:r>
      <w:r>
        <w:fldChar w:fldCharType="end"/>
      </w:r>
    </w:p>
    <w:p>
      <w:pPr>
        <w:pStyle w:val="15"/>
        <w:tabs>
          <w:tab w:val="right" w:leader="dot" w:pos="8312"/>
        </w:tabs>
      </w:pPr>
      <w:r>
        <w:rPr>
          <w:rFonts w:hint="eastAsia" w:eastAsia="黑体"/>
        </w:rPr>
        <w:t>7.7  施工测量</w:t>
      </w:r>
      <w:r>
        <w:tab/>
      </w:r>
      <w:r>
        <w:fldChar w:fldCharType="begin"/>
      </w:r>
      <w:r>
        <w:instrText xml:space="preserve"> PAGEREF _Toc1639 \h </w:instrText>
      </w:r>
      <w:r>
        <w:fldChar w:fldCharType="separate"/>
      </w:r>
      <w:r>
        <w:t>31</w:t>
      </w:r>
      <w:r>
        <w:fldChar w:fldCharType="end"/>
      </w:r>
    </w:p>
    <w:p>
      <w:pPr>
        <w:pStyle w:val="15"/>
        <w:tabs>
          <w:tab w:val="right" w:leader="dot" w:pos="8312"/>
        </w:tabs>
      </w:pPr>
      <w:r>
        <w:rPr>
          <w:rFonts w:hint="eastAsia" w:eastAsia="黑体"/>
        </w:rPr>
        <w:t>7.8  导向控制与纠偏</w:t>
      </w:r>
      <w:r>
        <w:tab/>
      </w:r>
      <w:r>
        <w:fldChar w:fldCharType="begin"/>
      </w:r>
      <w:r>
        <w:instrText xml:space="preserve"> PAGEREF _Toc21574 \h </w:instrText>
      </w:r>
      <w:r>
        <w:fldChar w:fldCharType="separate"/>
      </w:r>
      <w:r>
        <w:t>32</w:t>
      </w:r>
      <w:r>
        <w:fldChar w:fldCharType="end"/>
      </w:r>
    </w:p>
    <w:p>
      <w:pPr>
        <w:pStyle w:val="14"/>
        <w:tabs>
          <w:tab w:val="right" w:leader="dot" w:pos="8312"/>
        </w:tabs>
      </w:pPr>
      <w:r>
        <w:rPr>
          <w:szCs w:val="20"/>
        </w:rPr>
        <w:t>8</w:t>
      </w:r>
      <w:r>
        <w:rPr>
          <w:rFonts w:hint="eastAsia"/>
          <w:szCs w:val="20"/>
        </w:rPr>
        <w:t xml:space="preserve">  管幕钢管填充</w:t>
      </w:r>
      <w:r>
        <w:tab/>
      </w:r>
      <w:r>
        <w:fldChar w:fldCharType="begin"/>
      </w:r>
      <w:r>
        <w:instrText xml:space="preserve"> PAGEREF _Toc27396 \h </w:instrText>
      </w:r>
      <w:r>
        <w:fldChar w:fldCharType="separate"/>
      </w:r>
      <w:r>
        <w:t>34</w:t>
      </w:r>
      <w:r>
        <w:fldChar w:fldCharType="end"/>
      </w:r>
    </w:p>
    <w:p>
      <w:pPr>
        <w:pStyle w:val="15"/>
        <w:tabs>
          <w:tab w:val="right" w:leader="dot" w:pos="8312"/>
        </w:tabs>
      </w:pPr>
      <w:r>
        <w:rPr>
          <w:rFonts w:hint="eastAsia" w:eastAsia="黑体"/>
        </w:rPr>
        <w:t>8.1  一 般 规 定</w:t>
      </w:r>
      <w:r>
        <w:tab/>
      </w:r>
      <w:r>
        <w:fldChar w:fldCharType="begin"/>
      </w:r>
      <w:r>
        <w:instrText xml:space="preserve"> PAGEREF _Toc4844 \h </w:instrText>
      </w:r>
      <w:r>
        <w:fldChar w:fldCharType="separate"/>
      </w:r>
      <w:r>
        <w:t>34</w:t>
      </w:r>
      <w:r>
        <w:fldChar w:fldCharType="end"/>
      </w:r>
    </w:p>
    <w:p>
      <w:pPr>
        <w:pStyle w:val="15"/>
        <w:tabs>
          <w:tab w:val="right" w:leader="dot" w:pos="8312"/>
        </w:tabs>
      </w:pPr>
      <w:r>
        <w:rPr>
          <w:rFonts w:hint="eastAsia" w:eastAsia="黑体"/>
        </w:rPr>
        <w:t xml:space="preserve">8.2 </w:t>
      </w:r>
      <w:r>
        <w:rPr>
          <w:rFonts w:eastAsia="黑体"/>
        </w:rPr>
        <w:t xml:space="preserve"> </w:t>
      </w:r>
      <w:r>
        <w:rPr>
          <w:rFonts w:hint="eastAsia" w:eastAsia="黑体"/>
        </w:rPr>
        <w:t>钢管内骨架制作及安装</w:t>
      </w:r>
      <w:r>
        <w:tab/>
      </w:r>
      <w:r>
        <w:fldChar w:fldCharType="begin"/>
      </w:r>
      <w:r>
        <w:instrText xml:space="preserve"> PAGEREF _Toc20283 \h </w:instrText>
      </w:r>
      <w:r>
        <w:fldChar w:fldCharType="separate"/>
      </w:r>
      <w:r>
        <w:t>34</w:t>
      </w:r>
      <w:r>
        <w:fldChar w:fldCharType="end"/>
      </w:r>
    </w:p>
    <w:p>
      <w:pPr>
        <w:pStyle w:val="15"/>
        <w:tabs>
          <w:tab w:val="right" w:leader="dot" w:pos="8312"/>
        </w:tabs>
      </w:pPr>
      <w:r>
        <w:rPr>
          <w:rFonts w:hint="eastAsia" w:eastAsia="黑体"/>
        </w:rPr>
        <w:t>8.3  管幕钢管填充</w:t>
      </w:r>
      <w:r>
        <w:tab/>
      </w:r>
      <w:r>
        <w:fldChar w:fldCharType="begin"/>
      </w:r>
      <w:r>
        <w:instrText xml:space="preserve"> PAGEREF _Toc21740 \h </w:instrText>
      </w:r>
      <w:r>
        <w:fldChar w:fldCharType="separate"/>
      </w:r>
      <w:r>
        <w:t>34</w:t>
      </w:r>
      <w:r>
        <w:fldChar w:fldCharType="end"/>
      </w:r>
    </w:p>
    <w:p>
      <w:pPr>
        <w:pStyle w:val="15"/>
        <w:tabs>
          <w:tab w:val="right" w:leader="dot" w:pos="8312"/>
        </w:tabs>
      </w:pPr>
      <w:r>
        <w:rPr>
          <w:rFonts w:hint="eastAsia" w:eastAsia="黑体"/>
        </w:rPr>
        <w:t>8.4  管幕钢管壁后注浆</w:t>
      </w:r>
      <w:r>
        <w:tab/>
      </w:r>
      <w:r>
        <w:fldChar w:fldCharType="begin"/>
      </w:r>
      <w:r>
        <w:instrText xml:space="preserve"> PAGEREF _Toc20463 \h </w:instrText>
      </w:r>
      <w:r>
        <w:fldChar w:fldCharType="separate"/>
      </w:r>
      <w:r>
        <w:t>35</w:t>
      </w:r>
      <w:r>
        <w:fldChar w:fldCharType="end"/>
      </w:r>
    </w:p>
    <w:p>
      <w:pPr>
        <w:pStyle w:val="14"/>
        <w:tabs>
          <w:tab w:val="right" w:leader="dot" w:pos="8312"/>
        </w:tabs>
      </w:pPr>
      <w:r>
        <w:rPr>
          <w:rFonts w:hint="eastAsia"/>
          <w:szCs w:val="20"/>
        </w:rPr>
        <w:t>9  施工监测</w:t>
      </w:r>
      <w:r>
        <w:tab/>
      </w:r>
      <w:r>
        <w:fldChar w:fldCharType="begin"/>
      </w:r>
      <w:r>
        <w:instrText xml:space="preserve"> PAGEREF _Toc18132 \h </w:instrText>
      </w:r>
      <w:r>
        <w:fldChar w:fldCharType="separate"/>
      </w:r>
      <w:r>
        <w:t>36</w:t>
      </w:r>
      <w:r>
        <w:fldChar w:fldCharType="end"/>
      </w:r>
    </w:p>
    <w:p>
      <w:pPr>
        <w:pStyle w:val="15"/>
        <w:tabs>
          <w:tab w:val="right" w:leader="dot" w:pos="8312"/>
        </w:tabs>
      </w:pPr>
      <w:r>
        <w:rPr>
          <w:rFonts w:hint="eastAsia" w:eastAsia="黑体"/>
        </w:rPr>
        <w:t>9.1  一</w:t>
      </w:r>
      <w:r>
        <w:rPr>
          <w:rFonts w:hint="eastAsia" w:eastAsia="黑体"/>
          <w:lang w:val="en-US" w:eastAsia="zh-CN"/>
        </w:rPr>
        <w:t xml:space="preserve"> </w:t>
      </w:r>
      <w:r>
        <w:rPr>
          <w:rFonts w:hint="eastAsia" w:eastAsia="黑体"/>
        </w:rPr>
        <w:t>般</w:t>
      </w:r>
      <w:r>
        <w:rPr>
          <w:rFonts w:hint="eastAsia" w:eastAsia="黑体"/>
          <w:lang w:val="en-US" w:eastAsia="zh-CN"/>
        </w:rPr>
        <w:t xml:space="preserve"> </w:t>
      </w:r>
      <w:r>
        <w:rPr>
          <w:rFonts w:hint="eastAsia" w:eastAsia="黑体"/>
        </w:rPr>
        <w:t>规</w:t>
      </w:r>
      <w:r>
        <w:rPr>
          <w:rFonts w:hint="eastAsia" w:eastAsia="黑体"/>
          <w:lang w:val="en-US" w:eastAsia="zh-CN"/>
        </w:rPr>
        <w:t xml:space="preserve"> </w:t>
      </w:r>
      <w:r>
        <w:rPr>
          <w:rFonts w:hint="eastAsia" w:eastAsia="黑体"/>
        </w:rPr>
        <w:t>定</w:t>
      </w:r>
      <w:r>
        <w:tab/>
      </w:r>
      <w:r>
        <w:fldChar w:fldCharType="begin"/>
      </w:r>
      <w:r>
        <w:instrText xml:space="preserve"> PAGEREF _Toc17861 \h </w:instrText>
      </w:r>
      <w:r>
        <w:fldChar w:fldCharType="separate"/>
      </w:r>
      <w:r>
        <w:t>36</w:t>
      </w:r>
      <w:r>
        <w:fldChar w:fldCharType="end"/>
      </w:r>
    </w:p>
    <w:p>
      <w:pPr>
        <w:pStyle w:val="15"/>
        <w:tabs>
          <w:tab w:val="right" w:leader="dot" w:pos="8312"/>
        </w:tabs>
      </w:pPr>
      <w:r>
        <w:rPr>
          <w:rFonts w:hint="eastAsia" w:eastAsia="黑体"/>
        </w:rPr>
        <w:t>9.2  监测项目及要求</w:t>
      </w:r>
      <w:r>
        <w:tab/>
      </w:r>
      <w:r>
        <w:fldChar w:fldCharType="begin"/>
      </w:r>
      <w:r>
        <w:instrText xml:space="preserve"> PAGEREF _Toc3013 \h </w:instrText>
      </w:r>
      <w:r>
        <w:fldChar w:fldCharType="separate"/>
      </w:r>
      <w:r>
        <w:t>36</w:t>
      </w:r>
      <w:r>
        <w:fldChar w:fldCharType="end"/>
      </w:r>
    </w:p>
    <w:p>
      <w:pPr>
        <w:pStyle w:val="15"/>
        <w:tabs>
          <w:tab w:val="right" w:leader="dot" w:pos="8312"/>
        </w:tabs>
      </w:pPr>
      <w:r>
        <w:rPr>
          <w:rFonts w:hint="eastAsia" w:eastAsia="黑体"/>
        </w:rPr>
        <w:t>9.3  监测点布设及监测频率</w:t>
      </w:r>
      <w:r>
        <w:tab/>
      </w:r>
      <w:r>
        <w:fldChar w:fldCharType="begin"/>
      </w:r>
      <w:r>
        <w:instrText xml:space="preserve"> PAGEREF _Toc26689 \h </w:instrText>
      </w:r>
      <w:r>
        <w:fldChar w:fldCharType="separate"/>
      </w:r>
      <w:r>
        <w:t>37</w:t>
      </w:r>
      <w:r>
        <w:fldChar w:fldCharType="end"/>
      </w:r>
    </w:p>
    <w:p>
      <w:pPr>
        <w:pStyle w:val="15"/>
        <w:tabs>
          <w:tab w:val="right" w:leader="dot" w:pos="8312"/>
        </w:tabs>
      </w:pPr>
      <w:r>
        <w:rPr>
          <w:rFonts w:hint="eastAsia" w:eastAsia="黑体"/>
        </w:rPr>
        <w:t>9.</w:t>
      </w:r>
      <w:r>
        <w:rPr>
          <w:rFonts w:eastAsia="黑体"/>
        </w:rPr>
        <w:t>4</w:t>
      </w:r>
      <w:r>
        <w:rPr>
          <w:rFonts w:hint="eastAsia" w:eastAsia="黑体"/>
        </w:rPr>
        <w:t xml:space="preserve">  监测控制值与预警</w:t>
      </w:r>
      <w:r>
        <w:tab/>
      </w:r>
      <w:r>
        <w:fldChar w:fldCharType="begin"/>
      </w:r>
      <w:r>
        <w:instrText xml:space="preserve"> PAGEREF _Toc8839 \h </w:instrText>
      </w:r>
      <w:r>
        <w:fldChar w:fldCharType="separate"/>
      </w:r>
      <w:r>
        <w:t>39</w:t>
      </w:r>
      <w:r>
        <w:fldChar w:fldCharType="end"/>
      </w:r>
    </w:p>
    <w:p>
      <w:pPr>
        <w:pStyle w:val="15"/>
        <w:tabs>
          <w:tab w:val="right" w:leader="dot" w:pos="8312"/>
        </w:tabs>
      </w:pPr>
      <w:r>
        <w:rPr>
          <w:rFonts w:hint="eastAsia" w:eastAsia="黑体"/>
        </w:rPr>
        <w:t>9.</w:t>
      </w:r>
      <w:r>
        <w:rPr>
          <w:rFonts w:eastAsia="黑体"/>
        </w:rPr>
        <w:t>5</w:t>
      </w:r>
      <w:r>
        <w:rPr>
          <w:rFonts w:hint="eastAsia" w:eastAsia="黑体"/>
        </w:rPr>
        <w:t xml:space="preserve">  数据处理与信息反馈</w:t>
      </w:r>
      <w:r>
        <w:tab/>
      </w:r>
      <w:r>
        <w:fldChar w:fldCharType="begin"/>
      </w:r>
      <w:r>
        <w:instrText xml:space="preserve"> PAGEREF _Toc13049 \h </w:instrText>
      </w:r>
      <w:r>
        <w:fldChar w:fldCharType="separate"/>
      </w:r>
      <w:r>
        <w:t>40</w:t>
      </w:r>
      <w:r>
        <w:fldChar w:fldCharType="end"/>
      </w:r>
    </w:p>
    <w:p>
      <w:pPr>
        <w:pStyle w:val="14"/>
        <w:tabs>
          <w:tab w:val="right" w:leader="dot" w:pos="8312"/>
        </w:tabs>
      </w:pPr>
      <w:r>
        <w:rPr>
          <w:rFonts w:hint="eastAsia"/>
          <w:szCs w:val="20"/>
        </w:rPr>
        <w:t>10  质量验收</w:t>
      </w:r>
      <w:r>
        <w:tab/>
      </w:r>
      <w:r>
        <w:fldChar w:fldCharType="begin"/>
      </w:r>
      <w:r>
        <w:instrText xml:space="preserve"> PAGEREF _Toc30850 \h </w:instrText>
      </w:r>
      <w:r>
        <w:fldChar w:fldCharType="separate"/>
      </w:r>
      <w:r>
        <w:t>42</w:t>
      </w:r>
      <w:r>
        <w:fldChar w:fldCharType="end"/>
      </w:r>
    </w:p>
    <w:p>
      <w:pPr>
        <w:pStyle w:val="15"/>
        <w:tabs>
          <w:tab w:val="right" w:leader="dot" w:pos="8312"/>
        </w:tabs>
      </w:pPr>
      <w:r>
        <w:rPr>
          <w:rFonts w:hint="eastAsia" w:eastAsia="黑体"/>
        </w:rPr>
        <w:t>10.1  一 般 规 定</w:t>
      </w:r>
      <w:r>
        <w:tab/>
      </w:r>
      <w:r>
        <w:fldChar w:fldCharType="begin"/>
      </w:r>
      <w:r>
        <w:instrText xml:space="preserve"> PAGEREF _Toc25913 \h </w:instrText>
      </w:r>
      <w:r>
        <w:fldChar w:fldCharType="separate"/>
      </w:r>
      <w:r>
        <w:t>42</w:t>
      </w:r>
      <w:r>
        <w:fldChar w:fldCharType="end"/>
      </w:r>
    </w:p>
    <w:p>
      <w:pPr>
        <w:pStyle w:val="15"/>
        <w:tabs>
          <w:tab w:val="right" w:leader="dot" w:pos="8312"/>
        </w:tabs>
      </w:pPr>
      <w:r>
        <w:rPr>
          <w:rFonts w:hint="eastAsia" w:eastAsia="黑体"/>
        </w:rPr>
        <w:t>10.2 钢管及附件制作</w:t>
      </w:r>
      <w:r>
        <w:tab/>
      </w:r>
      <w:r>
        <w:fldChar w:fldCharType="begin"/>
      </w:r>
      <w:r>
        <w:instrText xml:space="preserve"> PAGEREF _Toc16722 \h </w:instrText>
      </w:r>
      <w:r>
        <w:fldChar w:fldCharType="separate"/>
      </w:r>
      <w:r>
        <w:t>43</w:t>
      </w:r>
      <w:r>
        <w:fldChar w:fldCharType="end"/>
      </w:r>
    </w:p>
    <w:p>
      <w:pPr>
        <w:pStyle w:val="15"/>
        <w:tabs>
          <w:tab w:val="right" w:leader="dot" w:pos="8312"/>
        </w:tabs>
      </w:pPr>
      <w:r>
        <w:rPr>
          <w:rFonts w:hint="eastAsia" w:eastAsia="黑体"/>
        </w:rPr>
        <w:t>10.3  管幕钢管拉管法施工</w:t>
      </w:r>
      <w:r>
        <w:tab/>
      </w:r>
      <w:r>
        <w:fldChar w:fldCharType="begin"/>
      </w:r>
      <w:r>
        <w:instrText xml:space="preserve"> PAGEREF _Toc30654 \h </w:instrText>
      </w:r>
      <w:r>
        <w:fldChar w:fldCharType="separate"/>
      </w:r>
      <w:r>
        <w:t>44</w:t>
      </w:r>
      <w:r>
        <w:fldChar w:fldCharType="end"/>
      </w:r>
    </w:p>
    <w:p>
      <w:pPr>
        <w:pStyle w:val="15"/>
        <w:tabs>
          <w:tab w:val="right" w:leader="dot" w:pos="8312"/>
        </w:tabs>
      </w:pPr>
      <w:r>
        <w:rPr>
          <w:rFonts w:hint="eastAsia" w:eastAsia="黑体"/>
        </w:rPr>
        <w:t>10.4  管幕钢管夯管法施工</w:t>
      </w:r>
      <w:r>
        <w:tab/>
      </w:r>
      <w:r>
        <w:fldChar w:fldCharType="begin"/>
      </w:r>
      <w:r>
        <w:instrText xml:space="preserve"> PAGEREF _Toc8196 \h </w:instrText>
      </w:r>
      <w:r>
        <w:fldChar w:fldCharType="separate"/>
      </w:r>
      <w:r>
        <w:t>45</w:t>
      </w:r>
      <w:r>
        <w:fldChar w:fldCharType="end"/>
      </w:r>
    </w:p>
    <w:p>
      <w:pPr>
        <w:pStyle w:val="15"/>
        <w:tabs>
          <w:tab w:val="right" w:leader="dot" w:pos="8312"/>
        </w:tabs>
      </w:pPr>
      <w:r>
        <w:rPr>
          <w:rFonts w:hint="eastAsia" w:eastAsia="黑体"/>
        </w:rPr>
        <w:t>10.5  管幕钢管钻进顶管法施工</w:t>
      </w:r>
      <w:r>
        <w:tab/>
      </w:r>
      <w:r>
        <w:fldChar w:fldCharType="begin"/>
      </w:r>
      <w:r>
        <w:instrText xml:space="preserve"> PAGEREF _Toc386 \h </w:instrText>
      </w:r>
      <w:r>
        <w:fldChar w:fldCharType="separate"/>
      </w:r>
      <w:r>
        <w:t>46</w:t>
      </w:r>
      <w:r>
        <w:fldChar w:fldCharType="end"/>
      </w:r>
    </w:p>
    <w:p>
      <w:pPr>
        <w:pStyle w:val="15"/>
        <w:tabs>
          <w:tab w:val="right" w:leader="dot" w:pos="8312"/>
        </w:tabs>
      </w:pPr>
      <w:r>
        <w:rPr>
          <w:rFonts w:hint="eastAsia" w:eastAsia="黑体"/>
        </w:rPr>
        <w:t>10.6  管幕钢管机械顶管法施工</w:t>
      </w:r>
      <w:r>
        <w:tab/>
      </w:r>
      <w:r>
        <w:fldChar w:fldCharType="begin"/>
      </w:r>
      <w:r>
        <w:instrText xml:space="preserve"> PAGEREF _Toc22344 \h </w:instrText>
      </w:r>
      <w:r>
        <w:fldChar w:fldCharType="separate"/>
      </w:r>
      <w:r>
        <w:t>48</w:t>
      </w:r>
      <w:r>
        <w:fldChar w:fldCharType="end"/>
      </w:r>
    </w:p>
    <w:p>
      <w:pPr>
        <w:pStyle w:val="15"/>
        <w:tabs>
          <w:tab w:val="right" w:leader="dot" w:pos="8312"/>
        </w:tabs>
      </w:pPr>
      <w:r>
        <w:rPr>
          <w:rFonts w:hint="eastAsia" w:eastAsia="黑体"/>
        </w:rPr>
        <w:t>10.7  管幕钢管填充</w:t>
      </w:r>
      <w:r>
        <w:tab/>
      </w:r>
      <w:r>
        <w:fldChar w:fldCharType="begin"/>
      </w:r>
      <w:r>
        <w:instrText xml:space="preserve"> PAGEREF _Toc2986 \h </w:instrText>
      </w:r>
      <w:r>
        <w:fldChar w:fldCharType="separate"/>
      </w:r>
      <w:r>
        <w:t>49</w:t>
      </w:r>
      <w:r>
        <w:fldChar w:fldCharType="end"/>
      </w:r>
    </w:p>
    <w:p>
      <w:pPr>
        <w:pStyle w:val="15"/>
        <w:tabs>
          <w:tab w:val="right" w:leader="dot" w:pos="8312"/>
        </w:tabs>
      </w:pPr>
      <w:r>
        <w:rPr>
          <w:rFonts w:hint="eastAsia" w:eastAsia="黑体"/>
        </w:rPr>
        <w:t>10.8  管幕钢管壁后注浆</w:t>
      </w:r>
      <w:r>
        <w:tab/>
      </w:r>
      <w:r>
        <w:fldChar w:fldCharType="begin"/>
      </w:r>
      <w:r>
        <w:instrText xml:space="preserve"> PAGEREF _Toc8212 \h </w:instrText>
      </w:r>
      <w:r>
        <w:fldChar w:fldCharType="separate"/>
      </w:r>
      <w:r>
        <w:t>51</w:t>
      </w:r>
      <w:r>
        <w:fldChar w:fldCharType="end"/>
      </w:r>
    </w:p>
    <w:p>
      <w:pPr>
        <w:pStyle w:val="14"/>
        <w:tabs>
          <w:tab w:val="right" w:leader="dot" w:pos="8312"/>
        </w:tabs>
      </w:pPr>
      <w:r>
        <w:rPr>
          <w:rFonts w:hint="eastAsia"/>
          <w:szCs w:val="20"/>
        </w:rPr>
        <w:t>附录A  检验批质量验收记录</w:t>
      </w:r>
      <w:r>
        <w:tab/>
      </w:r>
      <w:r>
        <w:fldChar w:fldCharType="begin"/>
      </w:r>
      <w:r>
        <w:instrText xml:space="preserve"> PAGEREF _Toc5650 \h </w:instrText>
      </w:r>
      <w:r>
        <w:fldChar w:fldCharType="separate"/>
      </w:r>
      <w:r>
        <w:t>52</w:t>
      </w:r>
      <w:r>
        <w:fldChar w:fldCharType="end"/>
      </w:r>
    </w:p>
    <w:p>
      <w:pPr>
        <w:pStyle w:val="14"/>
        <w:tabs>
          <w:tab w:val="right" w:leader="dot" w:pos="8312"/>
        </w:tabs>
      </w:pPr>
      <w:r>
        <w:rPr>
          <w:rFonts w:hint="eastAsia"/>
          <w:szCs w:val="20"/>
        </w:rPr>
        <w:t>附录B  分项工程质量验收记录</w:t>
      </w:r>
      <w:r>
        <w:tab/>
      </w:r>
      <w:r>
        <w:fldChar w:fldCharType="begin"/>
      </w:r>
      <w:r>
        <w:instrText xml:space="preserve"> PAGEREF _Toc660 \h </w:instrText>
      </w:r>
      <w:r>
        <w:fldChar w:fldCharType="separate"/>
      </w:r>
      <w:r>
        <w:t>53</w:t>
      </w:r>
      <w:r>
        <w:fldChar w:fldCharType="end"/>
      </w:r>
    </w:p>
    <w:p>
      <w:pPr>
        <w:pStyle w:val="14"/>
        <w:tabs>
          <w:tab w:val="right" w:leader="dot" w:pos="8312"/>
        </w:tabs>
      </w:pPr>
      <w:r>
        <w:rPr>
          <w:rFonts w:hint="eastAsia"/>
          <w:szCs w:val="20"/>
        </w:rPr>
        <w:t>附录C  子分部工程质量验收记录</w:t>
      </w:r>
      <w:r>
        <w:tab/>
      </w:r>
      <w:r>
        <w:fldChar w:fldCharType="begin"/>
      </w:r>
      <w:r>
        <w:instrText xml:space="preserve"> PAGEREF _Toc22797 \h </w:instrText>
      </w:r>
      <w:r>
        <w:fldChar w:fldCharType="separate"/>
      </w:r>
      <w:r>
        <w:t>54</w:t>
      </w:r>
      <w:r>
        <w:fldChar w:fldCharType="end"/>
      </w:r>
    </w:p>
    <w:p>
      <w:pPr>
        <w:pStyle w:val="14"/>
        <w:tabs>
          <w:tab w:val="right" w:leader="dot" w:pos="8312"/>
        </w:tabs>
      </w:pPr>
      <w:r>
        <w:rPr>
          <w:rFonts w:hint="eastAsia"/>
          <w:szCs w:val="20"/>
        </w:rPr>
        <w:t>本规程用词说明</w:t>
      </w:r>
      <w:r>
        <w:tab/>
      </w:r>
      <w:r>
        <w:fldChar w:fldCharType="begin"/>
      </w:r>
      <w:r>
        <w:instrText xml:space="preserve"> PAGEREF _Toc11093 \h </w:instrText>
      </w:r>
      <w:r>
        <w:fldChar w:fldCharType="separate"/>
      </w:r>
      <w:r>
        <w:t>55</w:t>
      </w:r>
      <w:r>
        <w:fldChar w:fldCharType="end"/>
      </w:r>
    </w:p>
    <w:p>
      <w:pPr>
        <w:pStyle w:val="14"/>
        <w:tabs>
          <w:tab w:val="right" w:leader="dot" w:pos="8312"/>
        </w:tabs>
      </w:pPr>
      <w:r>
        <w:rPr>
          <w:rFonts w:hint="eastAsia"/>
          <w:szCs w:val="20"/>
        </w:rPr>
        <w:t>引用标准目录</w:t>
      </w:r>
      <w:r>
        <w:tab/>
      </w:r>
      <w:r>
        <w:fldChar w:fldCharType="begin"/>
      </w:r>
      <w:r>
        <w:instrText xml:space="preserve"> PAGEREF _Toc30291 \h </w:instrText>
      </w:r>
      <w:r>
        <w:fldChar w:fldCharType="separate"/>
      </w:r>
      <w:r>
        <w:t>56</w:t>
      </w:r>
      <w:r>
        <w:fldChar w:fldCharType="end"/>
      </w:r>
    </w:p>
    <w:p>
      <w:pPr>
        <w:pStyle w:val="14"/>
        <w:tabs>
          <w:tab w:val="right" w:leader="dot" w:pos="8312"/>
        </w:tabs>
      </w:pPr>
      <w:r>
        <w:rPr>
          <w:rFonts w:hint="eastAsia"/>
          <w:szCs w:val="20"/>
          <w:lang w:val="en-US" w:eastAsia="zh-CN"/>
        </w:rPr>
        <w:t>附：条文说明</w:t>
      </w:r>
      <w:r>
        <w:tab/>
      </w:r>
      <w:r>
        <w:fldChar w:fldCharType="begin"/>
      </w:r>
      <w:r>
        <w:instrText xml:space="preserve"> PAGEREF _Toc18189 \h </w:instrText>
      </w:r>
      <w:r>
        <w:fldChar w:fldCharType="separate"/>
      </w:r>
      <w:r>
        <w:t>58</w:t>
      </w:r>
      <w:r>
        <w:fldChar w:fldCharType="end"/>
      </w:r>
    </w:p>
    <w:p>
      <w:pPr>
        <w:pStyle w:val="14"/>
        <w:tabs>
          <w:tab w:val="right" w:leader="dot" w:pos="8302"/>
        </w:tabs>
        <w:rPr>
          <w:rFonts w:ascii="宋体" w:hAnsi="宋体"/>
        </w:rPr>
      </w:pPr>
      <w:r>
        <w:rPr>
          <w:rFonts w:hint="eastAsia" w:ascii="宋体" w:hAnsi="宋体"/>
        </w:rPr>
        <w:fldChar w:fldCharType="end"/>
      </w:r>
    </w:p>
    <w:p>
      <w:pPr>
        <w:spacing w:before="50" w:after="50"/>
        <w:jc w:val="left"/>
        <w:rPr>
          <w:rFonts w:ascii="宋体" w:hAnsi="宋体"/>
        </w:rPr>
        <w:sectPr>
          <w:footerReference r:id="rId3" w:type="default"/>
          <w:footerReference r:id="rId4" w:type="even"/>
          <w:pgSz w:w="11906" w:h="16838"/>
          <w:pgMar w:top="1440" w:right="1797" w:bottom="1440" w:left="1797" w:header="851" w:footer="992" w:gutter="0"/>
          <w:pgNumType w:start="1"/>
          <w:cols w:space="425" w:num="1"/>
          <w:docGrid w:type="lines" w:linePitch="312" w:charSpace="0"/>
        </w:sectPr>
      </w:pPr>
    </w:p>
    <w:p>
      <w:pPr>
        <w:spacing w:before="156" w:beforeLines="50" w:after="156" w:afterLines="50"/>
        <w:jc w:val="center"/>
        <w:outlineLvl w:val="0"/>
        <w:rPr>
          <w:b/>
          <w:sz w:val="24"/>
        </w:rPr>
      </w:pPr>
      <w:bookmarkStart w:id="9" w:name="_Toc23035"/>
      <w:bookmarkStart w:id="10" w:name="_Toc22365"/>
      <w:bookmarkStart w:id="11" w:name="_Toc27656"/>
      <w:bookmarkStart w:id="12" w:name="_Toc103257148"/>
      <w:r>
        <w:rPr>
          <w:rFonts w:hint="eastAsia"/>
          <w:sz w:val="32"/>
          <w:szCs w:val="20"/>
        </w:rPr>
        <w:t>Contents</w:t>
      </w:r>
      <w:bookmarkEnd w:id="9"/>
      <w:bookmarkEnd w:id="10"/>
      <w:bookmarkEnd w:id="11"/>
      <w:bookmarkEnd w:id="12"/>
    </w:p>
    <w:p>
      <w:pPr>
        <w:pStyle w:val="14"/>
        <w:tabs>
          <w:tab w:val="right" w:leader="dot" w:pos="8302"/>
        </w:tabs>
        <w:rPr>
          <w:rFonts w:asciiTheme="minorHAnsi" w:hAnsiTheme="minorHAnsi" w:eastAsiaTheme="minorEastAsia" w:cstheme="minorBidi"/>
          <w:szCs w:val="22"/>
        </w:rPr>
      </w:pPr>
      <w:r>
        <w:rPr>
          <w:rFonts w:hint="eastAsia" w:ascii="宋体" w:hAnsi="宋体"/>
        </w:rPr>
        <w:fldChar w:fldCharType="begin"/>
      </w:r>
      <w:r>
        <w:rPr>
          <w:rFonts w:hint="eastAsia" w:ascii="宋体" w:hAnsi="宋体"/>
        </w:rPr>
        <w:instrText xml:space="preserve">TOC \o "1-2" \u </w:instrText>
      </w:r>
      <w:r>
        <w:rPr>
          <w:rFonts w:hint="eastAsia" w:ascii="宋体" w:hAnsi="宋体"/>
        </w:rPr>
        <w:fldChar w:fldCharType="separate"/>
      </w:r>
      <w:r>
        <w:t>1  General</w:t>
      </w:r>
      <w:r>
        <w:rPr>
          <w:rFonts w:hint="eastAsia"/>
        </w:rPr>
        <w:t xml:space="preserve"> </w:t>
      </w:r>
      <w:r>
        <w:rPr>
          <w:rFonts w:hint="eastAsia"/>
          <w:lang w:val="en-US" w:eastAsia="zh-CN"/>
        </w:rPr>
        <w:t>P</w:t>
      </w:r>
      <w:r>
        <w:rPr>
          <w:rFonts w:hint="eastAsia"/>
        </w:rPr>
        <w:t>rovisions</w:t>
      </w:r>
      <w:r>
        <w:tab/>
      </w:r>
      <w:r>
        <w:fldChar w:fldCharType="begin"/>
      </w:r>
      <w:r>
        <w:instrText xml:space="preserve"> PAGEREF _Toc103257149 \h </w:instrText>
      </w:r>
      <w:r>
        <w:fldChar w:fldCharType="separate"/>
      </w:r>
      <w:r>
        <w:t>2</w:t>
      </w:r>
      <w:r>
        <w:fldChar w:fldCharType="end"/>
      </w:r>
    </w:p>
    <w:p>
      <w:pPr>
        <w:pStyle w:val="14"/>
        <w:tabs>
          <w:tab w:val="right" w:leader="dot" w:pos="8302"/>
        </w:tabs>
        <w:rPr>
          <w:rFonts w:asciiTheme="minorHAnsi" w:hAnsiTheme="minorHAnsi" w:eastAsiaTheme="minorEastAsia" w:cstheme="minorBidi"/>
          <w:szCs w:val="22"/>
        </w:rPr>
      </w:pPr>
      <w:r>
        <w:rPr>
          <w:rFonts w:hint="eastAsia"/>
        </w:rPr>
        <w:t>2</w:t>
      </w:r>
      <w:r>
        <w:t xml:space="preserve">  </w:t>
      </w:r>
      <w:r>
        <w:rPr>
          <w:rFonts w:hint="eastAsia"/>
        </w:rPr>
        <w:t>T</w:t>
      </w:r>
      <w:r>
        <w:t>erms</w:t>
      </w:r>
      <w:r>
        <w:tab/>
      </w:r>
      <w:r>
        <w:fldChar w:fldCharType="begin"/>
      </w:r>
      <w:r>
        <w:instrText xml:space="preserve"> PAGEREF _Toc103257149 \h </w:instrText>
      </w:r>
      <w:r>
        <w:fldChar w:fldCharType="separate"/>
      </w:r>
      <w:r>
        <w:t>2</w:t>
      </w:r>
      <w:r>
        <w:fldChar w:fldCharType="end"/>
      </w:r>
    </w:p>
    <w:p>
      <w:pPr>
        <w:pStyle w:val="14"/>
        <w:tabs>
          <w:tab w:val="right" w:leader="dot" w:pos="8302"/>
        </w:tabs>
        <w:rPr>
          <w:rFonts w:asciiTheme="minorHAnsi" w:hAnsiTheme="minorHAnsi" w:eastAsiaTheme="minorEastAsia" w:cstheme="minorBidi"/>
          <w:szCs w:val="22"/>
        </w:rPr>
      </w:pPr>
      <w:r>
        <w:t xml:space="preserve">3  </w:t>
      </w:r>
      <w:r>
        <w:rPr>
          <w:rFonts w:hint="eastAsia"/>
        </w:rPr>
        <w:t>B</w:t>
      </w:r>
      <w:r>
        <w:t xml:space="preserve">asic </w:t>
      </w:r>
      <w:r>
        <w:rPr>
          <w:rFonts w:hint="eastAsia"/>
          <w:lang w:val="en-US" w:eastAsia="zh-CN"/>
        </w:rPr>
        <w:t>Requirements</w:t>
      </w:r>
      <w:r>
        <w:tab/>
      </w:r>
      <w:r>
        <w:fldChar w:fldCharType="begin"/>
      </w:r>
      <w:r>
        <w:instrText xml:space="preserve"> PAGEREF _Toc103257150 \h </w:instrText>
      </w:r>
      <w:r>
        <w:fldChar w:fldCharType="separate"/>
      </w:r>
      <w:r>
        <w:t>5</w:t>
      </w:r>
      <w:r>
        <w:fldChar w:fldCharType="end"/>
      </w:r>
    </w:p>
    <w:p>
      <w:pPr>
        <w:pStyle w:val="14"/>
        <w:tabs>
          <w:tab w:val="right" w:leader="dot" w:pos="8302"/>
        </w:tabs>
        <w:rPr>
          <w:rFonts w:asciiTheme="minorHAnsi" w:hAnsiTheme="minorHAnsi" w:eastAsiaTheme="minorEastAsia" w:cstheme="minorBidi"/>
          <w:szCs w:val="22"/>
        </w:rPr>
      </w:pPr>
      <w:r>
        <w:t>4  Pipe</w:t>
      </w:r>
      <w:r>
        <w:rPr>
          <w:rFonts w:hint="eastAsia"/>
          <w:lang w:val="en-US" w:eastAsia="zh-CN"/>
        </w:rPr>
        <w:t>-C</w:t>
      </w:r>
      <w:r>
        <w:t xml:space="preserve">urtain </w:t>
      </w:r>
      <w:r>
        <w:rPr>
          <w:rFonts w:hint="eastAsia"/>
          <w:lang w:val="en-US" w:eastAsia="zh-CN"/>
        </w:rPr>
        <w:t>D</w:t>
      </w:r>
      <w:r>
        <w:t>esign</w:t>
      </w:r>
      <w:r>
        <w:tab/>
      </w:r>
      <w:r>
        <w:fldChar w:fldCharType="begin"/>
      </w:r>
      <w:r>
        <w:instrText xml:space="preserve"> PAGEREF _Toc103257151 \h </w:instrText>
      </w:r>
      <w:r>
        <w:fldChar w:fldCharType="separate"/>
      </w:r>
      <w:r>
        <w:t>6</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4.1  General </w:t>
      </w:r>
      <w:r>
        <w:rPr>
          <w:rFonts w:hint="eastAsia" w:eastAsia="黑体"/>
          <w:lang w:val="en-US" w:eastAsia="zh-CN"/>
        </w:rPr>
        <w:t>R</w:t>
      </w:r>
      <w:r>
        <w:rPr>
          <w:rFonts w:hint="eastAsia" w:eastAsia="黑体"/>
        </w:rPr>
        <w:t>equirements</w:t>
      </w:r>
      <w:r>
        <w:tab/>
      </w:r>
      <w:r>
        <w:fldChar w:fldCharType="begin"/>
      </w:r>
      <w:r>
        <w:instrText xml:space="preserve"> PAGEREF _Toc103257152 \h </w:instrText>
      </w:r>
      <w:r>
        <w:fldChar w:fldCharType="separate"/>
      </w:r>
      <w:r>
        <w:t>6</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4.2  </w:t>
      </w:r>
      <w:r>
        <w:rPr>
          <w:rFonts w:hint="eastAsia" w:eastAsia="黑体"/>
        </w:rPr>
        <w:t>S</w:t>
      </w:r>
      <w:r>
        <w:rPr>
          <w:rFonts w:eastAsia="黑体"/>
        </w:rPr>
        <w:t xml:space="preserve">election of </w:t>
      </w:r>
      <w:r>
        <w:rPr>
          <w:rFonts w:hint="eastAsia" w:eastAsia="黑体"/>
          <w:lang w:val="en-US" w:eastAsia="zh-CN"/>
        </w:rPr>
        <w:t>P</w:t>
      </w:r>
      <w:r>
        <w:rPr>
          <w:rFonts w:eastAsia="黑体"/>
        </w:rPr>
        <w:t>ipe</w:t>
      </w:r>
      <w:r>
        <w:rPr>
          <w:rFonts w:hint="eastAsia" w:eastAsia="黑体"/>
          <w:lang w:val="en-US" w:eastAsia="zh-CN"/>
        </w:rPr>
        <w:t>-C</w:t>
      </w:r>
      <w:r>
        <w:rPr>
          <w:rFonts w:eastAsia="黑体"/>
        </w:rPr>
        <w:t xml:space="preserve">urtain </w:t>
      </w:r>
      <w:r>
        <w:rPr>
          <w:rFonts w:hint="eastAsia" w:eastAsia="黑体"/>
          <w:lang w:val="en-US" w:eastAsia="zh-CN"/>
        </w:rPr>
        <w:t>S</w:t>
      </w:r>
      <w:r>
        <w:rPr>
          <w:rFonts w:eastAsia="黑体"/>
        </w:rPr>
        <w:t>tructure</w:t>
      </w:r>
      <w:r>
        <w:tab/>
      </w:r>
      <w:r>
        <w:fldChar w:fldCharType="begin"/>
      </w:r>
      <w:r>
        <w:instrText xml:space="preserve"> PAGEREF _Toc103257153 \h </w:instrText>
      </w:r>
      <w:r>
        <w:fldChar w:fldCharType="separate"/>
      </w:r>
      <w:r>
        <w:t>6</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4.3  </w:t>
      </w:r>
      <w:r>
        <w:rPr>
          <w:rFonts w:hint="eastAsia" w:eastAsia="黑体"/>
        </w:rPr>
        <w:t>P</w:t>
      </w:r>
      <w:r>
        <w:rPr>
          <w:rFonts w:eastAsia="黑体"/>
        </w:rPr>
        <w:t>ipe</w:t>
      </w:r>
      <w:r>
        <w:rPr>
          <w:rFonts w:hint="eastAsia" w:eastAsia="黑体"/>
          <w:lang w:val="en-US" w:eastAsia="zh-CN"/>
        </w:rPr>
        <w:t>-C</w:t>
      </w:r>
      <w:r>
        <w:rPr>
          <w:rFonts w:eastAsia="黑体"/>
        </w:rPr>
        <w:t>urtain materials</w:t>
      </w:r>
      <w:r>
        <w:tab/>
      </w:r>
      <w:r>
        <w:fldChar w:fldCharType="begin"/>
      </w:r>
      <w:r>
        <w:instrText xml:space="preserve"> PAGEREF _Toc103257154 \h </w:instrText>
      </w:r>
      <w:r>
        <w:fldChar w:fldCharType="separate"/>
      </w:r>
      <w:r>
        <w:t>7</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4.4  </w:t>
      </w:r>
      <w:r>
        <w:rPr>
          <w:rFonts w:hint="eastAsia" w:eastAsia="黑体"/>
        </w:rPr>
        <w:t>P</w:t>
      </w:r>
      <w:r>
        <w:rPr>
          <w:rFonts w:eastAsia="黑体"/>
        </w:rPr>
        <w:t>ipe</w:t>
      </w:r>
      <w:r>
        <w:rPr>
          <w:rFonts w:hint="eastAsia" w:eastAsia="黑体"/>
          <w:lang w:val="en-US" w:eastAsia="zh-CN"/>
        </w:rPr>
        <w:t>-C</w:t>
      </w:r>
      <w:r>
        <w:rPr>
          <w:rFonts w:eastAsia="黑体"/>
        </w:rPr>
        <w:t>urtain layout and connection</w:t>
      </w:r>
      <w:r>
        <w:tab/>
      </w:r>
      <w:r>
        <w:fldChar w:fldCharType="begin"/>
      </w:r>
      <w:r>
        <w:instrText xml:space="preserve"> PAGEREF _Toc103257155 \h </w:instrText>
      </w:r>
      <w:r>
        <w:fldChar w:fldCharType="separate"/>
      </w:r>
      <w:r>
        <w:t>8</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4.5  </w:t>
      </w:r>
      <w:r>
        <w:rPr>
          <w:rFonts w:hint="eastAsia" w:eastAsia="黑体"/>
        </w:rPr>
        <w:t>F</w:t>
      </w:r>
      <w:r>
        <w:rPr>
          <w:rFonts w:eastAsia="黑体"/>
        </w:rPr>
        <w:t xml:space="preserve">ramework and </w:t>
      </w:r>
      <w:r>
        <w:rPr>
          <w:rFonts w:hint="eastAsia" w:eastAsia="黑体"/>
          <w:lang w:val="en-US" w:eastAsia="zh-CN"/>
        </w:rPr>
        <w:t>F</w:t>
      </w:r>
      <w:r>
        <w:rPr>
          <w:rFonts w:eastAsia="黑体"/>
        </w:rPr>
        <w:t xml:space="preserve">illing in </w:t>
      </w:r>
      <w:r>
        <w:rPr>
          <w:rFonts w:hint="eastAsia" w:eastAsia="黑体"/>
          <w:lang w:val="en-US" w:eastAsia="zh-CN"/>
        </w:rPr>
        <w:t>P</w:t>
      </w:r>
      <w:r>
        <w:rPr>
          <w:rFonts w:eastAsia="黑体"/>
        </w:rPr>
        <w:t>ipe</w:t>
      </w:r>
      <w:r>
        <w:tab/>
      </w:r>
      <w:r>
        <w:fldChar w:fldCharType="begin"/>
      </w:r>
      <w:r>
        <w:instrText xml:space="preserve"> PAGEREF _Toc103257156 \h </w:instrText>
      </w:r>
      <w:r>
        <w:fldChar w:fldCharType="separate"/>
      </w:r>
      <w:r>
        <w:t>9</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4.6  </w:t>
      </w:r>
      <w:r>
        <w:rPr>
          <w:rFonts w:hint="eastAsia" w:eastAsia="黑体"/>
        </w:rPr>
        <w:t>D</w:t>
      </w:r>
      <w:r>
        <w:rPr>
          <w:rFonts w:eastAsia="黑体"/>
        </w:rPr>
        <w:t xml:space="preserve">esign of </w:t>
      </w:r>
      <w:r>
        <w:rPr>
          <w:rFonts w:hint="eastAsia" w:eastAsia="黑体"/>
          <w:lang w:val="en-US" w:eastAsia="zh-CN"/>
        </w:rPr>
        <w:t>W</w:t>
      </w:r>
      <w:r>
        <w:rPr>
          <w:rFonts w:eastAsia="黑体"/>
        </w:rPr>
        <w:t xml:space="preserve">orking </w:t>
      </w:r>
      <w:r>
        <w:rPr>
          <w:rFonts w:hint="eastAsia" w:eastAsia="黑体"/>
          <w:lang w:val="en-US" w:eastAsia="zh-CN"/>
        </w:rPr>
        <w:t>C</w:t>
      </w:r>
      <w:r>
        <w:rPr>
          <w:rFonts w:eastAsia="黑体"/>
        </w:rPr>
        <w:t xml:space="preserve">hamber or </w:t>
      </w:r>
      <w:r>
        <w:rPr>
          <w:rFonts w:hint="eastAsia" w:eastAsia="黑体"/>
          <w:lang w:val="en-US" w:eastAsia="zh-CN"/>
        </w:rPr>
        <w:t>C</w:t>
      </w:r>
      <w:r>
        <w:rPr>
          <w:rFonts w:eastAsia="黑体"/>
        </w:rPr>
        <w:t>avern</w:t>
      </w:r>
      <w:r>
        <w:tab/>
      </w:r>
      <w:r>
        <w:fldChar w:fldCharType="begin"/>
      </w:r>
      <w:r>
        <w:instrText xml:space="preserve"> PAGEREF _Toc103257157 \h </w:instrText>
      </w:r>
      <w:r>
        <w:fldChar w:fldCharType="separate"/>
      </w:r>
      <w:r>
        <w:t>9</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4.7  </w:t>
      </w:r>
      <w:r>
        <w:rPr>
          <w:rFonts w:hint="eastAsia" w:eastAsia="黑体"/>
        </w:rPr>
        <w:t>B</w:t>
      </w:r>
      <w:r>
        <w:rPr>
          <w:rFonts w:eastAsia="黑体"/>
        </w:rPr>
        <w:t xml:space="preserve">ack </w:t>
      </w:r>
      <w:r>
        <w:rPr>
          <w:rFonts w:hint="eastAsia" w:eastAsia="黑体"/>
          <w:lang w:val="en-US" w:eastAsia="zh-CN"/>
        </w:rPr>
        <w:t>W</w:t>
      </w:r>
      <w:r>
        <w:rPr>
          <w:rFonts w:eastAsia="黑体"/>
        </w:rPr>
        <w:t xml:space="preserve">all </w:t>
      </w:r>
      <w:r>
        <w:rPr>
          <w:rFonts w:hint="eastAsia" w:eastAsia="黑体"/>
          <w:lang w:val="en-US" w:eastAsia="zh-CN"/>
        </w:rPr>
        <w:t>D</w:t>
      </w:r>
      <w:r>
        <w:rPr>
          <w:rFonts w:eastAsia="黑体"/>
        </w:rPr>
        <w:t>esign</w:t>
      </w:r>
      <w:r>
        <w:tab/>
      </w:r>
      <w:r>
        <w:fldChar w:fldCharType="begin"/>
      </w:r>
      <w:r>
        <w:instrText xml:space="preserve"> PAGEREF _Toc103257158 \h </w:instrText>
      </w:r>
      <w:r>
        <w:fldChar w:fldCharType="separate"/>
      </w:r>
      <w:r>
        <w:t>11</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4.8  </w:t>
      </w:r>
      <w:r>
        <w:rPr>
          <w:rFonts w:hint="eastAsia" w:eastAsia="黑体"/>
        </w:rPr>
        <w:t>C</w:t>
      </w:r>
      <w:r>
        <w:rPr>
          <w:rFonts w:eastAsia="黑体"/>
        </w:rPr>
        <w:t xml:space="preserve">alculation of </w:t>
      </w:r>
      <w:r>
        <w:rPr>
          <w:rFonts w:hint="eastAsia" w:eastAsia="黑体"/>
          <w:lang w:val="en-US" w:eastAsia="zh-CN"/>
        </w:rPr>
        <w:t>P</w:t>
      </w:r>
      <w:r>
        <w:rPr>
          <w:rFonts w:eastAsia="黑体"/>
        </w:rPr>
        <w:t>ipe</w:t>
      </w:r>
      <w:r>
        <w:rPr>
          <w:rFonts w:hint="eastAsia" w:eastAsia="黑体"/>
          <w:lang w:val="en-US" w:eastAsia="zh-CN"/>
        </w:rPr>
        <w:t>-C</w:t>
      </w:r>
      <w:r>
        <w:rPr>
          <w:rFonts w:eastAsia="黑体"/>
        </w:rPr>
        <w:t xml:space="preserve">urtain </w:t>
      </w:r>
      <w:r>
        <w:rPr>
          <w:rFonts w:hint="eastAsia" w:eastAsia="黑体"/>
          <w:lang w:val="en-US" w:eastAsia="zh-CN"/>
        </w:rPr>
        <w:t>S</w:t>
      </w:r>
      <w:r>
        <w:rPr>
          <w:rFonts w:eastAsia="黑体"/>
        </w:rPr>
        <w:t>tructure</w:t>
      </w:r>
      <w:r>
        <w:tab/>
      </w:r>
      <w:r>
        <w:fldChar w:fldCharType="begin"/>
      </w:r>
      <w:r>
        <w:instrText xml:space="preserve"> PAGEREF _Toc103257159 \h </w:instrText>
      </w:r>
      <w:r>
        <w:fldChar w:fldCharType="separate"/>
      </w:r>
      <w:r>
        <w:t>11</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4.9  </w:t>
      </w:r>
      <w:r>
        <w:rPr>
          <w:rFonts w:hint="eastAsia" w:eastAsia="黑体"/>
        </w:rPr>
        <w:t>S</w:t>
      </w:r>
      <w:r>
        <w:rPr>
          <w:rFonts w:eastAsia="黑体"/>
        </w:rPr>
        <w:t xml:space="preserve">tructural </w:t>
      </w:r>
      <w:r>
        <w:rPr>
          <w:rFonts w:hint="eastAsia" w:eastAsia="黑体"/>
          <w:lang w:val="en-US" w:eastAsia="zh-CN"/>
        </w:rPr>
        <w:t>D</w:t>
      </w:r>
      <w:r>
        <w:rPr>
          <w:rFonts w:eastAsia="黑体"/>
        </w:rPr>
        <w:t xml:space="preserve">esign of </w:t>
      </w:r>
      <w:r>
        <w:rPr>
          <w:rFonts w:hint="eastAsia" w:eastAsia="黑体"/>
          <w:lang w:val="en-US" w:eastAsia="zh-CN"/>
        </w:rPr>
        <w:t>P</w:t>
      </w:r>
      <w:r>
        <w:rPr>
          <w:rFonts w:eastAsia="黑体"/>
        </w:rPr>
        <w:t>ipe</w:t>
      </w:r>
      <w:r>
        <w:rPr>
          <w:rFonts w:hint="eastAsia" w:eastAsia="黑体"/>
          <w:lang w:val="en-US" w:eastAsia="zh-CN"/>
        </w:rPr>
        <w:t>-C</w:t>
      </w:r>
      <w:r>
        <w:rPr>
          <w:rFonts w:eastAsia="黑体"/>
        </w:rPr>
        <w:t>urtain</w:t>
      </w:r>
      <w:r>
        <w:tab/>
      </w:r>
      <w:r>
        <w:fldChar w:fldCharType="begin"/>
      </w:r>
      <w:r>
        <w:instrText xml:space="preserve"> PAGEREF _Toc103257160 \h </w:instrText>
      </w:r>
      <w:r>
        <w:fldChar w:fldCharType="separate"/>
      </w:r>
      <w:r>
        <w:t>14</w:t>
      </w:r>
      <w:r>
        <w:fldChar w:fldCharType="end"/>
      </w:r>
    </w:p>
    <w:p>
      <w:pPr>
        <w:pStyle w:val="14"/>
        <w:tabs>
          <w:tab w:val="right" w:leader="dot" w:pos="8302"/>
        </w:tabs>
        <w:rPr>
          <w:rFonts w:asciiTheme="minorHAnsi" w:hAnsiTheme="minorHAnsi" w:eastAsiaTheme="minorEastAsia" w:cstheme="minorBidi"/>
          <w:szCs w:val="22"/>
        </w:rPr>
      </w:pPr>
      <w:r>
        <w:t xml:space="preserve">5  </w:t>
      </w:r>
      <w:r>
        <w:rPr>
          <w:rFonts w:hint="eastAsia"/>
          <w:lang w:val="en-US" w:eastAsia="zh-CN"/>
        </w:rPr>
        <w:t>C</w:t>
      </w:r>
      <w:r>
        <w:t xml:space="preserve">onstruction </w:t>
      </w:r>
      <w:r>
        <w:rPr>
          <w:rFonts w:hint="eastAsia"/>
          <w:lang w:val="en-US" w:eastAsia="zh-CN"/>
        </w:rPr>
        <w:t>P</w:t>
      </w:r>
      <w:r>
        <w:t>reparation</w:t>
      </w:r>
      <w:r>
        <w:tab/>
      </w:r>
      <w:r>
        <w:fldChar w:fldCharType="begin"/>
      </w:r>
      <w:r>
        <w:instrText xml:space="preserve"> PAGEREF _Toc103257161 \h </w:instrText>
      </w:r>
      <w:r>
        <w:fldChar w:fldCharType="separate"/>
      </w:r>
      <w:r>
        <w:t>15</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5.1  General </w:t>
      </w:r>
      <w:r>
        <w:rPr>
          <w:rFonts w:hint="eastAsia" w:eastAsia="黑体"/>
          <w:lang w:val="en-US" w:eastAsia="zh-CN"/>
        </w:rPr>
        <w:t>R</w:t>
      </w:r>
      <w:r>
        <w:rPr>
          <w:rFonts w:hint="eastAsia" w:eastAsia="黑体"/>
        </w:rPr>
        <w:t>equirements</w:t>
      </w:r>
      <w:r>
        <w:tab/>
      </w:r>
      <w:r>
        <w:fldChar w:fldCharType="begin"/>
      </w:r>
      <w:r>
        <w:instrText xml:space="preserve"> PAGEREF _Toc103257162 \h </w:instrText>
      </w:r>
      <w:r>
        <w:fldChar w:fldCharType="separate"/>
      </w:r>
      <w:r>
        <w:t>15</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5.2  </w:t>
      </w:r>
      <w:r>
        <w:rPr>
          <w:rFonts w:hint="eastAsia" w:eastAsia="黑体"/>
        </w:rPr>
        <w:t>T</w:t>
      </w:r>
      <w:r>
        <w:rPr>
          <w:rFonts w:eastAsia="黑体"/>
        </w:rPr>
        <w:t xml:space="preserve">echnical </w:t>
      </w:r>
      <w:r>
        <w:rPr>
          <w:rFonts w:hint="eastAsia" w:eastAsia="黑体"/>
          <w:lang w:val="en-US" w:eastAsia="zh-CN"/>
        </w:rPr>
        <w:t>P</w:t>
      </w:r>
      <w:r>
        <w:rPr>
          <w:rFonts w:eastAsia="黑体"/>
        </w:rPr>
        <w:t>reparation</w:t>
      </w:r>
      <w:r>
        <w:tab/>
      </w:r>
      <w:r>
        <w:fldChar w:fldCharType="begin"/>
      </w:r>
      <w:r>
        <w:instrText xml:space="preserve"> PAGEREF _Toc103257163 \h </w:instrText>
      </w:r>
      <w:r>
        <w:fldChar w:fldCharType="separate"/>
      </w:r>
      <w:r>
        <w:t>15</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5.3  </w:t>
      </w:r>
      <w:r>
        <w:rPr>
          <w:rFonts w:hint="eastAsia" w:eastAsia="黑体"/>
        </w:rPr>
        <w:t>E</w:t>
      </w:r>
      <w:r>
        <w:rPr>
          <w:rFonts w:eastAsia="黑体"/>
        </w:rPr>
        <w:t xml:space="preserve">quipment </w:t>
      </w:r>
      <w:r>
        <w:rPr>
          <w:rFonts w:hint="eastAsia" w:eastAsia="黑体"/>
          <w:lang w:val="en-US" w:eastAsia="zh-CN"/>
        </w:rPr>
        <w:t>S</w:t>
      </w:r>
      <w:r>
        <w:rPr>
          <w:rFonts w:eastAsia="黑体"/>
        </w:rPr>
        <w:t xml:space="preserve">election and </w:t>
      </w:r>
      <w:r>
        <w:rPr>
          <w:rFonts w:hint="eastAsia" w:eastAsia="黑体"/>
          <w:lang w:val="en-US" w:eastAsia="zh-CN"/>
        </w:rPr>
        <w:t>C</w:t>
      </w:r>
      <w:r>
        <w:rPr>
          <w:rFonts w:eastAsia="黑体"/>
        </w:rPr>
        <w:t>onfiguration</w:t>
      </w:r>
      <w:r>
        <w:tab/>
      </w:r>
      <w:r>
        <w:fldChar w:fldCharType="begin"/>
      </w:r>
      <w:r>
        <w:instrText xml:space="preserve"> PAGEREF _Toc103257164 \h </w:instrText>
      </w:r>
      <w:r>
        <w:fldChar w:fldCharType="separate"/>
      </w:r>
      <w:r>
        <w:t>16</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5.4  </w:t>
      </w:r>
      <w:r>
        <w:rPr>
          <w:rFonts w:hint="eastAsia" w:eastAsia="黑体"/>
        </w:rPr>
        <w:t>A</w:t>
      </w:r>
      <w:r>
        <w:rPr>
          <w:rFonts w:eastAsia="黑体"/>
        </w:rPr>
        <w:t xml:space="preserve">uxiliary </w:t>
      </w:r>
      <w:r>
        <w:rPr>
          <w:rFonts w:hint="eastAsia" w:eastAsia="黑体"/>
          <w:lang w:val="en-US" w:eastAsia="zh-CN"/>
        </w:rPr>
        <w:t>F</w:t>
      </w:r>
      <w:r>
        <w:rPr>
          <w:rFonts w:eastAsia="黑体"/>
        </w:rPr>
        <w:t>acilities</w:t>
      </w:r>
      <w:r>
        <w:tab/>
      </w:r>
      <w:r>
        <w:fldChar w:fldCharType="begin"/>
      </w:r>
      <w:r>
        <w:instrText xml:space="preserve"> PAGEREF _Toc103257165 \h </w:instrText>
      </w:r>
      <w:r>
        <w:fldChar w:fldCharType="separate"/>
      </w:r>
      <w:r>
        <w:t>19</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5.5  </w:t>
      </w:r>
      <w:r>
        <w:rPr>
          <w:rFonts w:hint="eastAsia" w:eastAsia="黑体"/>
        </w:rPr>
        <w:t>W</w:t>
      </w:r>
      <w:r>
        <w:rPr>
          <w:rFonts w:eastAsia="黑体"/>
        </w:rPr>
        <w:t xml:space="preserve">orking </w:t>
      </w:r>
      <w:r>
        <w:rPr>
          <w:rFonts w:hint="eastAsia" w:eastAsia="黑体"/>
          <w:lang w:val="en-US" w:eastAsia="zh-CN"/>
        </w:rPr>
        <w:t>C</w:t>
      </w:r>
      <w:r>
        <w:rPr>
          <w:rFonts w:eastAsia="黑体"/>
        </w:rPr>
        <w:t xml:space="preserve">hamber and </w:t>
      </w:r>
      <w:r>
        <w:rPr>
          <w:rFonts w:hint="eastAsia" w:eastAsia="黑体"/>
          <w:lang w:val="en-US" w:eastAsia="zh-CN"/>
        </w:rPr>
        <w:t>C</w:t>
      </w:r>
      <w:r>
        <w:rPr>
          <w:rFonts w:eastAsia="黑体"/>
        </w:rPr>
        <w:t xml:space="preserve">avern </w:t>
      </w:r>
      <w:r>
        <w:rPr>
          <w:rFonts w:hint="eastAsia" w:eastAsia="黑体"/>
          <w:lang w:val="en-US" w:eastAsia="zh-CN"/>
        </w:rPr>
        <w:t>C</w:t>
      </w:r>
      <w:r>
        <w:rPr>
          <w:rFonts w:eastAsia="黑体"/>
        </w:rPr>
        <w:t>onstruction</w:t>
      </w:r>
      <w:r>
        <w:tab/>
      </w:r>
      <w:r>
        <w:fldChar w:fldCharType="begin"/>
      </w:r>
      <w:r>
        <w:instrText xml:space="preserve"> PAGEREF _Toc103257166 \h </w:instrText>
      </w:r>
      <w:r>
        <w:fldChar w:fldCharType="separate"/>
      </w:r>
      <w:r>
        <w:t>20</w:t>
      </w:r>
      <w:r>
        <w:fldChar w:fldCharType="end"/>
      </w:r>
    </w:p>
    <w:p>
      <w:pPr>
        <w:pStyle w:val="14"/>
        <w:tabs>
          <w:tab w:val="right" w:leader="dot" w:pos="8302"/>
        </w:tabs>
        <w:rPr>
          <w:rFonts w:asciiTheme="minorHAnsi" w:hAnsiTheme="minorHAnsi" w:eastAsiaTheme="minorEastAsia" w:cstheme="minorBidi"/>
          <w:szCs w:val="22"/>
        </w:rPr>
      </w:pPr>
      <w:r>
        <w:t xml:space="preserve">6  Fabrication of </w:t>
      </w:r>
      <w:r>
        <w:rPr>
          <w:rFonts w:hint="eastAsia"/>
          <w:lang w:val="en-US" w:eastAsia="zh-CN"/>
        </w:rPr>
        <w:t>P</w:t>
      </w:r>
      <w:r>
        <w:t>ipe</w:t>
      </w:r>
      <w:r>
        <w:rPr>
          <w:rFonts w:hint="eastAsia"/>
          <w:lang w:val="en-US" w:eastAsia="zh-CN"/>
        </w:rPr>
        <w:t>-C</w:t>
      </w:r>
      <w:r>
        <w:t xml:space="preserve">urtain </w:t>
      </w:r>
      <w:r>
        <w:rPr>
          <w:rFonts w:hint="eastAsia"/>
          <w:lang w:val="en-US" w:eastAsia="zh-CN"/>
        </w:rPr>
        <w:t>S</w:t>
      </w:r>
      <w:r>
        <w:t xml:space="preserve">teel </w:t>
      </w:r>
      <w:r>
        <w:rPr>
          <w:rFonts w:hint="eastAsia"/>
          <w:lang w:val="en-US" w:eastAsia="zh-CN"/>
        </w:rPr>
        <w:t>P</w:t>
      </w:r>
      <w:r>
        <w:t xml:space="preserve">ipe and </w:t>
      </w:r>
      <w:r>
        <w:rPr>
          <w:rFonts w:hint="eastAsia"/>
          <w:lang w:val="en-US" w:eastAsia="zh-CN"/>
        </w:rPr>
        <w:t>A</w:t>
      </w:r>
      <w:r>
        <w:t>ccessories</w:t>
      </w:r>
      <w:r>
        <w:tab/>
      </w:r>
      <w:r>
        <w:fldChar w:fldCharType="begin"/>
      </w:r>
      <w:r>
        <w:instrText xml:space="preserve"> PAGEREF _Toc103257167 \h </w:instrText>
      </w:r>
      <w:r>
        <w:fldChar w:fldCharType="separate"/>
      </w:r>
      <w:r>
        <w:t>21</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6.1  General </w:t>
      </w:r>
      <w:r>
        <w:rPr>
          <w:rFonts w:hint="eastAsia" w:eastAsia="黑体"/>
          <w:lang w:val="en-US" w:eastAsia="zh-CN"/>
        </w:rPr>
        <w:t>R</w:t>
      </w:r>
      <w:r>
        <w:rPr>
          <w:rFonts w:hint="eastAsia" w:eastAsia="黑体"/>
        </w:rPr>
        <w:t>equirements</w:t>
      </w:r>
      <w:r>
        <w:tab/>
      </w:r>
      <w:r>
        <w:fldChar w:fldCharType="begin"/>
      </w:r>
      <w:r>
        <w:instrText xml:space="preserve"> PAGEREF _Toc103257168 \h </w:instrText>
      </w:r>
      <w:r>
        <w:fldChar w:fldCharType="separate"/>
      </w:r>
      <w:r>
        <w:t>21</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6.2  </w:t>
      </w:r>
      <w:r>
        <w:rPr>
          <w:rFonts w:hint="eastAsia" w:eastAsia="黑体"/>
        </w:rPr>
        <w:t>S</w:t>
      </w:r>
      <w:r>
        <w:rPr>
          <w:rFonts w:eastAsia="黑体"/>
        </w:rPr>
        <w:t xml:space="preserve">teel </w:t>
      </w:r>
      <w:r>
        <w:rPr>
          <w:rFonts w:hint="eastAsia" w:eastAsia="黑体"/>
          <w:lang w:val="en-US" w:eastAsia="zh-CN"/>
        </w:rPr>
        <w:t>P</w:t>
      </w:r>
      <w:r>
        <w:rPr>
          <w:rFonts w:eastAsia="黑体"/>
        </w:rPr>
        <w:t>ipe</w:t>
      </w:r>
      <w:r>
        <w:rPr>
          <w:rFonts w:hint="eastAsia" w:eastAsia="黑体"/>
          <w:lang w:val="en-US" w:eastAsia="zh-CN"/>
        </w:rPr>
        <w:t xml:space="preserve"> F</w:t>
      </w:r>
      <w:r>
        <w:rPr>
          <w:rFonts w:eastAsia="黑体"/>
        </w:rPr>
        <w:t>abrication</w:t>
      </w:r>
      <w:r>
        <w:tab/>
      </w:r>
      <w:r>
        <w:fldChar w:fldCharType="begin"/>
      </w:r>
      <w:r>
        <w:instrText xml:space="preserve"> PAGEREF _Toc103257169 \h </w:instrText>
      </w:r>
      <w:r>
        <w:fldChar w:fldCharType="separate"/>
      </w:r>
      <w:r>
        <w:t>21</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6.3  </w:t>
      </w:r>
      <w:r>
        <w:rPr>
          <w:rFonts w:hint="eastAsia" w:eastAsia="黑体"/>
        </w:rPr>
        <w:t>P</w:t>
      </w:r>
      <w:r>
        <w:rPr>
          <w:rFonts w:eastAsia="黑体"/>
        </w:rPr>
        <w:t xml:space="preserve">ipe </w:t>
      </w:r>
      <w:r>
        <w:rPr>
          <w:rFonts w:hint="eastAsia" w:eastAsia="黑体"/>
          <w:lang w:val="en-US" w:eastAsia="zh-CN"/>
        </w:rPr>
        <w:t>C</w:t>
      </w:r>
      <w:r>
        <w:rPr>
          <w:rFonts w:eastAsia="黑体"/>
        </w:rPr>
        <w:t xml:space="preserve">urtain </w:t>
      </w:r>
      <w:r>
        <w:rPr>
          <w:rFonts w:hint="eastAsia" w:eastAsia="黑体"/>
          <w:lang w:val="en-US" w:eastAsia="zh-CN"/>
        </w:rPr>
        <w:t>S</w:t>
      </w:r>
      <w:r>
        <w:rPr>
          <w:rFonts w:eastAsia="黑体"/>
        </w:rPr>
        <w:t xml:space="preserve">teel </w:t>
      </w:r>
      <w:r>
        <w:rPr>
          <w:rFonts w:hint="eastAsia" w:eastAsia="黑体"/>
          <w:lang w:val="en-US" w:eastAsia="zh-CN"/>
        </w:rPr>
        <w:t>P</w:t>
      </w:r>
      <w:r>
        <w:rPr>
          <w:rFonts w:eastAsia="黑体"/>
        </w:rPr>
        <w:t xml:space="preserve">ipe </w:t>
      </w:r>
      <w:r>
        <w:rPr>
          <w:rFonts w:hint="eastAsia" w:eastAsia="黑体"/>
          <w:lang w:val="en-US" w:eastAsia="zh-CN"/>
        </w:rPr>
        <w:t>A</w:t>
      </w:r>
      <w:r>
        <w:rPr>
          <w:rFonts w:eastAsia="黑体"/>
        </w:rPr>
        <w:t>ccessories</w:t>
      </w:r>
      <w:r>
        <w:tab/>
      </w:r>
      <w:r>
        <w:fldChar w:fldCharType="begin"/>
      </w:r>
      <w:r>
        <w:instrText xml:space="preserve"> PAGEREF _Toc103257170 \h </w:instrText>
      </w:r>
      <w:r>
        <w:fldChar w:fldCharType="separate"/>
      </w:r>
      <w:r>
        <w:t>21</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6.4  </w:t>
      </w:r>
      <w:r>
        <w:rPr>
          <w:rFonts w:hint="eastAsia" w:eastAsia="黑体"/>
        </w:rPr>
        <w:t>F</w:t>
      </w:r>
      <w:r>
        <w:rPr>
          <w:rFonts w:eastAsia="黑体"/>
        </w:rPr>
        <w:t xml:space="preserve">abrication of </w:t>
      </w:r>
      <w:r>
        <w:rPr>
          <w:rFonts w:hint="eastAsia" w:eastAsia="黑体"/>
          <w:lang w:val="en-US" w:eastAsia="zh-CN"/>
        </w:rPr>
        <w:t>F</w:t>
      </w:r>
      <w:r>
        <w:rPr>
          <w:rFonts w:eastAsia="黑体"/>
        </w:rPr>
        <w:t xml:space="preserve">ramework in </w:t>
      </w:r>
      <w:r>
        <w:rPr>
          <w:rFonts w:hint="eastAsia" w:eastAsia="黑体"/>
          <w:lang w:val="en-US" w:eastAsia="zh-CN"/>
        </w:rPr>
        <w:t>P</w:t>
      </w:r>
      <w:r>
        <w:rPr>
          <w:rFonts w:eastAsia="黑体"/>
        </w:rPr>
        <w:t>ipe</w:t>
      </w:r>
      <w:r>
        <w:tab/>
      </w:r>
      <w:r>
        <w:fldChar w:fldCharType="begin"/>
      </w:r>
      <w:r>
        <w:instrText xml:space="preserve"> PAGEREF _Toc103257171 \h </w:instrText>
      </w:r>
      <w:r>
        <w:fldChar w:fldCharType="separate"/>
      </w:r>
      <w:r>
        <w:t>22</w:t>
      </w:r>
      <w:r>
        <w:fldChar w:fldCharType="end"/>
      </w:r>
    </w:p>
    <w:p>
      <w:pPr>
        <w:pStyle w:val="14"/>
        <w:tabs>
          <w:tab w:val="right" w:leader="dot" w:pos="8302"/>
        </w:tabs>
        <w:rPr>
          <w:rFonts w:asciiTheme="minorHAnsi" w:hAnsiTheme="minorHAnsi" w:eastAsiaTheme="minorEastAsia" w:cstheme="minorBidi"/>
          <w:szCs w:val="22"/>
        </w:rPr>
      </w:pPr>
      <w:r>
        <w:t xml:space="preserve">7  </w:t>
      </w:r>
      <w:r>
        <w:rPr>
          <w:rFonts w:hint="eastAsia"/>
          <w:lang w:val="en-US" w:eastAsia="zh-CN"/>
        </w:rPr>
        <w:t>P</w:t>
      </w:r>
      <w:r>
        <w:t>ipe</w:t>
      </w:r>
      <w:r>
        <w:rPr>
          <w:rFonts w:hint="eastAsia"/>
          <w:lang w:val="en-US" w:eastAsia="zh-CN"/>
        </w:rPr>
        <w:t>-C</w:t>
      </w:r>
      <w:r>
        <w:t xml:space="preserve">urtain </w:t>
      </w:r>
      <w:r>
        <w:rPr>
          <w:rFonts w:hint="eastAsia"/>
          <w:lang w:val="en-US" w:eastAsia="zh-CN"/>
        </w:rPr>
        <w:t>S</w:t>
      </w:r>
      <w:r>
        <w:t xml:space="preserve">teel </w:t>
      </w:r>
      <w:r>
        <w:rPr>
          <w:rFonts w:hint="eastAsia"/>
          <w:lang w:val="en-US" w:eastAsia="zh-CN"/>
        </w:rPr>
        <w:t>P</w:t>
      </w:r>
      <w:r>
        <w:t>ipe</w:t>
      </w:r>
      <w:r>
        <w:rPr>
          <w:rFonts w:hint="eastAsia"/>
          <w:lang w:val="en-US" w:eastAsia="zh-CN"/>
        </w:rPr>
        <w:t xml:space="preserve"> J</w:t>
      </w:r>
      <w:r>
        <w:t xml:space="preserve">acking </w:t>
      </w:r>
      <w:r>
        <w:rPr>
          <w:rFonts w:hint="eastAsia"/>
          <w:lang w:val="en-US" w:eastAsia="zh-CN"/>
        </w:rPr>
        <w:t>C</w:t>
      </w:r>
      <w:r>
        <w:t>onstruction</w:t>
      </w:r>
      <w:r>
        <w:tab/>
      </w:r>
      <w:r>
        <w:fldChar w:fldCharType="begin"/>
      </w:r>
      <w:r>
        <w:instrText xml:space="preserve"> PAGEREF _Toc103257173 \h </w:instrText>
      </w:r>
      <w:r>
        <w:fldChar w:fldCharType="separate"/>
      </w:r>
      <w:r>
        <w:t>24</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7.1  General </w:t>
      </w:r>
      <w:r>
        <w:rPr>
          <w:rFonts w:hint="eastAsia" w:eastAsia="黑体"/>
          <w:lang w:val="en-US" w:eastAsia="zh-CN"/>
        </w:rPr>
        <w:t>R</w:t>
      </w:r>
      <w:r>
        <w:rPr>
          <w:rFonts w:hint="eastAsia" w:eastAsia="黑体"/>
        </w:rPr>
        <w:t>equirements</w:t>
      </w:r>
      <w:r>
        <w:tab/>
      </w:r>
      <w:r>
        <w:fldChar w:fldCharType="begin"/>
      </w:r>
      <w:r>
        <w:instrText xml:space="preserve"> PAGEREF _Toc103257174 \h </w:instrText>
      </w:r>
      <w:r>
        <w:fldChar w:fldCharType="separate"/>
      </w:r>
      <w:r>
        <w:t>24</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7.2  </w:t>
      </w:r>
      <w:r>
        <w:rPr>
          <w:rFonts w:hint="eastAsia" w:eastAsia="黑体"/>
        </w:rPr>
        <w:t>P</w:t>
      </w:r>
      <w:r>
        <w:rPr>
          <w:rFonts w:eastAsia="黑体"/>
        </w:rPr>
        <w:t xml:space="preserve">ipe </w:t>
      </w:r>
      <w:r>
        <w:rPr>
          <w:rFonts w:hint="eastAsia" w:eastAsia="黑体"/>
          <w:lang w:val="en-US" w:eastAsia="zh-CN"/>
        </w:rPr>
        <w:t>P</w:t>
      </w:r>
      <w:r>
        <w:rPr>
          <w:rFonts w:eastAsia="黑体"/>
        </w:rPr>
        <w:t xml:space="preserve">ulling </w:t>
      </w:r>
      <w:r>
        <w:rPr>
          <w:rFonts w:hint="eastAsia" w:eastAsia="黑体"/>
          <w:lang w:val="en-US" w:eastAsia="zh-CN"/>
        </w:rPr>
        <w:t>M</w:t>
      </w:r>
      <w:r>
        <w:rPr>
          <w:rFonts w:eastAsia="黑体"/>
        </w:rPr>
        <w:t>ethod</w:t>
      </w:r>
      <w:r>
        <w:tab/>
      </w:r>
      <w:r>
        <w:fldChar w:fldCharType="begin"/>
      </w:r>
      <w:r>
        <w:instrText xml:space="preserve"> PAGEREF _Toc103257175 \h </w:instrText>
      </w:r>
      <w:r>
        <w:fldChar w:fldCharType="separate"/>
      </w:r>
      <w:r>
        <w:t>25</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7.3  </w:t>
      </w:r>
      <w:r>
        <w:rPr>
          <w:rFonts w:hint="eastAsia" w:eastAsia="黑体"/>
        </w:rPr>
        <w:t>P</w:t>
      </w:r>
      <w:r>
        <w:rPr>
          <w:rFonts w:eastAsia="黑体"/>
        </w:rPr>
        <w:t xml:space="preserve">ipe </w:t>
      </w:r>
      <w:r>
        <w:rPr>
          <w:rFonts w:hint="eastAsia" w:eastAsia="黑体"/>
          <w:lang w:val="en-US" w:eastAsia="zh-CN"/>
        </w:rPr>
        <w:t>T</w:t>
      </w:r>
      <w:r>
        <w:rPr>
          <w:rFonts w:eastAsia="黑体"/>
        </w:rPr>
        <w:t xml:space="preserve">amping </w:t>
      </w:r>
      <w:r>
        <w:rPr>
          <w:rFonts w:hint="eastAsia" w:eastAsia="黑体"/>
          <w:lang w:val="en-US" w:eastAsia="zh-CN"/>
        </w:rPr>
        <w:t>M</w:t>
      </w:r>
      <w:r>
        <w:rPr>
          <w:rFonts w:eastAsia="黑体"/>
        </w:rPr>
        <w:t>ethod</w:t>
      </w:r>
      <w:r>
        <w:tab/>
      </w:r>
      <w:r>
        <w:fldChar w:fldCharType="begin"/>
      </w:r>
      <w:r>
        <w:instrText xml:space="preserve"> PAGEREF _Toc103257176 \h </w:instrText>
      </w:r>
      <w:r>
        <w:fldChar w:fldCharType="separate"/>
      </w:r>
      <w:r>
        <w:t>28</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7.4  </w:t>
      </w:r>
      <w:r>
        <w:rPr>
          <w:rFonts w:hint="eastAsia" w:eastAsia="黑体"/>
        </w:rPr>
        <w:t>D</w:t>
      </w:r>
      <w:r>
        <w:rPr>
          <w:rFonts w:eastAsia="黑体"/>
        </w:rPr>
        <w:t xml:space="preserve">rilling and </w:t>
      </w:r>
      <w:r>
        <w:rPr>
          <w:rFonts w:hint="eastAsia" w:eastAsia="黑体"/>
          <w:lang w:val="en-US" w:eastAsia="zh-CN"/>
        </w:rPr>
        <w:t>P</w:t>
      </w:r>
      <w:r>
        <w:rPr>
          <w:rFonts w:eastAsia="黑体"/>
        </w:rPr>
        <w:t>ipe</w:t>
      </w:r>
      <w:r>
        <w:rPr>
          <w:rFonts w:hint="eastAsia" w:eastAsia="黑体"/>
          <w:lang w:val="en-US" w:eastAsia="zh-CN"/>
        </w:rPr>
        <w:t xml:space="preserve"> J</w:t>
      </w:r>
      <w:r>
        <w:rPr>
          <w:rFonts w:eastAsia="黑体"/>
        </w:rPr>
        <w:t xml:space="preserve">acking </w:t>
      </w:r>
      <w:r>
        <w:rPr>
          <w:rFonts w:hint="eastAsia" w:eastAsia="黑体"/>
          <w:lang w:val="en-US" w:eastAsia="zh-CN"/>
        </w:rPr>
        <w:t>C</w:t>
      </w:r>
      <w:r>
        <w:rPr>
          <w:rFonts w:eastAsia="黑体"/>
        </w:rPr>
        <w:t>onstruction</w:t>
      </w:r>
      <w:r>
        <w:tab/>
      </w:r>
      <w:r>
        <w:fldChar w:fldCharType="begin"/>
      </w:r>
      <w:r>
        <w:instrText xml:space="preserve"> PAGEREF _Toc103257178 \h </w:instrText>
      </w:r>
      <w:r>
        <w:fldChar w:fldCharType="separate"/>
      </w:r>
      <w:r>
        <w:t>30</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7.5  </w:t>
      </w:r>
      <w:r>
        <w:rPr>
          <w:rFonts w:hint="eastAsia" w:eastAsia="黑体"/>
        </w:rPr>
        <w:t>M</w:t>
      </w:r>
      <w:r>
        <w:rPr>
          <w:rFonts w:eastAsia="黑体"/>
        </w:rPr>
        <w:t xml:space="preserve">echanical </w:t>
      </w:r>
      <w:r>
        <w:rPr>
          <w:rFonts w:hint="eastAsia" w:eastAsia="黑体"/>
          <w:lang w:val="en-US" w:eastAsia="zh-CN"/>
        </w:rPr>
        <w:t>P</w:t>
      </w:r>
      <w:r>
        <w:rPr>
          <w:rFonts w:eastAsia="黑体"/>
        </w:rPr>
        <w:t xml:space="preserve">ipe </w:t>
      </w:r>
      <w:r>
        <w:rPr>
          <w:rFonts w:hint="eastAsia" w:eastAsia="黑体"/>
          <w:lang w:val="en-US" w:eastAsia="zh-CN"/>
        </w:rPr>
        <w:t>J</w:t>
      </w:r>
      <w:r>
        <w:rPr>
          <w:rFonts w:eastAsia="黑体"/>
        </w:rPr>
        <w:t>acking</w:t>
      </w:r>
      <w:r>
        <w:rPr>
          <w:rFonts w:hint="eastAsia" w:eastAsia="黑体"/>
          <w:lang w:val="en-US" w:eastAsia="zh-CN"/>
        </w:rPr>
        <w:t xml:space="preserve"> C</w:t>
      </w:r>
      <w:r>
        <w:rPr>
          <w:rFonts w:eastAsia="黑体"/>
        </w:rPr>
        <w:t>onstruction</w:t>
      </w:r>
      <w:r>
        <w:tab/>
      </w:r>
      <w:r>
        <w:fldChar w:fldCharType="begin"/>
      </w:r>
      <w:r>
        <w:instrText xml:space="preserve"> PAGEREF _Toc103257179 \h </w:instrText>
      </w:r>
      <w:r>
        <w:fldChar w:fldCharType="separate"/>
      </w:r>
      <w:r>
        <w:t>32</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7.6  </w:t>
      </w:r>
      <w:r>
        <w:rPr>
          <w:rFonts w:hint="eastAsia" w:eastAsia="黑体"/>
        </w:rPr>
        <w:t>P</w:t>
      </w:r>
      <w:r>
        <w:rPr>
          <w:rFonts w:eastAsia="黑体"/>
        </w:rPr>
        <w:t>ipe</w:t>
      </w:r>
      <w:r>
        <w:rPr>
          <w:rFonts w:hint="eastAsia" w:eastAsia="黑体"/>
          <w:lang w:val="en-US" w:eastAsia="zh-CN"/>
        </w:rPr>
        <w:t>-C</w:t>
      </w:r>
      <w:r>
        <w:rPr>
          <w:rFonts w:eastAsia="黑体"/>
        </w:rPr>
        <w:t xml:space="preserve">urtain </w:t>
      </w:r>
      <w:r>
        <w:rPr>
          <w:rFonts w:hint="eastAsia" w:eastAsia="黑体"/>
          <w:lang w:val="en-US" w:eastAsia="zh-CN"/>
        </w:rPr>
        <w:t>S</w:t>
      </w:r>
      <w:r>
        <w:rPr>
          <w:rFonts w:eastAsia="黑体"/>
        </w:rPr>
        <w:t xml:space="preserve">teel </w:t>
      </w:r>
      <w:r>
        <w:rPr>
          <w:rFonts w:hint="eastAsia" w:eastAsia="黑体"/>
          <w:lang w:val="en-US" w:eastAsia="zh-CN"/>
        </w:rPr>
        <w:t>P</w:t>
      </w:r>
      <w:r>
        <w:rPr>
          <w:rFonts w:eastAsia="黑体"/>
        </w:rPr>
        <w:t xml:space="preserve">ipe </w:t>
      </w:r>
      <w:r>
        <w:rPr>
          <w:rFonts w:hint="eastAsia" w:eastAsia="黑体"/>
          <w:lang w:val="en-US" w:eastAsia="zh-CN"/>
        </w:rPr>
        <w:t>C</w:t>
      </w:r>
      <w:r>
        <w:rPr>
          <w:rFonts w:eastAsia="黑体"/>
        </w:rPr>
        <w:t>onnection</w:t>
      </w:r>
      <w:r>
        <w:tab/>
      </w:r>
      <w:r>
        <w:fldChar w:fldCharType="begin"/>
      </w:r>
      <w:r>
        <w:instrText xml:space="preserve"> PAGEREF _Toc103257180 \h </w:instrText>
      </w:r>
      <w:r>
        <w:fldChar w:fldCharType="separate"/>
      </w:r>
      <w:r>
        <w:t>35</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7.7  </w:t>
      </w:r>
      <w:r>
        <w:rPr>
          <w:rFonts w:hint="eastAsia" w:eastAsia="黑体"/>
        </w:rPr>
        <w:t>C</w:t>
      </w:r>
      <w:r>
        <w:rPr>
          <w:rFonts w:eastAsia="黑体"/>
        </w:rPr>
        <w:t xml:space="preserve">onstruction </w:t>
      </w:r>
      <w:r>
        <w:rPr>
          <w:rFonts w:hint="eastAsia" w:eastAsia="黑体"/>
          <w:lang w:val="en-US" w:eastAsia="zh-CN"/>
        </w:rPr>
        <w:t>S</w:t>
      </w:r>
      <w:r>
        <w:rPr>
          <w:rFonts w:eastAsia="黑体"/>
        </w:rPr>
        <w:t>urvey</w:t>
      </w:r>
      <w:r>
        <w:tab/>
      </w:r>
      <w:r>
        <w:fldChar w:fldCharType="begin"/>
      </w:r>
      <w:r>
        <w:instrText xml:space="preserve"> PAGEREF _Toc103257181 \h </w:instrText>
      </w:r>
      <w:r>
        <w:fldChar w:fldCharType="separate"/>
      </w:r>
      <w:r>
        <w:t>35</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7.8  </w:t>
      </w:r>
      <w:r>
        <w:rPr>
          <w:rFonts w:hint="eastAsia" w:eastAsia="黑体"/>
        </w:rPr>
        <w:t>G</w:t>
      </w:r>
      <w:r>
        <w:rPr>
          <w:rFonts w:eastAsia="黑体"/>
        </w:rPr>
        <w:t xml:space="preserve">uidance </w:t>
      </w:r>
      <w:r>
        <w:rPr>
          <w:rFonts w:hint="eastAsia" w:eastAsia="黑体"/>
          <w:lang w:val="en-US" w:eastAsia="zh-CN"/>
        </w:rPr>
        <w:t>C</w:t>
      </w:r>
      <w:r>
        <w:rPr>
          <w:rFonts w:eastAsia="黑体"/>
        </w:rPr>
        <w:t xml:space="preserve">ontrol and </w:t>
      </w:r>
      <w:r>
        <w:rPr>
          <w:rFonts w:hint="eastAsia" w:eastAsia="黑体"/>
          <w:lang w:val="en-US" w:eastAsia="zh-CN"/>
        </w:rPr>
        <w:t>D</w:t>
      </w:r>
      <w:r>
        <w:rPr>
          <w:rFonts w:eastAsia="黑体"/>
        </w:rPr>
        <w:t xml:space="preserve">eviation </w:t>
      </w:r>
      <w:r>
        <w:rPr>
          <w:rFonts w:hint="eastAsia" w:eastAsia="黑体"/>
          <w:lang w:val="en-US" w:eastAsia="zh-CN"/>
        </w:rPr>
        <w:t>C</w:t>
      </w:r>
      <w:r>
        <w:rPr>
          <w:rFonts w:eastAsia="黑体"/>
        </w:rPr>
        <w:t>orrection</w:t>
      </w:r>
      <w:r>
        <w:tab/>
      </w:r>
      <w:r>
        <w:fldChar w:fldCharType="begin"/>
      </w:r>
      <w:r>
        <w:instrText xml:space="preserve"> PAGEREF _Toc103257182 \h </w:instrText>
      </w:r>
      <w:r>
        <w:fldChar w:fldCharType="separate"/>
      </w:r>
      <w:r>
        <w:t>36</w:t>
      </w:r>
      <w:r>
        <w:fldChar w:fldCharType="end"/>
      </w:r>
    </w:p>
    <w:p>
      <w:pPr>
        <w:pStyle w:val="15"/>
        <w:tabs>
          <w:tab w:val="right" w:leader="dot" w:pos="8302"/>
        </w:tabs>
        <w:ind w:left="0" w:leftChars="0"/>
        <w:rPr>
          <w:rFonts w:eastAsia="黑体"/>
        </w:rPr>
      </w:pPr>
      <w:r>
        <w:rPr>
          <w:rFonts w:hint="eastAsia"/>
        </w:rPr>
        <w:t>8</w:t>
      </w:r>
      <w:r>
        <w:t xml:space="preserve">  Filling in </w:t>
      </w:r>
      <w:r>
        <w:rPr>
          <w:rFonts w:hint="eastAsia"/>
          <w:lang w:val="en-US" w:eastAsia="zh-CN"/>
        </w:rPr>
        <w:t>S</w:t>
      </w:r>
      <w:r>
        <w:t xml:space="preserve">teel </w:t>
      </w:r>
      <w:r>
        <w:rPr>
          <w:rFonts w:hint="eastAsia"/>
          <w:lang w:val="en-US" w:eastAsia="zh-CN"/>
        </w:rPr>
        <w:t>P</w:t>
      </w:r>
      <w:r>
        <w:t xml:space="preserve">ipe of </w:t>
      </w:r>
      <w:r>
        <w:rPr>
          <w:rFonts w:hint="eastAsia"/>
          <w:lang w:val="en-US" w:eastAsia="zh-CN"/>
        </w:rPr>
        <w:t>P</w:t>
      </w:r>
      <w:r>
        <w:t>ipe</w:t>
      </w:r>
      <w:r>
        <w:rPr>
          <w:rFonts w:hint="eastAsia"/>
          <w:lang w:val="en-US" w:eastAsia="zh-CN"/>
        </w:rPr>
        <w:t>-C</w:t>
      </w:r>
      <w:r>
        <w:t>urtain</w:t>
      </w:r>
      <w:r>
        <w:tab/>
      </w:r>
      <w:r>
        <w:fldChar w:fldCharType="begin"/>
      </w:r>
      <w:r>
        <w:instrText xml:space="preserve"> PAGEREF _Toc103257173 \h </w:instrText>
      </w:r>
      <w:r>
        <w:fldChar w:fldCharType="separate"/>
      </w:r>
      <w:r>
        <w:t>24</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8.1  General </w:t>
      </w:r>
      <w:r>
        <w:rPr>
          <w:rFonts w:hint="eastAsia" w:eastAsia="黑体"/>
          <w:lang w:val="en-US" w:eastAsia="zh-CN"/>
        </w:rPr>
        <w:t>R</w:t>
      </w:r>
      <w:r>
        <w:rPr>
          <w:rFonts w:hint="eastAsia" w:eastAsia="黑体"/>
        </w:rPr>
        <w:t>equirements</w:t>
      </w:r>
      <w:r>
        <w:tab/>
      </w:r>
      <w:r>
        <w:fldChar w:fldCharType="begin"/>
      </w:r>
      <w:r>
        <w:instrText xml:space="preserve"> PAGEREF _Toc103257183 \h </w:instrText>
      </w:r>
      <w:r>
        <w:fldChar w:fldCharType="separate"/>
      </w:r>
      <w:r>
        <w:t>39</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8.2  </w:t>
      </w:r>
      <w:r>
        <w:rPr>
          <w:rFonts w:hint="eastAsia" w:eastAsia="黑体"/>
        </w:rPr>
        <w:t>F</w:t>
      </w:r>
      <w:r>
        <w:rPr>
          <w:rFonts w:eastAsia="黑体"/>
        </w:rPr>
        <w:t xml:space="preserve">abrication and </w:t>
      </w:r>
      <w:r>
        <w:rPr>
          <w:rFonts w:hint="eastAsia" w:eastAsia="黑体"/>
          <w:lang w:val="en-US" w:eastAsia="zh-CN"/>
        </w:rPr>
        <w:t>I</w:t>
      </w:r>
      <w:r>
        <w:rPr>
          <w:rFonts w:eastAsia="黑体"/>
        </w:rPr>
        <w:t xml:space="preserve">nstallation of </w:t>
      </w:r>
      <w:r>
        <w:rPr>
          <w:rFonts w:hint="eastAsia" w:eastAsia="黑体"/>
          <w:lang w:val="en-US" w:eastAsia="zh-CN"/>
        </w:rPr>
        <w:t>S</w:t>
      </w:r>
      <w:r>
        <w:rPr>
          <w:rFonts w:eastAsia="黑体"/>
        </w:rPr>
        <w:t xml:space="preserve">teel </w:t>
      </w:r>
      <w:r>
        <w:rPr>
          <w:rFonts w:hint="eastAsia" w:eastAsia="黑体"/>
          <w:lang w:val="en-US" w:eastAsia="zh-CN"/>
        </w:rPr>
        <w:t>P</w:t>
      </w:r>
      <w:r>
        <w:rPr>
          <w:rFonts w:eastAsia="黑体"/>
        </w:rPr>
        <w:t xml:space="preserve">ipe </w:t>
      </w:r>
      <w:r>
        <w:rPr>
          <w:rFonts w:hint="eastAsia" w:eastAsia="黑体"/>
          <w:lang w:val="en-US" w:eastAsia="zh-CN"/>
        </w:rPr>
        <w:t>I</w:t>
      </w:r>
      <w:r>
        <w:rPr>
          <w:rFonts w:eastAsia="黑体"/>
        </w:rPr>
        <w:t xml:space="preserve">nner </w:t>
      </w:r>
      <w:r>
        <w:rPr>
          <w:rFonts w:hint="eastAsia" w:eastAsia="黑体"/>
          <w:lang w:val="en-US" w:eastAsia="zh-CN"/>
        </w:rPr>
        <w:t>F</w:t>
      </w:r>
      <w:r>
        <w:rPr>
          <w:rFonts w:eastAsia="黑体"/>
        </w:rPr>
        <w:t xml:space="preserve">ramework of </w:t>
      </w:r>
      <w:r>
        <w:rPr>
          <w:rFonts w:hint="eastAsia" w:eastAsia="黑体"/>
          <w:lang w:val="en-US" w:eastAsia="zh-CN"/>
        </w:rPr>
        <w:t>P</w:t>
      </w:r>
      <w:r>
        <w:rPr>
          <w:rFonts w:eastAsia="黑体"/>
        </w:rPr>
        <w:t>ipe curtain</w:t>
      </w:r>
      <w:r>
        <w:tab/>
      </w:r>
      <w:r>
        <w:fldChar w:fldCharType="begin"/>
      </w:r>
      <w:r>
        <w:instrText xml:space="preserve"> PAGEREF _Toc103257184 \h </w:instrText>
      </w:r>
      <w:r>
        <w:fldChar w:fldCharType="separate"/>
      </w:r>
      <w:r>
        <w:t>39</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8.3  </w:t>
      </w:r>
      <w:r>
        <w:rPr>
          <w:rFonts w:hint="eastAsia" w:eastAsia="黑体"/>
        </w:rPr>
        <w:t>C</w:t>
      </w:r>
      <w:r>
        <w:rPr>
          <w:rFonts w:eastAsia="黑体"/>
        </w:rPr>
        <w:t xml:space="preserve">losure of </w:t>
      </w:r>
      <w:r>
        <w:rPr>
          <w:rFonts w:hint="eastAsia" w:eastAsia="黑体"/>
          <w:lang w:val="en-US" w:eastAsia="zh-CN"/>
        </w:rPr>
        <w:t>P</w:t>
      </w:r>
      <w:r>
        <w:rPr>
          <w:rFonts w:eastAsia="黑体"/>
        </w:rPr>
        <w:t xml:space="preserve">ipe </w:t>
      </w:r>
      <w:r>
        <w:rPr>
          <w:rFonts w:hint="eastAsia" w:eastAsia="黑体"/>
          <w:lang w:val="en-US" w:eastAsia="zh-CN"/>
        </w:rPr>
        <w:t>O</w:t>
      </w:r>
      <w:r>
        <w:rPr>
          <w:rFonts w:eastAsia="黑体"/>
        </w:rPr>
        <w:t xml:space="preserve">rifice and </w:t>
      </w:r>
      <w:r>
        <w:rPr>
          <w:rFonts w:hint="eastAsia" w:eastAsia="黑体"/>
          <w:lang w:val="en-US" w:eastAsia="zh-CN"/>
        </w:rPr>
        <w:t>F</w:t>
      </w:r>
      <w:r>
        <w:rPr>
          <w:rFonts w:eastAsia="黑体"/>
        </w:rPr>
        <w:t xml:space="preserve">illing in </w:t>
      </w:r>
      <w:r>
        <w:rPr>
          <w:rFonts w:hint="eastAsia" w:eastAsia="黑体"/>
          <w:lang w:val="en-US" w:eastAsia="zh-CN"/>
        </w:rPr>
        <w:t>S</w:t>
      </w:r>
      <w:r>
        <w:rPr>
          <w:rFonts w:eastAsia="黑体"/>
        </w:rPr>
        <w:t xml:space="preserve">teel </w:t>
      </w:r>
      <w:r>
        <w:rPr>
          <w:rFonts w:hint="eastAsia" w:eastAsia="黑体"/>
          <w:lang w:val="en-US" w:eastAsia="zh-CN"/>
        </w:rPr>
        <w:t>P</w:t>
      </w:r>
      <w:r>
        <w:rPr>
          <w:rFonts w:eastAsia="黑体"/>
        </w:rPr>
        <w:t xml:space="preserve">ipe of </w:t>
      </w:r>
      <w:r>
        <w:rPr>
          <w:rFonts w:hint="eastAsia" w:eastAsia="黑体"/>
          <w:lang w:val="en-US" w:eastAsia="zh-CN"/>
        </w:rPr>
        <w:t>P</w:t>
      </w:r>
      <w:r>
        <w:rPr>
          <w:rFonts w:eastAsia="黑体"/>
        </w:rPr>
        <w:t>ipe</w:t>
      </w:r>
      <w:r>
        <w:rPr>
          <w:rFonts w:hint="eastAsia" w:eastAsia="黑体"/>
          <w:lang w:val="en-US" w:eastAsia="zh-CN"/>
        </w:rPr>
        <w:t>-C</w:t>
      </w:r>
      <w:r>
        <w:rPr>
          <w:rFonts w:eastAsia="黑体"/>
        </w:rPr>
        <w:t>urtain</w:t>
      </w:r>
      <w:r>
        <w:tab/>
      </w:r>
      <w:r>
        <w:fldChar w:fldCharType="begin"/>
      </w:r>
      <w:r>
        <w:instrText xml:space="preserve"> PAGEREF _Toc103257186 \h </w:instrText>
      </w:r>
      <w:r>
        <w:fldChar w:fldCharType="separate"/>
      </w:r>
      <w:r>
        <w:t>40</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8.4  </w:t>
      </w:r>
      <w:r>
        <w:rPr>
          <w:rFonts w:hint="eastAsia" w:eastAsia="黑体"/>
        </w:rPr>
        <w:t>G</w:t>
      </w:r>
      <w:r>
        <w:rPr>
          <w:rFonts w:eastAsia="黑体"/>
        </w:rPr>
        <w:t xml:space="preserve">routing behind </w:t>
      </w:r>
      <w:r>
        <w:rPr>
          <w:rFonts w:hint="eastAsia" w:eastAsia="黑体"/>
          <w:lang w:val="en-US" w:eastAsia="zh-CN"/>
        </w:rPr>
        <w:t>S</w:t>
      </w:r>
      <w:r>
        <w:rPr>
          <w:rFonts w:eastAsia="黑体"/>
        </w:rPr>
        <w:t xml:space="preserve">teel </w:t>
      </w:r>
      <w:r>
        <w:rPr>
          <w:rFonts w:hint="eastAsia" w:eastAsia="黑体"/>
          <w:lang w:val="en-US" w:eastAsia="zh-CN"/>
        </w:rPr>
        <w:t>P</w:t>
      </w:r>
      <w:r>
        <w:rPr>
          <w:rFonts w:eastAsia="黑体"/>
        </w:rPr>
        <w:t xml:space="preserve">ipe </w:t>
      </w:r>
      <w:r>
        <w:rPr>
          <w:rFonts w:hint="eastAsia" w:eastAsia="黑体"/>
          <w:lang w:val="en-US" w:eastAsia="zh-CN"/>
        </w:rPr>
        <w:t>W</w:t>
      </w:r>
      <w:r>
        <w:rPr>
          <w:rFonts w:eastAsia="黑体"/>
        </w:rPr>
        <w:t xml:space="preserve">all of </w:t>
      </w:r>
      <w:r>
        <w:rPr>
          <w:rFonts w:hint="eastAsia" w:eastAsia="黑体"/>
          <w:lang w:val="en-US" w:eastAsia="zh-CN"/>
        </w:rPr>
        <w:t>P</w:t>
      </w:r>
      <w:r>
        <w:rPr>
          <w:rFonts w:eastAsia="黑体"/>
        </w:rPr>
        <w:t>ipe</w:t>
      </w:r>
      <w:r>
        <w:rPr>
          <w:rFonts w:hint="eastAsia" w:eastAsia="黑体"/>
          <w:lang w:val="en-US" w:eastAsia="zh-CN"/>
        </w:rPr>
        <w:t>-C</w:t>
      </w:r>
      <w:r>
        <w:rPr>
          <w:rFonts w:eastAsia="黑体"/>
        </w:rPr>
        <w:t>urtain</w:t>
      </w:r>
      <w:r>
        <w:tab/>
      </w:r>
      <w:r>
        <w:fldChar w:fldCharType="begin"/>
      </w:r>
      <w:r>
        <w:instrText xml:space="preserve"> PAGEREF _Toc103257187 \h </w:instrText>
      </w:r>
      <w:r>
        <w:fldChar w:fldCharType="separate"/>
      </w:r>
      <w:r>
        <w:t>41</w:t>
      </w:r>
      <w:r>
        <w:fldChar w:fldCharType="end"/>
      </w:r>
    </w:p>
    <w:p>
      <w:pPr>
        <w:pStyle w:val="14"/>
        <w:tabs>
          <w:tab w:val="right" w:leader="dot" w:pos="8302"/>
        </w:tabs>
        <w:rPr>
          <w:rFonts w:asciiTheme="minorHAnsi" w:hAnsiTheme="minorHAnsi" w:eastAsiaTheme="minorEastAsia" w:cstheme="minorBidi"/>
          <w:szCs w:val="22"/>
        </w:rPr>
      </w:pPr>
      <w:r>
        <w:t xml:space="preserve">9  </w:t>
      </w:r>
      <w:r>
        <w:rPr>
          <w:rFonts w:hint="eastAsia"/>
          <w:lang w:val="en-US" w:eastAsia="zh-CN"/>
        </w:rPr>
        <w:t>C</w:t>
      </w:r>
      <w:r>
        <w:t>onstruction</w:t>
      </w:r>
      <w:r>
        <w:rPr>
          <w:rFonts w:hint="eastAsia"/>
          <w:lang w:val="en-US" w:eastAsia="zh-CN"/>
        </w:rPr>
        <w:t xml:space="preserve"> M</w:t>
      </w:r>
      <w:r>
        <w:t>onitoring</w:t>
      </w:r>
    </w:p>
    <w:p>
      <w:pPr>
        <w:pStyle w:val="15"/>
        <w:tabs>
          <w:tab w:val="right" w:leader="dot" w:pos="8302"/>
        </w:tabs>
        <w:rPr>
          <w:rFonts w:asciiTheme="minorHAnsi" w:hAnsiTheme="minorHAnsi" w:eastAsiaTheme="minorEastAsia" w:cstheme="minorBidi"/>
          <w:szCs w:val="22"/>
        </w:rPr>
      </w:pPr>
      <w:r>
        <w:rPr>
          <w:rFonts w:eastAsia="黑体"/>
        </w:rPr>
        <w:t xml:space="preserve">9.1  General </w:t>
      </w:r>
      <w:r>
        <w:rPr>
          <w:rFonts w:hint="eastAsia" w:eastAsia="黑体"/>
          <w:lang w:val="en-US" w:eastAsia="zh-CN"/>
        </w:rPr>
        <w:t>R</w:t>
      </w:r>
      <w:r>
        <w:rPr>
          <w:rFonts w:hint="eastAsia" w:eastAsia="黑体"/>
        </w:rPr>
        <w:t>equirements</w:t>
      </w:r>
      <w:r>
        <w:tab/>
      </w:r>
      <w:r>
        <w:fldChar w:fldCharType="begin"/>
      </w:r>
      <w:r>
        <w:instrText xml:space="preserve"> PAGEREF _Toc103257189 \h </w:instrText>
      </w:r>
      <w:r>
        <w:fldChar w:fldCharType="separate"/>
      </w:r>
      <w:r>
        <w:t>42</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9.2  </w:t>
      </w:r>
      <w:r>
        <w:rPr>
          <w:rFonts w:hint="eastAsia" w:eastAsia="黑体"/>
        </w:rPr>
        <w:t>M</w:t>
      </w:r>
      <w:r>
        <w:rPr>
          <w:rFonts w:eastAsia="黑体"/>
        </w:rPr>
        <w:t xml:space="preserve">onitoring </w:t>
      </w:r>
      <w:r>
        <w:rPr>
          <w:rFonts w:hint="eastAsia" w:eastAsia="黑体"/>
          <w:lang w:val="en-US" w:eastAsia="zh-CN"/>
        </w:rPr>
        <w:t>I</w:t>
      </w:r>
      <w:r>
        <w:rPr>
          <w:rFonts w:eastAsia="黑体"/>
        </w:rPr>
        <w:t xml:space="preserve">tems, </w:t>
      </w:r>
      <w:r>
        <w:rPr>
          <w:rFonts w:hint="eastAsia" w:eastAsia="黑体"/>
          <w:lang w:val="en-US" w:eastAsia="zh-CN"/>
        </w:rPr>
        <w:t>M</w:t>
      </w:r>
      <w:r>
        <w:rPr>
          <w:rFonts w:eastAsia="黑体"/>
        </w:rPr>
        <w:t xml:space="preserve">ethods and </w:t>
      </w:r>
      <w:r>
        <w:rPr>
          <w:rFonts w:hint="eastAsia" w:eastAsia="黑体"/>
          <w:lang w:val="en-US" w:eastAsia="zh-CN"/>
        </w:rPr>
        <w:t>R</w:t>
      </w:r>
      <w:r>
        <w:rPr>
          <w:rFonts w:eastAsia="黑体"/>
        </w:rPr>
        <w:t>equirements</w:t>
      </w:r>
      <w:r>
        <w:tab/>
      </w:r>
      <w:r>
        <w:fldChar w:fldCharType="begin"/>
      </w:r>
      <w:r>
        <w:instrText xml:space="preserve"> PAGEREF _Toc103257190 \h </w:instrText>
      </w:r>
      <w:r>
        <w:fldChar w:fldCharType="separate"/>
      </w:r>
      <w:r>
        <w:t>42</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9.3  Layout of </w:t>
      </w:r>
      <w:r>
        <w:rPr>
          <w:rFonts w:hint="eastAsia" w:eastAsia="黑体"/>
          <w:lang w:val="en-US" w:eastAsia="zh-CN"/>
        </w:rPr>
        <w:t>M</w:t>
      </w:r>
      <w:r>
        <w:rPr>
          <w:rFonts w:eastAsia="黑体"/>
        </w:rPr>
        <w:t xml:space="preserve">onitoring </w:t>
      </w:r>
      <w:r>
        <w:rPr>
          <w:rFonts w:hint="eastAsia" w:eastAsia="黑体"/>
          <w:lang w:val="en-US" w:eastAsia="zh-CN"/>
        </w:rPr>
        <w:t>P</w:t>
      </w:r>
      <w:r>
        <w:rPr>
          <w:rFonts w:eastAsia="黑体"/>
        </w:rPr>
        <w:t xml:space="preserve">oints and </w:t>
      </w:r>
      <w:r>
        <w:rPr>
          <w:rFonts w:hint="eastAsia" w:eastAsia="黑体"/>
          <w:lang w:val="en-US" w:eastAsia="zh-CN"/>
        </w:rPr>
        <w:t>M</w:t>
      </w:r>
      <w:r>
        <w:rPr>
          <w:rFonts w:eastAsia="黑体"/>
        </w:rPr>
        <w:t xml:space="preserve">onitoring </w:t>
      </w:r>
      <w:r>
        <w:rPr>
          <w:rFonts w:hint="eastAsia" w:eastAsia="黑体"/>
          <w:lang w:val="en-US" w:eastAsia="zh-CN"/>
        </w:rPr>
        <w:t>F</w:t>
      </w:r>
      <w:r>
        <w:rPr>
          <w:rFonts w:eastAsia="黑体"/>
        </w:rPr>
        <w:t>requency</w:t>
      </w:r>
      <w:r>
        <w:tab/>
      </w:r>
      <w:r>
        <w:fldChar w:fldCharType="begin"/>
      </w:r>
      <w:r>
        <w:instrText xml:space="preserve"> PAGEREF _Toc103257191 \h </w:instrText>
      </w:r>
      <w:r>
        <w:fldChar w:fldCharType="separate"/>
      </w:r>
      <w:r>
        <w:t>44</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9.4  </w:t>
      </w:r>
      <w:r>
        <w:rPr>
          <w:rFonts w:hint="eastAsia" w:eastAsia="黑体"/>
        </w:rPr>
        <w:t>M</w:t>
      </w:r>
      <w:r>
        <w:rPr>
          <w:rFonts w:eastAsia="黑体"/>
        </w:rPr>
        <w:t xml:space="preserve">onitoring </w:t>
      </w:r>
      <w:r>
        <w:rPr>
          <w:rFonts w:hint="eastAsia" w:eastAsia="黑体"/>
          <w:lang w:val="en-US" w:eastAsia="zh-CN"/>
        </w:rPr>
        <w:t>C</w:t>
      </w:r>
      <w:r>
        <w:rPr>
          <w:rFonts w:eastAsia="黑体"/>
        </w:rPr>
        <w:t xml:space="preserve">ontrol </w:t>
      </w:r>
      <w:r>
        <w:rPr>
          <w:rFonts w:hint="eastAsia" w:eastAsia="黑体"/>
          <w:lang w:val="en-US" w:eastAsia="zh-CN"/>
        </w:rPr>
        <w:t>V</w:t>
      </w:r>
      <w:r>
        <w:rPr>
          <w:rFonts w:eastAsia="黑体"/>
        </w:rPr>
        <w:t xml:space="preserve">alue and </w:t>
      </w:r>
      <w:r>
        <w:rPr>
          <w:rFonts w:hint="eastAsia" w:eastAsia="黑体"/>
          <w:lang w:val="en-US" w:eastAsia="zh-CN"/>
        </w:rPr>
        <w:t>E</w:t>
      </w:r>
      <w:r>
        <w:rPr>
          <w:rFonts w:eastAsia="黑体"/>
        </w:rPr>
        <w:t xml:space="preserve">arly </w:t>
      </w:r>
      <w:r>
        <w:rPr>
          <w:rFonts w:hint="eastAsia" w:eastAsia="黑体"/>
          <w:lang w:val="en-US" w:eastAsia="zh-CN"/>
        </w:rPr>
        <w:t>W</w:t>
      </w:r>
      <w:r>
        <w:rPr>
          <w:rFonts w:eastAsia="黑体"/>
        </w:rPr>
        <w:t>arning</w:t>
      </w:r>
      <w:r>
        <w:tab/>
      </w:r>
      <w:r>
        <w:fldChar w:fldCharType="begin"/>
      </w:r>
      <w:r>
        <w:instrText xml:space="preserve"> PAGEREF _Toc103257193 \h </w:instrText>
      </w:r>
      <w:r>
        <w:fldChar w:fldCharType="separate"/>
      </w:r>
      <w:r>
        <w:t>48</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9.5  </w:t>
      </w:r>
      <w:r>
        <w:rPr>
          <w:rFonts w:hint="eastAsia" w:eastAsia="黑体"/>
        </w:rPr>
        <w:t>D</w:t>
      </w:r>
      <w:r>
        <w:rPr>
          <w:rFonts w:eastAsia="黑体"/>
        </w:rPr>
        <w:t xml:space="preserve">ata </w:t>
      </w:r>
      <w:r>
        <w:rPr>
          <w:rFonts w:hint="eastAsia" w:eastAsia="黑体"/>
          <w:lang w:val="en-US" w:eastAsia="zh-CN"/>
        </w:rPr>
        <w:t>P</w:t>
      </w:r>
      <w:r>
        <w:rPr>
          <w:rFonts w:eastAsia="黑体"/>
        </w:rPr>
        <w:t xml:space="preserve">rocessing and </w:t>
      </w:r>
      <w:r>
        <w:rPr>
          <w:rFonts w:hint="eastAsia" w:eastAsia="黑体"/>
          <w:lang w:val="en-US" w:eastAsia="zh-CN"/>
        </w:rPr>
        <w:t>I</w:t>
      </w:r>
      <w:r>
        <w:rPr>
          <w:rFonts w:eastAsia="黑体"/>
        </w:rPr>
        <w:t xml:space="preserve">nformation </w:t>
      </w:r>
      <w:r>
        <w:rPr>
          <w:rFonts w:hint="eastAsia" w:eastAsia="黑体"/>
          <w:lang w:val="en-US" w:eastAsia="zh-CN"/>
        </w:rPr>
        <w:t>F</w:t>
      </w:r>
      <w:r>
        <w:rPr>
          <w:rFonts w:eastAsia="黑体"/>
        </w:rPr>
        <w:t>eedback</w:t>
      </w:r>
      <w:r>
        <w:tab/>
      </w:r>
      <w:r>
        <w:fldChar w:fldCharType="begin"/>
      </w:r>
      <w:r>
        <w:instrText xml:space="preserve"> PAGEREF _Toc103257194 \h </w:instrText>
      </w:r>
      <w:r>
        <w:fldChar w:fldCharType="separate"/>
      </w:r>
      <w:r>
        <w:t>48</w:t>
      </w:r>
      <w:r>
        <w:fldChar w:fldCharType="end"/>
      </w:r>
    </w:p>
    <w:p>
      <w:pPr>
        <w:pStyle w:val="14"/>
        <w:tabs>
          <w:tab w:val="right" w:leader="dot" w:pos="8302"/>
        </w:tabs>
        <w:rPr>
          <w:rFonts w:asciiTheme="minorHAnsi" w:hAnsiTheme="minorHAnsi" w:eastAsiaTheme="minorEastAsia" w:cstheme="minorBidi"/>
          <w:szCs w:val="22"/>
        </w:rPr>
      </w:pPr>
      <w:r>
        <w:t xml:space="preserve">10  </w:t>
      </w:r>
      <w:r>
        <w:rPr>
          <w:rFonts w:hint="eastAsia"/>
          <w:lang w:val="en-US" w:eastAsia="zh-CN"/>
        </w:rPr>
        <w:t>Q</w:t>
      </w:r>
      <w:r>
        <w:t xml:space="preserve">uality </w:t>
      </w:r>
      <w:r>
        <w:rPr>
          <w:rFonts w:hint="eastAsia"/>
          <w:lang w:val="en-US" w:eastAsia="zh-CN"/>
        </w:rPr>
        <w:t>A</w:t>
      </w:r>
      <w:r>
        <w:t>cceptance</w:t>
      </w:r>
      <w:r>
        <w:tab/>
      </w:r>
      <w:r>
        <w:fldChar w:fldCharType="begin"/>
      </w:r>
      <w:r>
        <w:instrText xml:space="preserve"> PAGEREF _Toc103257195 \h </w:instrText>
      </w:r>
      <w:r>
        <w:fldChar w:fldCharType="separate"/>
      </w:r>
      <w:r>
        <w:t>49</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10.1  General </w:t>
      </w:r>
      <w:r>
        <w:rPr>
          <w:rFonts w:hint="eastAsia" w:eastAsia="黑体"/>
          <w:lang w:val="en-US" w:eastAsia="zh-CN"/>
        </w:rPr>
        <w:t>R</w:t>
      </w:r>
      <w:r>
        <w:rPr>
          <w:rFonts w:hint="eastAsia" w:eastAsia="黑体"/>
        </w:rPr>
        <w:t>equirements</w:t>
      </w:r>
      <w:r>
        <w:tab/>
      </w:r>
      <w:r>
        <w:fldChar w:fldCharType="begin"/>
      </w:r>
      <w:r>
        <w:instrText xml:space="preserve"> PAGEREF _Toc103257196 \h </w:instrText>
      </w:r>
      <w:r>
        <w:fldChar w:fldCharType="separate"/>
      </w:r>
      <w:r>
        <w:t>50</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10.2 </w:t>
      </w:r>
      <w:r>
        <w:rPr>
          <w:rFonts w:hint="eastAsia" w:eastAsia="黑体"/>
        </w:rPr>
        <w:t xml:space="preserve"> F</w:t>
      </w:r>
      <w:r>
        <w:rPr>
          <w:rFonts w:eastAsia="黑体"/>
        </w:rPr>
        <w:t xml:space="preserve">abrication of </w:t>
      </w:r>
      <w:r>
        <w:rPr>
          <w:rFonts w:hint="eastAsia" w:eastAsia="黑体"/>
          <w:lang w:val="en-US" w:eastAsia="zh-CN"/>
        </w:rPr>
        <w:t>S</w:t>
      </w:r>
      <w:r>
        <w:rPr>
          <w:rFonts w:eastAsia="黑体"/>
        </w:rPr>
        <w:t xml:space="preserve">teel </w:t>
      </w:r>
      <w:r>
        <w:rPr>
          <w:rFonts w:hint="eastAsia" w:eastAsia="黑体"/>
          <w:lang w:val="en-US" w:eastAsia="zh-CN"/>
        </w:rPr>
        <w:t>P</w:t>
      </w:r>
      <w:r>
        <w:rPr>
          <w:rFonts w:eastAsia="黑体"/>
        </w:rPr>
        <w:t xml:space="preserve">ipes and </w:t>
      </w:r>
      <w:r>
        <w:rPr>
          <w:rFonts w:hint="eastAsia" w:eastAsia="黑体"/>
          <w:lang w:val="en-US" w:eastAsia="zh-CN"/>
        </w:rPr>
        <w:t>A</w:t>
      </w:r>
      <w:r>
        <w:rPr>
          <w:rFonts w:eastAsia="黑体"/>
        </w:rPr>
        <w:t>ccessories</w:t>
      </w:r>
      <w:r>
        <w:tab/>
      </w:r>
      <w:r>
        <w:fldChar w:fldCharType="begin"/>
      </w:r>
      <w:r>
        <w:instrText xml:space="preserve"> PAGEREF _Toc103257197 \h </w:instrText>
      </w:r>
      <w:r>
        <w:fldChar w:fldCharType="separate"/>
      </w:r>
      <w:r>
        <w:t>51</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10.3  </w:t>
      </w:r>
      <w:r>
        <w:rPr>
          <w:rFonts w:hint="eastAsia" w:eastAsia="黑体"/>
        </w:rPr>
        <w:t>C</w:t>
      </w:r>
      <w:r>
        <w:rPr>
          <w:rFonts w:eastAsia="黑体"/>
        </w:rPr>
        <w:t xml:space="preserve">onstruction of </w:t>
      </w:r>
      <w:r>
        <w:rPr>
          <w:rFonts w:hint="eastAsia" w:eastAsia="黑体"/>
          <w:lang w:val="en-US" w:eastAsia="zh-CN"/>
        </w:rPr>
        <w:t>P</w:t>
      </w:r>
      <w:r>
        <w:rPr>
          <w:rFonts w:eastAsia="黑体"/>
        </w:rPr>
        <w:t>ipe</w:t>
      </w:r>
      <w:r>
        <w:rPr>
          <w:rFonts w:hint="eastAsia" w:eastAsia="黑体"/>
          <w:lang w:val="en-US" w:eastAsia="zh-CN"/>
        </w:rPr>
        <w:t>-C</w:t>
      </w:r>
      <w:r>
        <w:rPr>
          <w:rFonts w:eastAsia="黑体"/>
        </w:rPr>
        <w:t xml:space="preserve">urtain </w:t>
      </w:r>
      <w:r>
        <w:rPr>
          <w:rFonts w:hint="eastAsia" w:eastAsia="黑体"/>
          <w:lang w:val="en-US" w:eastAsia="zh-CN"/>
        </w:rPr>
        <w:t>S</w:t>
      </w:r>
      <w:r>
        <w:rPr>
          <w:rFonts w:eastAsia="黑体"/>
        </w:rPr>
        <w:t xml:space="preserve">teel </w:t>
      </w:r>
      <w:r>
        <w:rPr>
          <w:rFonts w:hint="eastAsia" w:eastAsia="黑体"/>
          <w:lang w:val="en-US" w:eastAsia="zh-CN"/>
        </w:rPr>
        <w:t>P</w:t>
      </w:r>
      <w:r>
        <w:rPr>
          <w:rFonts w:eastAsia="黑体"/>
        </w:rPr>
        <w:t xml:space="preserve">ipe </w:t>
      </w:r>
      <w:r>
        <w:rPr>
          <w:rFonts w:hint="eastAsia" w:eastAsia="黑体"/>
          <w:lang w:val="en-US" w:eastAsia="zh-CN"/>
        </w:rPr>
        <w:t>P</w:t>
      </w:r>
      <w:r>
        <w:rPr>
          <w:rFonts w:eastAsia="黑体"/>
        </w:rPr>
        <w:t xml:space="preserve">ulling </w:t>
      </w:r>
      <w:r>
        <w:rPr>
          <w:rFonts w:hint="eastAsia" w:eastAsia="黑体"/>
          <w:lang w:val="en-US" w:eastAsia="zh-CN"/>
        </w:rPr>
        <w:t>M</w:t>
      </w:r>
      <w:r>
        <w:rPr>
          <w:rFonts w:eastAsia="黑体"/>
        </w:rPr>
        <w:t>ethod</w:t>
      </w:r>
      <w:r>
        <w:tab/>
      </w:r>
      <w:r>
        <w:fldChar w:fldCharType="begin"/>
      </w:r>
      <w:r>
        <w:instrText xml:space="preserve"> PAGEREF _Toc103257198 \h </w:instrText>
      </w:r>
      <w:r>
        <w:fldChar w:fldCharType="separate"/>
      </w:r>
      <w:r>
        <w:t>54</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10.4  </w:t>
      </w:r>
      <w:r>
        <w:rPr>
          <w:rFonts w:hint="eastAsia" w:eastAsia="黑体"/>
        </w:rPr>
        <w:t>P</w:t>
      </w:r>
      <w:r>
        <w:rPr>
          <w:rFonts w:eastAsia="黑体"/>
        </w:rPr>
        <w:t>ipe</w:t>
      </w:r>
      <w:r>
        <w:rPr>
          <w:rFonts w:hint="eastAsia" w:eastAsia="黑体"/>
          <w:lang w:val="en-US" w:eastAsia="zh-CN"/>
        </w:rPr>
        <w:t>-</w:t>
      </w:r>
      <w:r>
        <w:rPr>
          <w:rFonts w:eastAsia="黑体"/>
        </w:rPr>
        <w:t xml:space="preserve">curtain </w:t>
      </w:r>
      <w:r>
        <w:rPr>
          <w:rFonts w:hint="eastAsia" w:eastAsia="黑体"/>
          <w:lang w:val="en-US" w:eastAsia="zh-CN"/>
        </w:rPr>
        <w:t>S</w:t>
      </w:r>
      <w:r>
        <w:rPr>
          <w:rFonts w:eastAsia="黑体"/>
        </w:rPr>
        <w:t xml:space="preserve">teel </w:t>
      </w:r>
      <w:r>
        <w:rPr>
          <w:rFonts w:hint="eastAsia" w:eastAsia="黑体"/>
          <w:lang w:val="en-US" w:eastAsia="zh-CN"/>
        </w:rPr>
        <w:t>P</w:t>
      </w:r>
      <w:r>
        <w:rPr>
          <w:rFonts w:eastAsia="黑体"/>
        </w:rPr>
        <w:t xml:space="preserve">ipe </w:t>
      </w:r>
      <w:r>
        <w:rPr>
          <w:rFonts w:hint="eastAsia" w:eastAsia="黑体"/>
          <w:lang w:val="en-US" w:eastAsia="zh-CN"/>
        </w:rPr>
        <w:t>R</w:t>
      </w:r>
      <w:r>
        <w:rPr>
          <w:rFonts w:eastAsia="黑体"/>
        </w:rPr>
        <w:t xml:space="preserve">amming </w:t>
      </w:r>
      <w:r>
        <w:rPr>
          <w:rFonts w:hint="eastAsia" w:eastAsia="黑体"/>
          <w:lang w:val="en-US" w:eastAsia="zh-CN"/>
        </w:rPr>
        <w:t>C</w:t>
      </w:r>
      <w:r>
        <w:rPr>
          <w:rFonts w:eastAsia="黑体"/>
        </w:rPr>
        <w:t>onstruction</w:t>
      </w:r>
      <w:r>
        <w:tab/>
      </w:r>
      <w:r>
        <w:fldChar w:fldCharType="begin"/>
      </w:r>
      <w:r>
        <w:instrText xml:space="preserve"> PAGEREF _Toc103257200 \h </w:instrText>
      </w:r>
      <w:r>
        <w:fldChar w:fldCharType="separate"/>
      </w:r>
      <w:r>
        <w:t>56</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10.5  </w:t>
      </w:r>
      <w:r>
        <w:rPr>
          <w:rFonts w:hint="eastAsia" w:eastAsia="黑体"/>
        </w:rPr>
        <w:t>P</w:t>
      </w:r>
      <w:r>
        <w:rPr>
          <w:rFonts w:eastAsia="黑体"/>
        </w:rPr>
        <w:t xml:space="preserve">ipe curtain </w:t>
      </w:r>
      <w:r>
        <w:rPr>
          <w:rFonts w:hint="eastAsia" w:eastAsia="黑体"/>
          <w:lang w:val="en-US" w:eastAsia="zh-CN"/>
        </w:rPr>
        <w:t>S</w:t>
      </w:r>
      <w:r>
        <w:rPr>
          <w:rFonts w:eastAsia="黑体"/>
        </w:rPr>
        <w:t xml:space="preserve">teel </w:t>
      </w:r>
      <w:r>
        <w:rPr>
          <w:rFonts w:hint="eastAsia" w:eastAsia="黑体"/>
          <w:lang w:val="en-US" w:eastAsia="zh-CN"/>
        </w:rPr>
        <w:t>P</w:t>
      </w:r>
      <w:r>
        <w:rPr>
          <w:rFonts w:eastAsia="黑体"/>
        </w:rPr>
        <w:t xml:space="preserve">ipe </w:t>
      </w:r>
      <w:r>
        <w:rPr>
          <w:rFonts w:hint="eastAsia" w:eastAsia="黑体"/>
          <w:lang w:val="en-US" w:eastAsia="zh-CN"/>
        </w:rPr>
        <w:t>D</w:t>
      </w:r>
      <w:r>
        <w:rPr>
          <w:rFonts w:eastAsia="黑体"/>
        </w:rPr>
        <w:t xml:space="preserve">rilling and </w:t>
      </w:r>
      <w:r>
        <w:rPr>
          <w:rFonts w:hint="eastAsia" w:eastAsia="黑体"/>
          <w:lang w:val="en-US" w:eastAsia="zh-CN"/>
        </w:rPr>
        <w:t>P</w:t>
      </w:r>
      <w:r>
        <w:rPr>
          <w:rFonts w:eastAsia="黑体"/>
        </w:rPr>
        <w:t xml:space="preserve">ipe </w:t>
      </w:r>
      <w:r>
        <w:rPr>
          <w:rFonts w:hint="eastAsia" w:eastAsia="黑体"/>
          <w:lang w:val="en-US" w:eastAsia="zh-CN"/>
        </w:rPr>
        <w:t>J</w:t>
      </w:r>
      <w:r>
        <w:rPr>
          <w:rFonts w:eastAsia="黑体"/>
        </w:rPr>
        <w:t xml:space="preserve">acking </w:t>
      </w:r>
      <w:r>
        <w:rPr>
          <w:rFonts w:hint="eastAsia" w:eastAsia="黑体"/>
          <w:lang w:val="en-US" w:eastAsia="zh-CN"/>
        </w:rPr>
        <w:t>C</w:t>
      </w:r>
      <w:r>
        <w:rPr>
          <w:rFonts w:eastAsia="黑体"/>
        </w:rPr>
        <w:t>onstruction</w:t>
      </w:r>
      <w:r>
        <w:tab/>
      </w:r>
      <w:r>
        <w:fldChar w:fldCharType="begin"/>
      </w:r>
      <w:r>
        <w:instrText xml:space="preserve"> PAGEREF _Toc103257202 \h </w:instrText>
      </w:r>
      <w:r>
        <w:fldChar w:fldCharType="separate"/>
      </w:r>
      <w:r>
        <w:t>58</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10.6  </w:t>
      </w:r>
      <w:r>
        <w:rPr>
          <w:rFonts w:hint="eastAsia" w:eastAsia="黑体"/>
        </w:rPr>
        <w:t>P</w:t>
      </w:r>
      <w:r>
        <w:rPr>
          <w:rFonts w:eastAsia="黑体"/>
        </w:rPr>
        <w:t xml:space="preserve">ipe curtain </w:t>
      </w:r>
      <w:r>
        <w:rPr>
          <w:rFonts w:hint="eastAsia" w:eastAsia="黑体"/>
          <w:lang w:val="en-US" w:eastAsia="zh-CN"/>
        </w:rPr>
        <w:t>S</w:t>
      </w:r>
      <w:r>
        <w:rPr>
          <w:rFonts w:eastAsia="黑体"/>
        </w:rPr>
        <w:t xml:space="preserve">teel </w:t>
      </w:r>
      <w:r>
        <w:rPr>
          <w:rFonts w:hint="eastAsia" w:eastAsia="黑体"/>
          <w:lang w:val="en-US" w:eastAsia="zh-CN"/>
        </w:rPr>
        <w:t>P</w:t>
      </w:r>
      <w:r>
        <w:rPr>
          <w:rFonts w:eastAsia="黑体"/>
        </w:rPr>
        <w:t xml:space="preserve">ipe </w:t>
      </w:r>
      <w:r>
        <w:rPr>
          <w:rFonts w:hint="eastAsia" w:eastAsia="黑体"/>
          <w:lang w:val="en-US" w:eastAsia="zh-CN"/>
        </w:rPr>
        <w:t>M</w:t>
      </w:r>
      <w:r>
        <w:rPr>
          <w:rFonts w:eastAsia="黑体"/>
        </w:rPr>
        <w:t xml:space="preserve">echanical </w:t>
      </w:r>
      <w:r>
        <w:rPr>
          <w:rFonts w:hint="eastAsia" w:eastAsia="黑体"/>
          <w:lang w:val="en-US" w:eastAsia="zh-CN"/>
        </w:rPr>
        <w:t>J</w:t>
      </w:r>
      <w:r>
        <w:rPr>
          <w:rFonts w:eastAsia="黑体"/>
        </w:rPr>
        <w:t xml:space="preserve">acking </w:t>
      </w:r>
      <w:r>
        <w:rPr>
          <w:rFonts w:hint="eastAsia" w:eastAsia="黑体"/>
          <w:lang w:val="en-US" w:eastAsia="zh-CN"/>
        </w:rPr>
        <w:t>C</w:t>
      </w:r>
      <w:r>
        <w:rPr>
          <w:rFonts w:eastAsia="黑体"/>
        </w:rPr>
        <w:t>onstruction</w:t>
      </w:r>
      <w:r>
        <w:tab/>
      </w:r>
      <w:r>
        <w:fldChar w:fldCharType="begin"/>
      </w:r>
      <w:r>
        <w:instrText xml:space="preserve"> PAGEREF _Toc103257205 \h </w:instrText>
      </w:r>
      <w:r>
        <w:fldChar w:fldCharType="separate"/>
      </w:r>
      <w:r>
        <w:t>62</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10.7  </w:t>
      </w:r>
      <w:r>
        <w:rPr>
          <w:rFonts w:hint="eastAsia" w:eastAsia="黑体"/>
        </w:rPr>
        <w:t>F</w:t>
      </w:r>
      <w:r>
        <w:rPr>
          <w:rFonts w:eastAsia="黑体"/>
        </w:rPr>
        <w:t xml:space="preserve">illing in </w:t>
      </w:r>
      <w:r>
        <w:rPr>
          <w:rFonts w:hint="eastAsia" w:eastAsia="黑体"/>
          <w:lang w:val="en-US" w:eastAsia="zh-CN"/>
        </w:rPr>
        <w:t>S</w:t>
      </w:r>
      <w:r>
        <w:rPr>
          <w:rFonts w:eastAsia="黑体"/>
        </w:rPr>
        <w:t xml:space="preserve">teel </w:t>
      </w:r>
      <w:r>
        <w:rPr>
          <w:rFonts w:hint="eastAsia" w:eastAsia="黑体"/>
          <w:lang w:val="en-US" w:eastAsia="zh-CN"/>
        </w:rPr>
        <w:t>P</w:t>
      </w:r>
      <w:r>
        <w:rPr>
          <w:rFonts w:eastAsia="黑体"/>
        </w:rPr>
        <w:t xml:space="preserve">ipe of </w:t>
      </w:r>
      <w:r>
        <w:rPr>
          <w:rFonts w:hint="eastAsia" w:eastAsia="黑体"/>
          <w:lang w:val="en-US" w:eastAsia="zh-CN"/>
        </w:rPr>
        <w:t>P</w:t>
      </w:r>
      <w:r>
        <w:rPr>
          <w:rFonts w:eastAsia="黑体"/>
        </w:rPr>
        <w:t>ipe</w:t>
      </w:r>
      <w:r>
        <w:rPr>
          <w:rFonts w:hint="eastAsia" w:eastAsia="黑体"/>
          <w:lang w:val="en-US" w:eastAsia="zh-CN"/>
        </w:rPr>
        <w:t>-C</w:t>
      </w:r>
      <w:r>
        <w:rPr>
          <w:rFonts w:eastAsia="黑体"/>
        </w:rPr>
        <w:t>curtain</w:t>
      </w:r>
      <w:r>
        <w:tab/>
      </w:r>
      <w:r>
        <w:fldChar w:fldCharType="begin"/>
      </w:r>
      <w:r>
        <w:instrText xml:space="preserve"> PAGEREF _Toc103257206 \h </w:instrText>
      </w:r>
      <w:r>
        <w:fldChar w:fldCharType="separate"/>
      </w:r>
      <w:r>
        <w:t>64</w:t>
      </w:r>
      <w:r>
        <w:fldChar w:fldCharType="end"/>
      </w:r>
    </w:p>
    <w:p>
      <w:pPr>
        <w:pStyle w:val="15"/>
        <w:tabs>
          <w:tab w:val="right" w:leader="dot" w:pos="8302"/>
        </w:tabs>
        <w:rPr>
          <w:rFonts w:asciiTheme="minorHAnsi" w:hAnsiTheme="minorHAnsi" w:eastAsiaTheme="minorEastAsia" w:cstheme="minorBidi"/>
          <w:szCs w:val="22"/>
        </w:rPr>
      </w:pPr>
      <w:r>
        <w:rPr>
          <w:rFonts w:eastAsia="黑体"/>
        </w:rPr>
        <w:t xml:space="preserve">10.8  </w:t>
      </w:r>
      <w:r>
        <w:rPr>
          <w:rFonts w:hint="eastAsia" w:eastAsia="黑体"/>
        </w:rPr>
        <w:t>G</w:t>
      </w:r>
      <w:r>
        <w:rPr>
          <w:rFonts w:eastAsia="黑体"/>
        </w:rPr>
        <w:t xml:space="preserve">routing behind </w:t>
      </w:r>
      <w:r>
        <w:rPr>
          <w:rFonts w:hint="eastAsia" w:eastAsia="黑体"/>
          <w:lang w:val="en-US" w:eastAsia="zh-CN"/>
        </w:rPr>
        <w:t>S</w:t>
      </w:r>
      <w:r>
        <w:rPr>
          <w:rFonts w:eastAsia="黑体"/>
        </w:rPr>
        <w:t xml:space="preserve">teel </w:t>
      </w:r>
      <w:r>
        <w:rPr>
          <w:rFonts w:hint="eastAsia" w:eastAsia="黑体"/>
          <w:lang w:val="en-US" w:eastAsia="zh-CN"/>
        </w:rPr>
        <w:t>P</w:t>
      </w:r>
      <w:r>
        <w:rPr>
          <w:rFonts w:eastAsia="黑体"/>
        </w:rPr>
        <w:t xml:space="preserve">ipe </w:t>
      </w:r>
      <w:r>
        <w:rPr>
          <w:rFonts w:hint="eastAsia" w:eastAsia="黑体"/>
          <w:lang w:val="en-US" w:eastAsia="zh-CN"/>
        </w:rPr>
        <w:t>W</w:t>
      </w:r>
      <w:r>
        <w:rPr>
          <w:rFonts w:eastAsia="黑体"/>
        </w:rPr>
        <w:t xml:space="preserve">all of </w:t>
      </w:r>
      <w:r>
        <w:rPr>
          <w:rFonts w:hint="eastAsia" w:eastAsia="黑体"/>
          <w:lang w:val="en-US" w:eastAsia="zh-CN"/>
        </w:rPr>
        <w:t>P</w:t>
      </w:r>
      <w:r>
        <w:rPr>
          <w:rFonts w:eastAsia="黑体"/>
        </w:rPr>
        <w:t>ipe</w:t>
      </w:r>
      <w:r>
        <w:rPr>
          <w:rFonts w:hint="eastAsia" w:eastAsia="黑体"/>
          <w:lang w:val="en-US" w:eastAsia="zh-CN"/>
        </w:rPr>
        <w:t>-C</w:t>
      </w:r>
      <w:r>
        <w:rPr>
          <w:rFonts w:eastAsia="黑体"/>
        </w:rPr>
        <w:t>urtain</w:t>
      </w:r>
      <w:r>
        <w:tab/>
      </w:r>
      <w:r>
        <w:fldChar w:fldCharType="begin"/>
      </w:r>
      <w:r>
        <w:instrText xml:space="preserve"> PAGEREF _Toc103257207 \h </w:instrText>
      </w:r>
      <w:r>
        <w:fldChar w:fldCharType="separate"/>
      </w:r>
      <w:r>
        <w:t>65</w:t>
      </w:r>
      <w:r>
        <w:fldChar w:fldCharType="end"/>
      </w:r>
    </w:p>
    <w:p>
      <w:pPr>
        <w:pStyle w:val="14"/>
        <w:tabs>
          <w:tab w:val="right" w:leader="dot" w:pos="8302"/>
        </w:tabs>
        <w:rPr>
          <w:rFonts w:asciiTheme="minorHAnsi" w:hAnsiTheme="minorHAnsi" w:eastAsiaTheme="minorEastAsia" w:cstheme="minorBidi"/>
          <w:szCs w:val="22"/>
        </w:rPr>
      </w:pPr>
      <w:r>
        <w:t>Appendix</w:t>
      </w:r>
      <w:r>
        <w:rPr>
          <w:rFonts w:hint="eastAsia"/>
        </w:rPr>
        <w:t>A  Q</w:t>
      </w:r>
      <w:r>
        <w:t xml:space="preserve">uality </w:t>
      </w:r>
      <w:r>
        <w:rPr>
          <w:rFonts w:hint="eastAsia"/>
          <w:lang w:val="en-US" w:eastAsia="zh-CN"/>
        </w:rPr>
        <w:t>A</w:t>
      </w:r>
      <w:r>
        <w:t xml:space="preserve">cceptance </w:t>
      </w:r>
      <w:r>
        <w:rPr>
          <w:rFonts w:hint="eastAsia"/>
          <w:lang w:val="en-US" w:eastAsia="zh-CN"/>
        </w:rPr>
        <w:t>R</w:t>
      </w:r>
      <w:r>
        <w:t xml:space="preserve">ecord of </w:t>
      </w:r>
      <w:r>
        <w:rPr>
          <w:rFonts w:hint="eastAsia"/>
          <w:lang w:val="en-US" w:eastAsia="zh-CN"/>
        </w:rPr>
        <w:t>I</w:t>
      </w:r>
      <w:r>
        <w:t xml:space="preserve">nspection </w:t>
      </w:r>
      <w:r>
        <w:rPr>
          <w:rFonts w:hint="eastAsia"/>
          <w:lang w:val="en-US" w:eastAsia="zh-CN"/>
        </w:rPr>
        <w:t>L</w:t>
      </w:r>
      <w:r>
        <w:t>ot</w:t>
      </w:r>
      <w:r>
        <w:tab/>
      </w:r>
      <w:r>
        <w:fldChar w:fldCharType="begin"/>
      </w:r>
      <w:r>
        <w:instrText xml:space="preserve"> PAGEREF _Toc103257208 \h </w:instrText>
      </w:r>
      <w:r>
        <w:fldChar w:fldCharType="separate"/>
      </w:r>
      <w:r>
        <w:t>67</w:t>
      </w:r>
      <w:r>
        <w:fldChar w:fldCharType="end"/>
      </w:r>
    </w:p>
    <w:p>
      <w:pPr>
        <w:pStyle w:val="14"/>
        <w:tabs>
          <w:tab w:val="right" w:leader="dot" w:pos="8302"/>
        </w:tabs>
        <w:rPr>
          <w:rFonts w:asciiTheme="minorHAnsi" w:hAnsiTheme="minorHAnsi" w:eastAsiaTheme="minorEastAsia" w:cstheme="minorBidi"/>
          <w:szCs w:val="22"/>
        </w:rPr>
      </w:pPr>
      <w:r>
        <w:t>Appendix B</w:t>
      </w:r>
      <w:r>
        <w:rPr>
          <w:rFonts w:hint="eastAsia"/>
        </w:rPr>
        <w:t xml:space="preserve"> </w:t>
      </w:r>
      <w:r>
        <w:t xml:space="preserve"> </w:t>
      </w:r>
      <w:r>
        <w:rPr>
          <w:rFonts w:hint="eastAsia"/>
        </w:rPr>
        <w:t>Q</w:t>
      </w:r>
      <w:r>
        <w:t xml:space="preserve">uality </w:t>
      </w:r>
      <w:r>
        <w:rPr>
          <w:rFonts w:hint="eastAsia"/>
          <w:lang w:val="en-US" w:eastAsia="zh-CN"/>
        </w:rPr>
        <w:t>A</w:t>
      </w:r>
      <w:r>
        <w:t xml:space="preserve">cceptance </w:t>
      </w:r>
      <w:r>
        <w:rPr>
          <w:rFonts w:hint="eastAsia"/>
          <w:lang w:val="en-US" w:eastAsia="zh-CN"/>
        </w:rPr>
        <w:t>R</w:t>
      </w:r>
      <w:r>
        <w:t xml:space="preserve">ecord of </w:t>
      </w:r>
      <w:r>
        <w:rPr>
          <w:rFonts w:hint="eastAsia"/>
          <w:lang w:val="en-US" w:eastAsia="zh-CN"/>
        </w:rPr>
        <w:t>S</w:t>
      </w:r>
      <w:r>
        <w:t xml:space="preserve">ubdivisional </w:t>
      </w:r>
      <w:r>
        <w:rPr>
          <w:rFonts w:hint="eastAsia"/>
          <w:lang w:val="en-US" w:eastAsia="zh-CN"/>
        </w:rPr>
        <w:t>W</w:t>
      </w:r>
      <w:r>
        <w:t>orks</w:t>
      </w:r>
      <w:r>
        <w:tab/>
      </w:r>
      <w:r>
        <w:fldChar w:fldCharType="begin"/>
      </w:r>
      <w:r>
        <w:instrText xml:space="preserve"> PAGEREF _Toc103257209 \h </w:instrText>
      </w:r>
      <w:r>
        <w:fldChar w:fldCharType="separate"/>
      </w:r>
      <w:r>
        <w:t>69</w:t>
      </w:r>
      <w:r>
        <w:fldChar w:fldCharType="end"/>
      </w:r>
    </w:p>
    <w:p>
      <w:pPr>
        <w:pStyle w:val="14"/>
        <w:tabs>
          <w:tab w:val="right" w:leader="dot" w:pos="8302"/>
        </w:tabs>
        <w:rPr>
          <w:rFonts w:asciiTheme="minorHAnsi" w:hAnsiTheme="minorHAnsi" w:eastAsiaTheme="minorEastAsia" w:cstheme="minorBidi"/>
          <w:szCs w:val="22"/>
        </w:rPr>
      </w:pPr>
      <w:r>
        <w:t>Appendix C</w:t>
      </w:r>
      <w:r>
        <w:rPr>
          <w:rFonts w:hint="eastAsia"/>
        </w:rPr>
        <w:t xml:space="preserve"> </w:t>
      </w:r>
      <w:r>
        <w:t xml:space="preserve"> </w:t>
      </w:r>
      <w:r>
        <w:rPr>
          <w:rFonts w:hint="eastAsia"/>
        </w:rPr>
        <w:t>Q</w:t>
      </w:r>
      <w:r>
        <w:t xml:space="preserve">quality acceptance record of </w:t>
      </w:r>
      <w:r>
        <w:rPr>
          <w:rFonts w:hint="eastAsia"/>
          <w:lang w:val="en-US" w:eastAsia="zh-CN"/>
        </w:rPr>
        <w:t>D</w:t>
      </w:r>
      <w:r>
        <w:t>ivisional (</w:t>
      </w:r>
      <w:r>
        <w:rPr>
          <w:rFonts w:hint="eastAsia"/>
          <w:lang w:val="en-US" w:eastAsia="zh-CN"/>
        </w:rPr>
        <w:t>S</w:t>
      </w:r>
      <w:r>
        <w:t>ub</w:t>
      </w:r>
      <w:r>
        <w:rPr>
          <w:rFonts w:hint="eastAsia"/>
          <w:lang w:val="en-US" w:eastAsia="zh-CN"/>
        </w:rPr>
        <w:t xml:space="preserve"> </w:t>
      </w:r>
      <w:r>
        <w:t xml:space="preserve">divisional) </w:t>
      </w:r>
      <w:r>
        <w:rPr>
          <w:rFonts w:hint="eastAsia"/>
          <w:lang w:val="en-US" w:eastAsia="zh-CN"/>
        </w:rPr>
        <w:t>W</w:t>
      </w:r>
      <w:r>
        <w:t>orks</w:t>
      </w:r>
      <w:r>
        <w:tab/>
      </w:r>
      <w:r>
        <w:fldChar w:fldCharType="begin"/>
      </w:r>
      <w:r>
        <w:instrText xml:space="preserve"> PAGEREF _Toc103257210 \h </w:instrText>
      </w:r>
      <w:r>
        <w:fldChar w:fldCharType="separate"/>
      </w:r>
      <w:r>
        <w:t>70</w:t>
      </w:r>
      <w:r>
        <w:fldChar w:fldCharType="end"/>
      </w:r>
    </w:p>
    <w:p>
      <w:pPr>
        <w:pStyle w:val="14"/>
        <w:tabs>
          <w:tab w:val="right" w:leader="dot" w:pos="8302"/>
        </w:tabs>
        <w:rPr>
          <w:rFonts w:asciiTheme="minorHAnsi" w:hAnsiTheme="minorHAnsi" w:eastAsiaTheme="minorEastAsia" w:cstheme="minorBidi"/>
          <w:szCs w:val="22"/>
        </w:rPr>
      </w:pPr>
      <w:r>
        <w:rPr>
          <w:rFonts w:hint="eastAsia"/>
          <w:lang w:val="en-US" w:eastAsia="zh-CN"/>
        </w:rPr>
        <w:t>Explanation</w:t>
      </w:r>
      <w:r>
        <w:t xml:space="preserve"> of </w:t>
      </w:r>
      <w:r>
        <w:rPr>
          <w:rFonts w:hint="eastAsia"/>
          <w:lang w:val="en-US" w:eastAsia="zh-CN"/>
        </w:rPr>
        <w:t>Wording</w:t>
      </w:r>
      <w:r>
        <w:t xml:space="preserve"> in</w:t>
      </w:r>
      <w:r>
        <w:rPr>
          <w:rFonts w:hint="eastAsia"/>
          <w:lang w:val="en-US" w:eastAsia="zh-CN"/>
        </w:rPr>
        <w:t xml:space="preserve"> T</w:t>
      </w:r>
      <w:r>
        <w:t xml:space="preserve">his </w:t>
      </w:r>
      <w:r>
        <w:rPr>
          <w:rFonts w:hint="eastAsia"/>
          <w:lang w:val="en-US" w:eastAsia="zh-CN"/>
        </w:rPr>
        <w:t>Code</w:t>
      </w:r>
      <w:r>
        <w:tab/>
      </w:r>
      <w:r>
        <w:fldChar w:fldCharType="begin"/>
      </w:r>
      <w:r>
        <w:instrText xml:space="preserve"> PAGEREF _Toc103257211 \h </w:instrText>
      </w:r>
      <w:r>
        <w:fldChar w:fldCharType="separate"/>
      </w:r>
      <w:r>
        <w:t>71</w:t>
      </w:r>
      <w:r>
        <w:fldChar w:fldCharType="end"/>
      </w:r>
    </w:p>
    <w:p>
      <w:pPr>
        <w:pStyle w:val="14"/>
        <w:tabs>
          <w:tab w:val="right" w:leader="dot" w:pos="8302"/>
        </w:tabs>
        <w:rPr>
          <w:rFonts w:asciiTheme="minorHAnsi" w:hAnsiTheme="minorHAnsi" w:eastAsiaTheme="minorEastAsia" w:cstheme="minorBidi"/>
          <w:szCs w:val="22"/>
        </w:rPr>
      </w:pPr>
      <w:r>
        <w:t xml:space="preserve">List of </w:t>
      </w:r>
      <w:r>
        <w:rPr>
          <w:rFonts w:hint="eastAsia"/>
          <w:lang w:val="en-US" w:eastAsia="zh-CN"/>
        </w:rPr>
        <w:t>Quot</w:t>
      </w:r>
      <w:r>
        <w:t xml:space="preserve">ed </w:t>
      </w:r>
      <w:r>
        <w:rPr>
          <w:rFonts w:hint="eastAsia"/>
          <w:lang w:val="en-US" w:eastAsia="zh-CN"/>
        </w:rPr>
        <w:t>S</w:t>
      </w:r>
      <w:r>
        <w:t>tandards</w:t>
      </w:r>
      <w:r>
        <w:tab/>
      </w:r>
      <w:r>
        <w:fldChar w:fldCharType="begin"/>
      </w:r>
      <w:r>
        <w:instrText xml:space="preserve"> PAGEREF _Toc103257212 \h </w:instrText>
      </w:r>
      <w:r>
        <w:fldChar w:fldCharType="separate"/>
      </w:r>
      <w:r>
        <w:t>72</w:t>
      </w:r>
      <w:r>
        <w:fldChar w:fldCharType="end"/>
      </w:r>
    </w:p>
    <w:p>
      <w:pPr>
        <w:pStyle w:val="14"/>
        <w:tabs>
          <w:tab w:val="right" w:leader="dot" w:pos="8302"/>
        </w:tabs>
        <w:rPr>
          <w:rFonts w:asciiTheme="minorHAnsi" w:hAnsiTheme="minorHAnsi" w:eastAsiaTheme="minorEastAsia" w:cstheme="minorBidi"/>
          <w:szCs w:val="22"/>
        </w:rPr>
      </w:pPr>
      <w:r>
        <w:rPr>
          <w:rFonts w:hint="eastAsia" w:ascii="宋体" w:hAnsi="宋体"/>
        </w:rPr>
        <w:fldChar w:fldCharType="end"/>
      </w:r>
      <w:r>
        <w:rPr>
          <w:rFonts w:hint="eastAsia"/>
          <w:lang w:val="en-US" w:eastAsia="zh-CN"/>
        </w:rPr>
        <w:t>Addition：Explanation of provisions</w:t>
      </w:r>
      <w:r>
        <w:tab/>
      </w:r>
      <w:r>
        <w:fldChar w:fldCharType="begin"/>
      </w:r>
      <w:r>
        <w:instrText xml:space="preserve"> PAGEREF _Toc103257212 \h </w:instrText>
      </w:r>
      <w:r>
        <w:fldChar w:fldCharType="separate"/>
      </w:r>
      <w:r>
        <w:t>7</w:t>
      </w:r>
      <w:r>
        <w:fldChar w:fldCharType="end"/>
      </w:r>
      <w:r>
        <w:rPr>
          <w:rFonts w:hint="eastAsia"/>
        </w:rPr>
        <w:t>3</w:t>
      </w:r>
    </w:p>
    <w:p>
      <w:pPr>
        <w:spacing w:before="156" w:beforeLines="50" w:after="156" w:afterLines="50"/>
        <w:jc w:val="center"/>
        <w:rPr>
          <w:rFonts w:ascii="宋体" w:hAnsi="宋体"/>
        </w:rPr>
      </w:pPr>
    </w:p>
    <w:p>
      <w:pPr>
        <w:spacing w:before="156" w:beforeLines="50" w:after="156" w:afterLines="50"/>
        <w:jc w:val="center"/>
        <w:rPr>
          <w:rFonts w:ascii="宋体" w:hAnsi="宋体"/>
        </w:rPr>
      </w:pPr>
    </w:p>
    <w:p>
      <w:pPr>
        <w:spacing w:before="156" w:beforeLines="50" w:after="156" w:afterLines="50"/>
        <w:jc w:val="center"/>
        <w:rPr>
          <w:rFonts w:ascii="宋体" w:hAnsi="宋体"/>
        </w:rPr>
      </w:pPr>
    </w:p>
    <w:p>
      <w:pPr>
        <w:spacing w:before="156" w:beforeLines="50" w:after="156" w:afterLines="50"/>
        <w:jc w:val="center"/>
        <w:rPr>
          <w:rFonts w:ascii="宋体" w:hAnsi="宋体"/>
        </w:rPr>
      </w:pPr>
    </w:p>
    <w:p>
      <w:pPr>
        <w:spacing w:before="156" w:beforeLines="50" w:after="156" w:afterLines="50"/>
        <w:jc w:val="center"/>
        <w:rPr>
          <w:rFonts w:ascii="宋体" w:hAnsi="宋体"/>
        </w:rPr>
      </w:pPr>
    </w:p>
    <w:p>
      <w:pPr>
        <w:spacing w:before="156" w:beforeLines="50" w:after="156" w:afterLines="50"/>
        <w:jc w:val="center"/>
        <w:rPr>
          <w:rFonts w:ascii="宋体" w:hAnsi="宋体"/>
        </w:rPr>
      </w:pPr>
    </w:p>
    <w:p>
      <w:pPr>
        <w:spacing w:before="156" w:beforeLines="50" w:after="156" w:afterLines="50"/>
        <w:jc w:val="center"/>
        <w:rPr>
          <w:rFonts w:ascii="宋体" w:hAnsi="宋体"/>
        </w:rPr>
      </w:pPr>
    </w:p>
    <w:p>
      <w:pPr>
        <w:spacing w:before="156" w:beforeLines="50" w:after="156" w:afterLines="50"/>
        <w:jc w:val="center"/>
        <w:rPr>
          <w:rFonts w:ascii="宋体" w:hAnsi="宋体"/>
        </w:rPr>
      </w:pPr>
    </w:p>
    <w:p>
      <w:pPr>
        <w:spacing w:before="156" w:beforeLines="50" w:after="156" w:afterLines="50"/>
        <w:jc w:val="center"/>
        <w:rPr>
          <w:rFonts w:ascii="宋体" w:hAnsi="宋体"/>
        </w:rPr>
      </w:pPr>
    </w:p>
    <w:p>
      <w:pPr>
        <w:spacing w:before="156" w:beforeLines="50" w:after="156" w:afterLines="50"/>
        <w:jc w:val="center"/>
        <w:rPr>
          <w:rFonts w:ascii="宋体" w:hAnsi="宋体"/>
        </w:rPr>
      </w:pPr>
    </w:p>
    <w:p>
      <w:pPr>
        <w:spacing w:before="156" w:beforeLines="50" w:after="156" w:afterLines="50"/>
        <w:jc w:val="center"/>
        <w:rPr>
          <w:rFonts w:ascii="宋体" w:hAnsi="宋体"/>
        </w:rPr>
      </w:pPr>
    </w:p>
    <w:p>
      <w:pPr>
        <w:spacing w:before="156" w:beforeLines="50" w:after="156" w:afterLines="50"/>
        <w:jc w:val="center"/>
        <w:rPr>
          <w:rFonts w:ascii="宋体" w:hAnsi="宋体"/>
        </w:rPr>
      </w:pPr>
    </w:p>
    <w:p>
      <w:pPr>
        <w:spacing w:before="156" w:beforeLines="50" w:after="156" w:afterLines="50"/>
        <w:jc w:val="center"/>
        <w:rPr>
          <w:rFonts w:ascii="宋体" w:hAnsi="宋体"/>
        </w:rPr>
      </w:pPr>
    </w:p>
    <w:p>
      <w:pPr>
        <w:spacing w:before="156" w:beforeLines="50" w:after="156" w:afterLines="50"/>
        <w:jc w:val="center"/>
        <w:rPr>
          <w:rFonts w:ascii="宋体" w:hAnsi="宋体"/>
        </w:rPr>
      </w:pPr>
      <w:r>
        <w:rPr>
          <w:rFonts w:ascii="宋体" w:hAnsi="宋体"/>
        </w:rPr>
        <w:br w:type="page"/>
      </w:r>
    </w:p>
    <w:p>
      <w:pPr>
        <w:spacing w:before="156" w:beforeLines="50" w:after="156" w:afterLines="50"/>
        <w:jc w:val="center"/>
        <w:outlineLvl w:val="0"/>
        <w:rPr>
          <w:sz w:val="32"/>
          <w:szCs w:val="20"/>
        </w:rPr>
        <w:sectPr>
          <w:footerReference r:id="rId5" w:type="default"/>
          <w:pgSz w:w="11906" w:h="16838"/>
          <w:pgMar w:top="1440" w:right="1797" w:bottom="1440" w:left="1797" w:header="851" w:footer="992" w:gutter="0"/>
          <w:pgNumType w:chapStyle="1"/>
          <w:cols w:space="425" w:num="1"/>
          <w:docGrid w:type="lines" w:linePitch="312" w:charSpace="0"/>
        </w:sectPr>
      </w:pPr>
    </w:p>
    <w:p>
      <w:pPr>
        <w:spacing w:before="156" w:beforeLines="50" w:after="156" w:afterLines="50"/>
        <w:jc w:val="center"/>
        <w:outlineLvl w:val="0"/>
        <w:rPr>
          <w:sz w:val="32"/>
          <w:szCs w:val="20"/>
        </w:rPr>
      </w:pPr>
      <w:bookmarkStart w:id="13" w:name="_Toc16081"/>
      <w:bookmarkStart w:id="14" w:name="_Toc32419"/>
      <w:r>
        <w:rPr>
          <w:rFonts w:hint="eastAsia"/>
          <w:sz w:val="32"/>
          <w:szCs w:val="20"/>
        </w:rPr>
        <w:t>1  总</w:t>
      </w:r>
      <w:r>
        <w:rPr>
          <w:rFonts w:hint="eastAsia"/>
          <w:sz w:val="32"/>
          <w:szCs w:val="20"/>
          <w:lang w:val="en-US" w:eastAsia="zh-CN"/>
        </w:rPr>
        <w:t xml:space="preserve"> </w:t>
      </w:r>
      <w:r>
        <w:rPr>
          <w:rFonts w:hint="eastAsia"/>
          <w:sz w:val="32"/>
          <w:szCs w:val="20"/>
        </w:rPr>
        <w:t xml:space="preserve"> 则</w:t>
      </w:r>
      <w:bookmarkEnd w:id="13"/>
      <w:bookmarkEnd w:id="14"/>
    </w:p>
    <w:p>
      <w:pPr>
        <w:spacing w:line="440" w:lineRule="exact"/>
        <w:rPr>
          <w:sz w:val="24"/>
        </w:rPr>
      </w:pPr>
      <w:r>
        <w:rPr>
          <w:rFonts w:hint="eastAsia"/>
          <w:b/>
          <w:bCs/>
          <w:sz w:val="24"/>
        </w:rPr>
        <w:t>1.0.1</w:t>
      </w:r>
      <w:r>
        <w:rPr>
          <w:rFonts w:hint="eastAsia"/>
          <w:sz w:val="24"/>
        </w:rPr>
        <w:t xml:space="preserve">  为规范管幕法设计、施工、检测、监测和工程质量验收工作，做到技术先进、经济合理、安全可靠、绿色环保，保证管幕结构施工质量和周边环境安全，制定本规程。</w:t>
      </w:r>
    </w:p>
    <w:p>
      <w:pPr>
        <w:spacing w:line="440" w:lineRule="exact"/>
        <w:rPr>
          <w:sz w:val="24"/>
        </w:rPr>
      </w:pPr>
      <w:r>
        <w:rPr>
          <w:rFonts w:hint="eastAsia"/>
          <w:b/>
          <w:bCs/>
          <w:sz w:val="24"/>
        </w:rPr>
        <w:t>1.0.2</w:t>
      </w:r>
      <w:r>
        <w:rPr>
          <w:rFonts w:hint="eastAsia"/>
          <w:sz w:val="24"/>
        </w:rPr>
        <w:t xml:space="preserve">  本规程适用于采用拉管法、夯管法、钻进顶管法、机械顶管法等施工工艺</w:t>
      </w:r>
      <w:r>
        <w:rPr>
          <w:rFonts w:hint="eastAsia"/>
          <w:sz w:val="24"/>
          <w:lang w:val="en-US" w:eastAsia="zh-CN"/>
        </w:rPr>
        <w:t>施作的</w:t>
      </w:r>
      <w:r>
        <w:rPr>
          <w:rFonts w:hint="eastAsia"/>
          <w:sz w:val="24"/>
        </w:rPr>
        <w:t>隧道或地下工程</w:t>
      </w:r>
      <w:r>
        <w:rPr>
          <w:rFonts w:hint="eastAsia"/>
          <w:sz w:val="24"/>
          <w:lang w:val="en-US" w:eastAsia="zh-CN"/>
        </w:rPr>
        <w:t>的</w:t>
      </w:r>
      <w:r>
        <w:rPr>
          <w:rFonts w:hint="eastAsia"/>
          <w:sz w:val="24"/>
        </w:rPr>
        <w:t>管幕支护结构的设计、施工、检测、监测和验收</w:t>
      </w:r>
      <w:r>
        <w:rPr>
          <w:rFonts w:hint="eastAsia"/>
          <w:sz w:val="24"/>
          <w:lang w:eastAsia="zh-CN"/>
        </w:rPr>
        <w:t>，</w:t>
      </w:r>
      <w:r>
        <w:rPr>
          <w:rFonts w:hint="eastAsia"/>
          <w:sz w:val="24"/>
        </w:rPr>
        <w:t>采用其他</w:t>
      </w:r>
      <w:r>
        <w:rPr>
          <w:rFonts w:hint="eastAsia"/>
          <w:sz w:val="24"/>
          <w:lang w:val="en-US" w:eastAsia="zh-CN"/>
        </w:rPr>
        <w:t>施工</w:t>
      </w:r>
      <w:r>
        <w:rPr>
          <w:rFonts w:hint="eastAsia"/>
          <w:sz w:val="24"/>
        </w:rPr>
        <w:t>工艺</w:t>
      </w:r>
      <w:r>
        <w:rPr>
          <w:rFonts w:hint="eastAsia"/>
          <w:sz w:val="24"/>
          <w:lang w:val="en-US" w:eastAsia="zh-CN"/>
        </w:rPr>
        <w:t>施作</w:t>
      </w:r>
      <w:r>
        <w:rPr>
          <w:rFonts w:hint="eastAsia"/>
          <w:sz w:val="24"/>
        </w:rPr>
        <w:t>的管幕</w:t>
      </w:r>
      <w:r>
        <w:rPr>
          <w:rFonts w:hint="eastAsia"/>
          <w:sz w:val="24"/>
          <w:lang w:val="en-US" w:eastAsia="zh-CN"/>
        </w:rPr>
        <w:t>支护结构</w:t>
      </w:r>
      <w:r>
        <w:rPr>
          <w:rFonts w:hint="eastAsia"/>
          <w:sz w:val="24"/>
        </w:rPr>
        <w:t>可参考本规程执行。</w:t>
      </w:r>
    </w:p>
    <w:p>
      <w:pPr>
        <w:spacing w:line="440" w:lineRule="exact"/>
        <w:rPr>
          <w:sz w:val="24"/>
        </w:rPr>
      </w:pPr>
      <w:r>
        <w:rPr>
          <w:rFonts w:hint="eastAsia"/>
          <w:b/>
          <w:bCs/>
          <w:sz w:val="24"/>
        </w:rPr>
        <w:t>1.0.</w:t>
      </w:r>
      <w:r>
        <w:rPr>
          <w:b/>
          <w:bCs/>
          <w:sz w:val="24"/>
        </w:rPr>
        <w:t>3</w:t>
      </w:r>
      <w:r>
        <w:rPr>
          <w:rFonts w:hint="eastAsia"/>
          <w:sz w:val="24"/>
        </w:rPr>
        <w:t xml:space="preserve">  管幕法</w:t>
      </w:r>
      <w:r>
        <w:rPr>
          <w:rFonts w:hint="eastAsia"/>
          <w:sz w:val="24"/>
          <w:lang w:val="en-US" w:eastAsia="zh-CN"/>
        </w:rPr>
        <w:t>支护结构</w:t>
      </w:r>
      <w:r>
        <w:rPr>
          <w:rFonts w:hint="eastAsia"/>
          <w:sz w:val="24"/>
        </w:rPr>
        <w:t>的设计、施工、检测、监测和工程验收除应符合本规程规定外，尚应符合现行国家、行业有关标准的规定。</w:t>
      </w:r>
    </w:p>
    <w:p>
      <w:pPr>
        <w:jc w:val="center"/>
        <w:rPr>
          <w:rFonts w:ascii="黑体" w:eastAsia="黑体"/>
          <w:sz w:val="30"/>
          <w:szCs w:val="30"/>
        </w:rPr>
      </w:pPr>
    </w:p>
    <w:p>
      <w:pPr>
        <w:jc w:val="center"/>
        <w:rPr>
          <w:rFonts w:ascii="黑体" w:eastAsia="黑体"/>
          <w:sz w:val="44"/>
        </w:rPr>
      </w:pPr>
    </w:p>
    <w:p>
      <w:pPr>
        <w:jc w:val="center"/>
        <w:rPr>
          <w:rFonts w:ascii="黑体" w:eastAsia="黑体"/>
          <w:sz w:val="44"/>
        </w:rPr>
      </w:pPr>
    </w:p>
    <w:p>
      <w:pPr>
        <w:jc w:val="center"/>
        <w:rPr>
          <w:rFonts w:ascii="黑体" w:eastAsia="黑体"/>
          <w:sz w:val="44"/>
        </w:rPr>
      </w:pPr>
    </w:p>
    <w:p>
      <w:pPr>
        <w:jc w:val="center"/>
        <w:rPr>
          <w:rFonts w:ascii="黑体" w:eastAsia="黑体"/>
          <w:sz w:val="44"/>
        </w:rPr>
      </w:pPr>
    </w:p>
    <w:p>
      <w:pPr>
        <w:jc w:val="center"/>
        <w:rPr>
          <w:rFonts w:ascii="黑体" w:eastAsia="黑体"/>
          <w:sz w:val="44"/>
        </w:rPr>
      </w:pPr>
    </w:p>
    <w:p>
      <w:pPr>
        <w:jc w:val="center"/>
        <w:rPr>
          <w:rFonts w:ascii="黑体" w:eastAsia="黑体"/>
          <w:sz w:val="44"/>
        </w:rPr>
      </w:pPr>
    </w:p>
    <w:p>
      <w:pPr>
        <w:jc w:val="center"/>
        <w:rPr>
          <w:rFonts w:ascii="黑体" w:eastAsia="黑体"/>
          <w:sz w:val="44"/>
        </w:rPr>
      </w:pPr>
    </w:p>
    <w:p>
      <w:pPr>
        <w:jc w:val="center"/>
        <w:rPr>
          <w:rFonts w:ascii="黑体" w:eastAsia="黑体"/>
          <w:sz w:val="44"/>
        </w:rPr>
      </w:pPr>
    </w:p>
    <w:p>
      <w:pPr>
        <w:jc w:val="center"/>
        <w:rPr>
          <w:rFonts w:ascii="黑体" w:eastAsia="黑体"/>
          <w:sz w:val="44"/>
        </w:rPr>
      </w:pPr>
    </w:p>
    <w:p>
      <w:pPr>
        <w:jc w:val="center"/>
        <w:rPr>
          <w:rFonts w:ascii="黑体" w:eastAsia="黑体"/>
          <w:sz w:val="44"/>
        </w:rPr>
      </w:pPr>
    </w:p>
    <w:p>
      <w:pPr>
        <w:spacing w:before="156" w:beforeLines="50" w:after="156" w:afterLines="50"/>
        <w:jc w:val="center"/>
        <w:outlineLvl w:val="0"/>
        <w:rPr>
          <w:sz w:val="32"/>
          <w:szCs w:val="20"/>
        </w:rPr>
      </w:pPr>
      <w:r>
        <w:rPr>
          <w:rFonts w:hint="eastAsia" w:ascii="黑体" w:eastAsia="黑体"/>
          <w:sz w:val="44"/>
        </w:rPr>
        <w:br w:type="page"/>
      </w:r>
      <w:bookmarkStart w:id="15" w:name="_Toc8480"/>
      <w:bookmarkStart w:id="16" w:name="_Toc27758"/>
      <w:r>
        <w:rPr>
          <w:rFonts w:hint="eastAsia"/>
          <w:sz w:val="32"/>
          <w:szCs w:val="20"/>
        </w:rPr>
        <w:t xml:space="preserve">2 </w:t>
      </w:r>
      <w:r>
        <w:rPr>
          <w:rFonts w:hint="eastAsia"/>
          <w:sz w:val="32"/>
          <w:szCs w:val="20"/>
          <w:lang w:val="en-US" w:eastAsia="zh-CN"/>
        </w:rPr>
        <w:t xml:space="preserve"> </w:t>
      </w:r>
      <w:r>
        <w:rPr>
          <w:rFonts w:hint="eastAsia"/>
          <w:sz w:val="32"/>
          <w:szCs w:val="20"/>
        </w:rPr>
        <w:t>术</w:t>
      </w:r>
      <w:r>
        <w:rPr>
          <w:rFonts w:hint="eastAsia"/>
          <w:sz w:val="32"/>
          <w:szCs w:val="20"/>
          <w:lang w:val="en-US" w:eastAsia="zh-CN"/>
        </w:rPr>
        <w:t xml:space="preserve">  </w:t>
      </w:r>
      <w:r>
        <w:rPr>
          <w:rFonts w:hint="eastAsia"/>
          <w:sz w:val="32"/>
          <w:szCs w:val="20"/>
        </w:rPr>
        <w:t>语</w:t>
      </w:r>
      <w:bookmarkEnd w:id="15"/>
      <w:bookmarkEnd w:id="16"/>
    </w:p>
    <w:p>
      <w:pPr>
        <w:spacing w:line="440" w:lineRule="exact"/>
        <w:rPr>
          <w:sz w:val="24"/>
        </w:rPr>
      </w:pPr>
      <w:r>
        <w:rPr>
          <w:rFonts w:hint="eastAsia"/>
          <w:b/>
          <w:bCs/>
          <w:sz w:val="24"/>
        </w:rPr>
        <w:t>2.0.1</w:t>
      </w:r>
      <w:r>
        <w:rPr>
          <w:rFonts w:hint="eastAsia"/>
          <w:sz w:val="24"/>
        </w:rPr>
        <w:t xml:space="preserve">  管幕  pipe-curtain</w:t>
      </w:r>
    </w:p>
    <w:p>
      <w:pPr>
        <w:spacing w:line="440" w:lineRule="exact"/>
        <w:ind w:firstLine="480" w:firstLineChars="200"/>
        <w:rPr>
          <w:sz w:val="24"/>
        </w:rPr>
      </w:pPr>
      <w:r>
        <w:rPr>
          <w:rFonts w:hint="eastAsia"/>
          <w:sz w:val="24"/>
        </w:rPr>
        <w:t>在拟建地下空间开挖轮廓外地层中预先施工形成的密排钢管群，钢管间通过锁扣互锁形成整体，管内预注钢筋混凝土作为地下空间开挖的超前支护结构，起到隔水防渗、防坍控沉的作用。</w:t>
      </w:r>
    </w:p>
    <w:p>
      <w:pPr>
        <w:spacing w:line="440" w:lineRule="exact"/>
        <w:rPr>
          <w:sz w:val="24"/>
        </w:rPr>
      </w:pPr>
      <w:r>
        <w:rPr>
          <w:rFonts w:hint="eastAsia"/>
          <w:b/>
          <w:bCs/>
          <w:sz w:val="24"/>
        </w:rPr>
        <w:t>2.0.2</w:t>
      </w:r>
      <w:r>
        <w:rPr>
          <w:rFonts w:hint="eastAsia"/>
          <w:sz w:val="24"/>
        </w:rPr>
        <w:t xml:space="preserve">  管幕法 pipe-curtain method</w:t>
      </w:r>
    </w:p>
    <w:p>
      <w:pPr>
        <w:spacing w:line="440" w:lineRule="exact"/>
        <w:ind w:firstLine="480" w:firstLineChars="200"/>
        <w:rPr>
          <w:sz w:val="24"/>
        </w:rPr>
      </w:pPr>
      <w:r>
        <w:rPr>
          <w:rFonts w:hint="eastAsia"/>
          <w:sz w:val="24"/>
        </w:rPr>
        <w:t>采用管幕作为地下空间开挖超前支护结构的施工方法。</w:t>
      </w:r>
    </w:p>
    <w:p>
      <w:pPr>
        <w:spacing w:line="440" w:lineRule="exact"/>
        <w:rPr>
          <w:sz w:val="24"/>
        </w:rPr>
      </w:pPr>
      <w:r>
        <w:rPr>
          <w:rFonts w:hint="eastAsia"/>
          <w:b/>
          <w:bCs/>
          <w:sz w:val="24"/>
        </w:rPr>
        <w:t xml:space="preserve">2.0.3  </w:t>
      </w:r>
      <w:r>
        <w:rPr>
          <w:rFonts w:hint="eastAsia"/>
          <w:sz w:val="24"/>
        </w:rPr>
        <w:t xml:space="preserve">管幕钢管  </w:t>
      </w:r>
      <w:r>
        <w:rPr>
          <w:sz w:val="24"/>
        </w:rPr>
        <w:t>Pipe curtain steel pipe</w:t>
      </w:r>
    </w:p>
    <w:p>
      <w:pPr>
        <w:spacing w:line="360" w:lineRule="auto"/>
        <w:ind w:firstLine="480" w:firstLineChars="200"/>
        <w:rPr>
          <w:sz w:val="24"/>
        </w:rPr>
      </w:pPr>
      <w:r>
        <w:rPr>
          <w:rFonts w:hint="eastAsia"/>
          <w:sz w:val="24"/>
        </w:rPr>
        <w:t>采用各种施工方法打入到地层中形成管幕主要受力结构的管材。</w:t>
      </w:r>
    </w:p>
    <w:p>
      <w:pPr>
        <w:spacing w:line="360" w:lineRule="auto"/>
        <w:rPr>
          <w:sz w:val="24"/>
        </w:rPr>
      </w:pPr>
      <w:r>
        <w:rPr>
          <w:rFonts w:hint="eastAsia"/>
          <w:b/>
          <w:bCs/>
          <w:sz w:val="24"/>
        </w:rPr>
        <w:t>2.0.4</w:t>
      </w:r>
      <w:r>
        <w:rPr>
          <w:rFonts w:hint="eastAsia"/>
          <w:sz w:val="24"/>
        </w:rPr>
        <w:t xml:space="preserve">  钢管附件  </w:t>
      </w:r>
      <w:r>
        <w:rPr>
          <w:sz w:val="24"/>
        </w:rPr>
        <w:t>Steel pipe accessories</w:t>
      </w:r>
    </w:p>
    <w:p>
      <w:pPr>
        <w:rPr>
          <w:sz w:val="24"/>
        </w:rPr>
      </w:pPr>
      <w:r>
        <w:rPr>
          <w:rFonts w:hint="eastAsia"/>
          <w:sz w:val="24"/>
        </w:rPr>
        <w:t xml:space="preserve">     锁扣、注浆管、翼缘板等管幕结构中起构造作用或辅助作用的材料。</w:t>
      </w:r>
    </w:p>
    <w:p>
      <w:pPr>
        <w:spacing w:line="360" w:lineRule="auto"/>
        <w:rPr>
          <w:sz w:val="24"/>
        </w:rPr>
      </w:pPr>
      <w:r>
        <w:rPr>
          <w:rFonts w:hint="eastAsia"/>
          <w:b/>
          <w:bCs/>
          <w:sz w:val="24"/>
        </w:rPr>
        <w:t>2.0.5</w:t>
      </w:r>
      <w:r>
        <w:rPr>
          <w:rFonts w:hint="eastAsia"/>
          <w:sz w:val="24"/>
        </w:rPr>
        <w:t xml:space="preserve"> 拉管法  </w:t>
      </w:r>
      <w:r>
        <w:rPr>
          <w:sz w:val="24"/>
        </w:rPr>
        <w:t>Tube drawing method</w:t>
      </w:r>
    </w:p>
    <w:p>
      <w:pPr>
        <w:widowControl/>
        <w:spacing w:line="360" w:lineRule="auto"/>
        <w:ind w:firstLine="420"/>
        <w:jc w:val="left"/>
        <w:rPr>
          <w:sz w:val="24"/>
        </w:rPr>
      </w:pPr>
      <w:r>
        <w:rPr>
          <w:rFonts w:hint="eastAsia"/>
          <w:sz w:val="24"/>
        </w:rPr>
        <w:t>采用钻孔设备钻进成孔，然后钻孔在另一边用拖拉机械将钢管拖拉过来形成密排钢管群的施工方法。</w:t>
      </w:r>
    </w:p>
    <w:p>
      <w:pPr>
        <w:spacing w:line="440" w:lineRule="exact"/>
        <w:rPr>
          <w:sz w:val="24"/>
        </w:rPr>
      </w:pPr>
      <w:r>
        <w:rPr>
          <w:rFonts w:hint="eastAsia"/>
          <w:b/>
          <w:bCs/>
          <w:sz w:val="24"/>
        </w:rPr>
        <w:t>2.0.6</w:t>
      </w:r>
      <w:r>
        <w:rPr>
          <w:rFonts w:hint="eastAsia"/>
          <w:sz w:val="24"/>
        </w:rPr>
        <w:t xml:space="preserve">  夯管法  </w:t>
      </w:r>
      <w:r>
        <w:rPr>
          <w:sz w:val="24"/>
        </w:rPr>
        <w:t>Tamping pipe method</w:t>
      </w:r>
    </w:p>
    <w:p>
      <w:pPr>
        <w:spacing w:line="440" w:lineRule="exact"/>
        <w:ind w:firstLine="480" w:firstLineChars="200"/>
        <w:rPr>
          <w:sz w:val="24"/>
        </w:rPr>
      </w:pPr>
      <w:r>
        <w:rPr>
          <w:rFonts w:hint="eastAsia"/>
          <w:sz w:val="24"/>
        </w:rPr>
        <w:t>采用夯管设备在地层中夯进钢管形成密排钢管群的施工方法。</w:t>
      </w:r>
    </w:p>
    <w:p>
      <w:pPr>
        <w:spacing w:line="440" w:lineRule="exact"/>
        <w:rPr>
          <w:strike/>
          <w:sz w:val="24"/>
        </w:rPr>
      </w:pPr>
      <w:r>
        <w:rPr>
          <w:rFonts w:hint="eastAsia"/>
          <w:b/>
          <w:bCs/>
          <w:sz w:val="24"/>
        </w:rPr>
        <w:t>2.0.7</w:t>
      </w:r>
      <w:r>
        <w:rPr>
          <w:rFonts w:hint="eastAsia"/>
          <w:sz w:val="24"/>
        </w:rPr>
        <w:t xml:space="preserve">  钻进顶管法  </w:t>
      </w:r>
      <w:r>
        <w:rPr>
          <w:sz w:val="24"/>
        </w:rPr>
        <w:t>Drilling and pipe jacking method</w:t>
      </w:r>
    </w:p>
    <w:p>
      <w:pPr>
        <w:spacing w:line="440" w:lineRule="exact"/>
        <w:ind w:firstLine="480" w:firstLineChars="200"/>
        <w:rPr>
          <w:sz w:val="24"/>
        </w:rPr>
      </w:pPr>
      <w:r>
        <w:rPr>
          <w:rFonts w:hint="eastAsia"/>
          <w:sz w:val="24"/>
        </w:rPr>
        <w:t>采用顶管设备顶进钢管，管中采用螺旋机出土，形成密排钢管群的施工方法。</w:t>
      </w:r>
    </w:p>
    <w:p>
      <w:pPr>
        <w:spacing w:line="440" w:lineRule="exact"/>
        <w:rPr>
          <w:sz w:val="24"/>
        </w:rPr>
      </w:pPr>
      <w:r>
        <w:rPr>
          <w:rFonts w:hint="eastAsia"/>
          <w:b/>
          <w:bCs/>
          <w:sz w:val="24"/>
        </w:rPr>
        <w:t>2.0.8</w:t>
      </w:r>
      <w:r>
        <w:rPr>
          <w:rFonts w:hint="eastAsia"/>
          <w:sz w:val="24"/>
        </w:rPr>
        <w:t xml:space="preserve">  机械顶管法  </w:t>
      </w:r>
      <w:r>
        <w:rPr>
          <w:sz w:val="24"/>
        </w:rPr>
        <w:t>Mechanical pipe jacking</w:t>
      </w:r>
    </w:p>
    <w:p>
      <w:pPr>
        <w:pStyle w:val="2"/>
        <w:spacing w:after="0" w:line="360" w:lineRule="auto"/>
        <w:ind w:left="0" w:leftChars="0" w:firstLine="480"/>
        <w:rPr>
          <w:sz w:val="24"/>
        </w:rPr>
      </w:pPr>
      <w:r>
        <w:rPr>
          <w:rFonts w:hint="eastAsia"/>
          <w:sz w:val="24"/>
        </w:rPr>
        <w:t>采用顶管机切削土体，借助顶推装置将成型钢管逐节顶入土中形成密排钢管群的施工方法。</w:t>
      </w:r>
    </w:p>
    <w:p>
      <w:pPr>
        <w:spacing w:line="360" w:lineRule="auto"/>
        <w:rPr>
          <w:sz w:val="24"/>
        </w:rPr>
      </w:pPr>
      <w:r>
        <w:rPr>
          <w:rFonts w:hint="eastAsia"/>
          <w:b/>
          <w:bCs/>
          <w:sz w:val="24"/>
        </w:rPr>
        <w:t>2</w:t>
      </w:r>
      <w:r>
        <w:rPr>
          <w:b/>
          <w:bCs/>
          <w:sz w:val="24"/>
        </w:rPr>
        <w:t>.0.9</w:t>
      </w:r>
      <w:r>
        <w:rPr>
          <w:sz w:val="24"/>
        </w:rPr>
        <w:t xml:space="preserve">  </w:t>
      </w:r>
      <w:r>
        <w:rPr>
          <w:rFonts w:hint="eastAsia"/>
          <w:sz w:val="24"/>
        </w:rPr>
        <w:t xml:space="preserve">钢管顶进  </w:t>
      </w:r>
      <w:r>
        <w:rPr>
          <w:sz w:val="24"/>
        </w:rPr>
        <w:t>Steel pipe jacking</w:t>
      </w:r>
    </w:p>
    <w:p>
      <w:pPr>
        <w:spacing w:line="360" w:lineRule="auto"/>
        <w:ind w:firstLine="480" w:firstLineChars="200"/>
        <w:rPr>
          <w:sz w:val="24"/>
        </w:rPr>
      </w:pPr>
      <w:r>
        <w:rPr>
          <w:rFonts w:hint="eastAsia"/>
          <w:sz w:val="24"/>
        </w:rPr>
        <w:t>采用拉管法、夯管法、钻进顶管法或机械顶管法等方法，将管幕钢管拉入、夯入或顶入土层中的施工方法。</w:t>
      </w:r>
    </w:p>
    <w:p>
      <w:pPr>
        <w:spacing w:line="440" w:lineRule="exact"/>
        <w:rPr>
          <w:sz w:val="24"/>
        </w:rPr>
      </w:pPr>
      <w:r>
        <w:rPr>
          <w:rFonts w:hint="eastAsia"/>
          <w:b/>
          <w:bCs/>
          <w:sz w:val="24"/>
        </w:rPr>
        <w:t>2.0.</w:t>
      </w:r>
      <w:r>
        <w:rPr>
          <w:b/>
          <w:bCs/>
          <w:sz w:val="24"/>
        </w:rPr>
        <w:t>10</w:t>
      </w:r>
      <w:r>
        <w:rPr>
          <w:rFonts w:hint="eastAsia"/>
          <w:b/>
          <w:bCs/>
          <w:sz w:val="24"/>
        </w:rPr>
        <w:t xml:space="preserve">  </w:t>
      </w:r>
      <w:r>
        <w:rPr>
          <w:rFonts w:hint="eastAsia"/>
          <w:sz w:val="24"/>
        </w:rPr>
        <w:t>骨架  skeleton</w:t>
      </w:r>
    </w:p>
    <w:p>
      <w:pPr>
        <w:spacing w:line="440" w:lineRule="exact"/>
        <w:ind w:firstLine="480" w:firstLineChars="200"/>
        <w:rPr>
          <w:sz w:val="24"/>
        </w:rPr>
      </w:pPr>
      <w:r>
        <w:rPr>
          <w:rFonts w:hint="eastAsia"/>
          <w:sz w:val="24"/>
        </w:rPr>
        <w:t>为了提高管幕承载能力和抗弯、抗拉性能，在管幕钢管内置入的型钢、钢筋笼等构造材料。</w:t>
      </w:r>
    </w:p>
    <w:p>
      <w:pPr>
        <w:spacing w:line="440" w:lineRule="exact"/>
        <w:rPr>
          <w:sz w:val="24"/>
        </w:rPr>
      </w:pPr>
      <w:r>
        <w:rPr>
          <w:rFonts w:hint="eastAsia"/>
          <w:b/>
          <w:bCs/>
          <w:sz w:val="24"/>
        </w:rPr>
        <w:t>2.0.1</w:t>
      </w:r>
      <w:r>
        <w:rPr>
          <w:b/>
          <w:bCs/>
          <w:sz w:val="24"/>
        </w:rPr>
        <w:t>1</w:t>
      </w:r>
      <w:r>
        <w:rPr>
          <w:rFonts w:hint="eastAsia"/>
          <w:sz w:val="24"/>
        </w:rPr>
        <w:t xml:space="preserve">  钢管填充  </w:t>
      </w:r>
      <w:r>
        <w:rPr>
          <w:sz w:val="24"/>
        </w:rPr>
        <w:t>Steel pipe filling</w:t>
      </w:r>
    </w:p>
    <w:p>
      <w:pPr>
        <w:spacing w:line="440" w:lineRule="exact"/>
        <w:ind w:firstLine="480" w:firstLineChars="200"/>
        <w:rPr>
          <w:sz w:val="24"/>
        </w:rPr>
      </w:pPr>
      <w:r>
        <w:rPr>
          <w:rFonts w:hint="eastAsia"/>
          <w:sz w:val="24"/>
        </w:rPr>
        <w:t>为了提高管幕承载能力和抵抗变形能力，在管幕钢管内灌注的水泥浆、水泥砂浆、混凝土等填充材料。</w:t>
      </w:r>
    </w:p>
    <w:p>
      <w:pPr>
        <w:spacing w:line="440" w:lineRule="exact"/>
      </w:pPr>
      <w:r>
        <w:rPr>
          <w:rFonts w:hint="eastAsia"/>
          <w:b/>
          <w:bCs/>
          <w:sz w:val="24"/>
        </w:rPr>
        <w:t>2.0.12</w:t>
      </w:r>
      <w:r>
        <w:rPr>
          <w:rFonts w:hint="eastAsia"/>
          <w:sz w:val="24"/>
        </w:rPr>
        <w:t xml:space="preserve">  土压平衡式顶管  earth pressure balance jacking </w:t>
      </w:r>
    </w:p>
    <w:p>
      <w:pPr>
        <w:pStyle w:val="2"/>
        <w:spacing w:line="360" w:lineRule="auto"/>
        <w:ind w:left="0" w:leftChars="0" w:firstLine="480"/>
        <w:rPr>
          <w:sz w:val="24"/>
        </w:rPr>
      </w:pPr>
      <w:r>
        <w:rPr>
          <w:rFonts w:hint="eastAsia"/>
          <w:sz w:val="24"/>
        </w:rPr>
        <w:t>通过调节土仓内渣土的压力来维持挖掘面稳定的顶管施工方式。</w:t>
      </w:r>
    </w:p>
    <w:p>
      <w:pPr>
        <w:spacing w:line="360" w:lineRule="auto"/>
        <w:rPr>
          <w:sz w:val="24"/>
        </w:rPr>
      </w:pPr>
      <w:r>
        <w:rPr>
          <w:rFonts w:hint="eastAsia"/>
          <w:b/>
          <w:bCs/>
          <w:sz w:val="24"/>
        </w:rPr>
        <w:t>2.0.13</w:t>
      </w:r>
      <w:r>
        <w:rPr>
          <w:rFonts w:hint="eastAsia"/>
          <w:sz w:val="24"/>
        </w:rPr>
        <w:t xml:space="preserve">  泥水平衡式顶管  </w:t>
      </w:r>
      <w:r>
        <w:rPr>
          <w:sz w:val="24"/>
        </w:rPr>
        <w:t>slu</w:t>
      </w:r>
      <w:r>
        <w:rPr>
          <w:rFonts w:hint="eastAsia"/>
          <w:sz w:val="24"/>
        </w:rPr>
        <w:t xml:space="preserve">rry </w:t>
      </w:r>
      <w:r>
        <w:rPr>
          <w:sz w:val="24"/>
        </w:rPr>
        <w:t>balance</w:t>
      </w:r>
      <w:r>
        <w:rPr>
          <w:rFonts w:hint="eastAsia"/>
          <w:sz w:val="24"/>
        </w:rPr>
        <w:t xml:space="preserve"> jacking </w:t>
      </w:r>
    </w:p>
    <w:p>
      <w:pPr>
        <w:spacing w:line="360" w:lineRule="auto"/>
        <w:ind w:firstLine="480" w:firstLineChars="200"/>
        <w:rPr>
          <w:sz w:val="24"/>
        </w:rPr>
      </w:pPr>
      <w:r>
        <w:rPr>
          <w:rFonts w:hint="eastAsia"/>
          <w:sz w:val="24"/>
        </w:rPr>
        <w:t>通过调节泥水仓内泥水的压力来维持挖掘面稳定的顶管施工方式。</w:t>
      </w:r>
    </w:p>
    <w:p>
      <w:pPr>
        <w:spacing w:line="360" w:lineRule="auto"/>
        <w:rPr>
          <w:sz w:val="24"/>
        </w:rPr>
      </w:pPr>
      <w:r>
        <w:rPr>
          <w:rFonts w:hint="eastAsia"/>
          <w:sz w:val="24"/>
        </w:rPr>
        <w:br w:type="page"/>
      </w:r>
    </w:p>
    <w:p>
      <w:pPr>
        <w:spacing w:before="156" w:beforeLines="50" w:after="156" w:afterLines="50"/>
        <w:jc w:val="center"/>
        <w:outlineLvl w:val="0"/>
        <w:rPr>
          <w:sz w:val="32"/>
          <w:szCs w:val="20"/>
        </w:rPr>
      </w:pPr>
      <w:bookmarkStart w:id="17" w:name="_Toc32183"/>
      <w:bookmarkStart w:id="18" w:name="_Toc25953"/>
      <w:bookmarkStart w:id="19" w:name="_Hlk103427884"/>
      <w:r>
        <w:rPr>
          <w:rFonts w:hint="eastAsia"/>
          <w:sz w:val="32"/>
          <w:szCs w:val="20"/>
        </w:rPr>
        <w:t>3  基 本 规 定</w:t>
      </w:r>
      <w:bookmarkEnd w:id="17"/>
      <w:bookmarkEnd w:id="18"/>
    </w:p>
    <w:bookmarkEnd w:id="19"/>
    <w:p>
      <w:pPr>
        <w:spacing w:line="440" w:lineRule="exact"/>
        <w:rPr>
          <w:sz w:val="24"/>
        </w:rPr>
      </w:pPr>
      <w:r>
        <w:rPr>
          <w:rFonts w:hint="eastAsia"/>
          <w:b/>
          <w:bCs/>
          <w:sz w:val="24"/>
        </w:rPr>
        <w:t>3.0.1</w:t>
      </w:r>
      <w:r>
        <w:rPr>
          <w:rFonts w:hint="eastAsia"/>
          <w:sz w:val="24"/>
        </w:rPr>
        <w:t xml:space="preserve">  管幕结构型式与管幕施工工艺应综合考虑场区工程地质与水文地质条件、周边环境条件、施工作业条件、隧道或地下工程结构型式、管幕结构性能要求等因素，进行充分的技术经济比较，合理选择。</w:t>
      </w:r>
    </w:p>
    <w:p>
      <w:pPr>
        <w:spacing w:line="360" w:lineRule="auto"/>
        <w:rPr>
          <w:sz w:val="24"/>
        </w:rPr>
      </w:pPr>
      <w:r>
        <w:rPr>
          <w:rFonts w:hint="eastAsia"/>
          <w:b/>
          <w:bCs/>
          <w:sz w:val="24"/>
        </w:rPr>
        <w:t xml:space="preserve">3.0.2  </w:t>
      </w:r>
      <w:r>
        <w:rPr>
          <w:rFonts w:hint="eastAsia"/>
          <w:sz w:val="24"/>
        </w:rPr>
        <w:t>管幕法应进行专项设计，并应与结构设计和施工相匹配。</w:t>
      </w:r>
    </w:p>
    <w:p>
      <w:pPr>
        <w:spacing w:line="440" w:lineRule="exact"/>
        <w:rPr>
          <w:sz w:val="24"/>
        </w:rPr>
      </w:pPr>
      <w:r>
        <w:rPr>
          <w:rFonts w:hint="eastAsia"/>
          <w:b/>
          <w:bCs/>
          <w:sz w:val="24"/>
        </w:rPr>
        <w:t>3.0.3</w:t>
      </w:r>
      <w:r>
        <w:rPr>
          <w:rFonts w:hint="eastAsia"/>
          <w:sz w:val="24"/>
        </w:rPr>
        <w:t xml:space="preserve">  应在调查和掌握工程地质和水文地质条件、场区建（构）筑物、管线、障碍物和场区其他环境条件等详细资料的基础上，确定管幕设计与施工方案。</w:t>
      </w:r>
    </w:p>
    <w:p>
      <w:pPr>
        <w:spacing w:line="440" w:lineRule="exact"/>
        <w:rPr>
          <w:sz w:val="24"/>
        </w:rPr>
      </w:pPr>
      <w:r>
        <w:rPr>
          <w:rFonts w:hint="eastAsia"/>
          <w:b/>
          <w:bCs/>
          <w:sz w:val="24"/>
        </w:rPr>
        <w:t xml:space="preserve">3.0.4  </w:t>
      </w:r>
      <w:r>
        <w:rPr>
          <w:rFonts w:hint="eastAsia"/>
          <w:sz w:val="24"/>
        </w:rPr>
        <w:t>管幕施工方案应针对周围环境制定有效的保护措施，必要时应结合地质条件和环境条件，制定必要的辅助技术措施，确保土方开挖和结构施工安全。</w:t>
      </w:r>
    </w:p>
    <w:p>
      <w:pPr>
        <w:spacing w:line="440" w:lineRule="exact"/>
        <w:rPr>
          <w:sz w:val="24"/>
        </w:rPr>
      </w:pPr>
      <w:r>
        <w:rPr>
          <w:rFonts w:hint="eastAsia"/>
          <w:b/>
          <w:bCs/>
          <w:sz w:val="24"/>
        </w:rPr>
        <w:t xml:space="preserve">3.0.5  </w:t>
      </w:r>
      <w:r>
        <w:rPr>
          <w:rFonts w:hint="eastAsia"/>
          <w:sz w:val="24"/>
        </w:rPr>
        <w:t>管幕施工前应编制专项施工方案，</w:t>
      </w:r>
      <w:r>
        <w:rPr>
          <w:rFonts w:hint="eastAsia" w:ascii="宋体" w:hAnsi="宋体" w:cs="宋体"/>
          <w:kern w:val="0"/>
          <w:sz w:val="24"/>
          <w:lang w:bidi="ar"/>
        </w:rPr>
        <w:t>制定</w:t>
      </w:r>
      <w:r>
        <w:rPr>
          <w:rFonts w:hint="eastAsia"/>
          <w:sz w:val="24"/>
        </w:rPr>
        <w:t>质量</w:t>
      </w:r>
      <w:r>
        <w:rPr>
          <w:rFonts w:hint="eastAsia" w:ascii="宋体" w:hAnsi="宋体" w:cs="宋体"/>
          <w:kern w:val="0"/>
          <w:sz w:val="24"/>
          <w:lang w:bidi="ar"/>
        </w:rPr>
        <w:t>安</w:t>
      </w:r>
      <w:r>
        <w:rPr>
          <w:rFonts w:hint="eastAsia"/>
          <w:sz w:val="24"/>
        </w:rPr>
        <w:t>全和环境保护措施，经审批后实施。按照国家、行业或地方相关规定要求，需要对专项施工方案进行专家评审或专家论证的，应按其要求实施，并在施工过程中满足其他现场管理要求。</w:t>
      </w:r>
    </w:p>
    <w:p>
      <w:pPr>
        <w:spacing w:line="440" w:lineRule="exact"/>
        <w:rPr>
          <w:sz w:val="24"/>
        </w:rPr>
      </w:pPr>
      <w:r>
        <w:rPr>
          <w:rFonts w:hint="eastAsia"/>
          <w:b/>
          <w:bCs/>
          <w:sz w:val="24"/>
        </w:rPr>
        <w:t>3.0.6</w:t>
      </w:r>
      <w:r>
        <w:rPr>
          <w:rFonts w:hint="eastAsia"/>
          <w:sz w:val="24"/>
        </w:rPr>
        <w:t xml:space="preserve">  工程所用的材料、半成品、成品、构配件进场时，应对其外观、规格、型号等进行验收，质量证明文件应齐全，并应按规定进行抽检复试，合格后方可使用。</w:t>
      </w:r>
    </w:p>
    <w:p>
      <w:pPr>
        <w:spacing w:line="360" w:lineRule="auto"/>
        <w:rPr>
          <w:sz w:val="24"/>
        </w:rPr>
      </w:pPr>
      <w:r>
        <w:rPr>
          <w:rFonts w:hint="eastAsia"/>
          <w:b/>
          <w:bCs/>
          <w:sz w:val="24"/>
        </w:rPr>
        <w:t>3.0.7</w:t>
      </w:r>
      <w:r>
        <w:rPr>
          <w:sz w:val="24"/>
        </w:rPr>
        <w:t xml:space="preserve">  </w:t>
      </w:r>
      <w:r>
        <w:rPr>
          <w:rFonts w:hint="eastAsia"/>
          <w:sz w:val="24"/>
        </w:rPr>
        <w:t>工程施工所用的设备、仪器、仪表等应在计量检定有效期内。</w:t>
      </w:r>
    </w:p>
    <w:p>
      <w:pPr>
        <w:spacing w:line="360" w:lineRule="auto"/>
        <w:rPr>
          <w:sz w:val="24"/>
        </w:rPr>
      </w:pPr>
      <w:r>
        <w:rPr>
          <w:rFonts w:hint="eastAsia"/>
          <w:b/>
          <w:bCs/>
          <w:sz w:val="24"/>
        </w:rPr>
        <w:t>3.0.8</w:t>
      </w:r>
      <w:r>
        <w:rPr>
          <w:sz w:val="24"/>
        </w:rPr>
        <w:t xml:space="preserve">  </w:t>
      </w:r>
      <w:r>
        <w:rPr>
          <w:rFonts w:hint="eastAsia"/>
          <w:sz w:val="24"/>
        </w:rPr>
        <w:t>工程施工中应做好检测、隐蔽工程、质量检查等施工记录；工程竣工时应做好施工总结，竣工资料应真实、有效、齐全。</w:t>
      </w:r>
    </w:p>
    <w:p>
      <w:pPr>
        <w:spacing w:line="440" w:lineRule="exact"/>
        <w:rPr>
          <w:sz w:val="24"/>
        </w:rPr>
      </w:pPr>
      <w:r>
        <w:rPr>
          <w:rFonts w:hint="eastAsia"/>
          <w:b/>
          <w:bCs/>
          <w:sz w:val="24"/>
        </w:rPr>
        <w:t>3.0.9</w:t>
      </w:r>
      <w:r>
        <w:rPr>
          <w:rFonts w:hint="eastAsia"/>
          <w:sz w:val="24"/>
        </w:rPr>
        <w:t xml:space="preserve">  管幕施工期间，应对场区地表、邻近的建（构）筑物、管线等工程环境进行监测，并应对重要或有特殊要求的工程环境采取必要的技术措施。</w:t>
      </w:r>
    </w:p>
    <w:p>
      <w:pPr>
        <w:spacing w:line="440" w:lineRule="exact"/>
        <w:rPr>
          <w:sz w:val="24"/>
        </w:rPr>
      </w:pPr>
      <w:r>
        <w:rPr>
          <w:rFonts w:hint="eastAsia"/>
          <w:b/>
          <w:bCs/>
          <w:sz w:val="24"/>
        </w:rPr>
        <w:t xml:space="preserve">3.0.10  </w:t>
      </w:r>
      <w:r>
        <w:rPr>
          <w:rFonts w:hint="eastAsia"/>
          <w:sz w:val="24"/>
        </w:rPr>
        <w:t>管幕施工期间，应结合管幕施工工艺特点和周边环境条件，采取必要的施工安全和环境保护措施。</w:t>
      </w:r>
    </w:p>
    <w:p>
      <w:pPr>
        <w:spacing w:line="360" w:lineRule="auto"/>
        <w:rPr>
          <w:sz w:val="24"/>
        </w:rPr>
      </w:pPr>
      <w:r>
        <w:rPr>
          <w:rFonts w:hint="eastAsia"/>
          <w:b/>
          <w:bCs/>
          <w:sz w:val="24"/>
        </w:rPr>
        <w:t>3.0.11</w:t>
      </w:r>
      <w:r>
        <w:rPr>
          <w:sz w:val="24"/>
        </w:rPr>
        <w:t xml:space="preserve">  </w:t>
      </w:r>
      <w:r>
        <w:rPr>
          <w:rFonts w:hint="eastAsia"/>
          <w:sz w:val="24"/>
        </w:rPr>
        <w:t>管幕法施工宜采用经过试验、检测和鉴定并经实践检验质量和安全可靠的新工艺、新技术、新设备、新材料等技术。</w:t>
      </w:r>
    </w:p>
    <w:p>
      <w:pPr>
        <w:pStyle w:val="2"/>
      </w:pPr>
    </w:p>
    <w:p>
      <w:pPr>
        <w:pStyle w:val="2"/>
      </w:pPr>
    </w:p>
    <w:p>
      <w:pPr>
        <w:pStyle w:val="2"/>
      </w:pPr>
    </w:p>
    <w:p>
      <w:pPr>
        <w:pStyle w:val="2"/>
      </w:pPr>
    </w:p>
    <w:p>
      <w:pPr>
        <w:pStyle w:val="2"/>
      </w:pPr>
    </w:p>
    <w:p>
      <w:pPr>
        <w:pStyle w:val="2"/>
      </w:pPr>
    </w:p>
    <w:p>
      <w:pPr>
        <w:spacing w:before="156" w:beforeLines="50" w:after="156" w:afterLines="50"/>
        <w:jc w:val="center"/>
        <w:outlineLvl w:val="0"/>
        <w:rPr>
          <w:sz w:val="32"/>
          <w:szCs w:val="20"/>
        </w:rPr>
      </w:pPr>
      <w:bookmarkStart w:id="20" w:name="_Toc12307"/>
      <w:bookmarkStart w:id="21" w:name="_Toc30598"/>
      <w:r>
        <w:rPr>
          <w:rFonts w:hint="eastAsia"/>
          <w:sz w:val="32"/>
          <w:szCs w:val="20"/>
        </w:rPr>
        <w:t>4  管 幕 设 计</w:t>
      </w:r>
      <w:bookmarkEnd w:id="20"/>
      <w:bookmarkEnd w:id="21"/>
    </w:p>
    <w:p>
      <w:pPr>
        <w:spacing w:before="156" w:beforeLines="50" w:after="156" w:afterLines="50" w:line="440" w:lineRule="exact"/>
        <w:jc w:val="center"/>
        <w:outlineLvl w:val="1"/>
        <w:rPr>
          <w:rFonts w:eastAsia="黑体"/>
          <w:sz w:val="24"/>
        </w:rPr>
      </w:pPr>
      <w:bookmarkStart w:id="22" w:name="_Toc17350"/>
      <w:bookmarkStart w:id="23" w:name="_Toc782"/>
      <w:r>
        <w:rPr>
          <w:rFonts w:eastAsia="黑体"/>
          <w:sz w:val="24"/>
        </w:rPr>
        <w:t>4.1  一</w:t>
      </w:r>
      <w:r>
        <w:rPr>
          <w:rFonts w:hint="eastAsia" w:eastAsia="黑体"/>
          <w:sz w:val="24"/>
          <w:lang w:val="en-US" w:eastAsia="zh-CN"/>
        </w:rPr>
        <w:t xml:space="preserve"> </w:t>
      </w:r>
      <w:r>
        <w:rPr>
          <w:rFonts w:eastAsia="黑体"/>
          <w:sz w:val="24"/>
        </w:rPr>
        <w:t>般</w:t>
      </w:r>
      <w:r>
        <w:rPr>
          <w:rFonts w:hint="eastAsia" w:eastAsia="黑体"/>
          <w:sz w:val="24"/>
          <w:lang w:val="en-US" w:eastAsia="zh-CN"/>
        </w:rPr>
        <w:t xml:space="preserve"> </w:t>
      </w:r>
      <w:r>
        <w:rPr>
          <w:rFonts w:eastAsia="黑体"/>
          <w:sz w:val="24"/>
        </w:rPr>
        <w:t>规</w:t>
      </w:r>
      <w:r>
        <w:rPr>
          <w:rFonts w:hint="eastAsia" w:eastAsia="黑体"/>
          <w:sz w:val="24"/>
          <w:lang w:val="en-US" w:eastAsia="zh-CN"/>
        </w:rPr>
        <w:t xml:space="preserve"> </w:t>
      </w:r>
      <w:r>
        <w:rPr>
          <w:rFonts w:eastAsia="黑体"/>
          <w:sz w:val="24"/>
        </w:rPr>
        <w:t>定</w:t>
      </w:r>
      <w:bookmarkEnd w:id="22"/>
      <w:bookmarkEnd w:id="23"/>
    </w:p>
    <w:p>
      <w:pPr>
        <w:spacing w:line="440" w:lineRule="exact"/>
        <w:rPr>
          <w:sz w:val="24"/>
        </w:rPr>
      </w:pPr>
      <w:r>
        <w:rPr>
          <w:rFonts w:hint="eastAsia"/>
          <w:b/>
          <w:bCs/>
          <w:sz w:val="24"/>
        </w:rPr>
        <w:t>4.1.1</w:t>
      </w:r>
      <w:r>
        <w:rPr>
          <w:rFonts w:hint="eastAsia"/>
          <w:sz w:val="24"/>
        </w:rPr>
        <w:t xml:space="preserve">  管幕结构设计应满足工程主体结构设计技术要求，并合理选择按照作为隧道或地下工程的预支护、支护或永久结构进行设计计算，确定管径、壁厚、间距等尺寸和构造设计参数。</w:t>
      </w:r>
    </w:p>
    <w:p>
      <w:pPr>
        <w:spacing w:line="440" w:lineRule="exact"/>
        <w:rPr>
          <w:b/>
          <w:bCs/>
          <w:sz w:val="24"/>
        </w:rPr>
      </w:pPr>
      <w:r>
        <w:rPr>
          <w:b/>
          <w:bCs/>
          <w:sz w:val="24"/>
        </w:rPr>
        <w:t xml:space="preserve">4.1.2 </w:t>
      </w:r>
      <w:r>
        <w:rPr>
          <w:sz w:val="24"/>
        </w:rPr>
        <w:t>管幕结构应根据岩土工程勘察报告、工程场地与环境条件、支护构造要求、施工条件等进行设计。</w:t>
      </w:r>
    </w:p>
    <w:p>
      <w:pPr>
        <w:spacing w:line="440" w:lineRule="exact"/>
        <w:rPr>
          <w:b/>
          <w:bCs/>
          <w:sz w:val="24"/>
        </w:rPr>
      </w:pPr>
      <w:r>
        <w:rPr>
          <w:b/>
          <w:bCs/>
          <w:sz w:val="24"/>
        </w:rPr>
        <w:t xml:space="preserve">4.1.3  </w:t>
      </w:r>
      <w:r>
        <w:rPr>
          <w:sz w:val="24"/>
        </w:rPr>
        <w:t>管幕结构的设计应根据管幕功能要求、工程地质、环境因素及施工条件合理选择管幕平面高程、穿越土层及覆土厚度。</w:t>
      </w:r>
    </w:p>
    <w:p>
      <w:pPr>
        <w:spacing w:line="440" w:lineRule="exact"/>
        <w:rPr>
          <w:sz w:val="24"/>
        </w:rPr>
      </w:pPr>
      <w:r>
        <w:rPr>
          <w:rFonts w:hint="eastAsia"/>
          <w:b/>
          <w:bCs/>
          <w:sz w:val="24"/>
        </w:rPr>
        <w:t>4.1.4</w:t>
      </w:r>
      <w:r>
        <w:rPr>
          <w:b/>
          <w:bCs/>
          <w:sz w:val="24"/>
        </w:rPr>
        <w:t xml:space="preserve">  </w:t>
      </w:r>
      <w:r>
        <w:rPr>
          <w:sz w:val="24"/>
        </w:rPr>
        <w:t>管幕</w:t>
      </w:r>
      <w:r>
        <w:rPr>
          <w:rFonts w:hint="eastAsia"/>
          <w:sz w:val="24"/>
        </w:rPr>
        <w:t>平面和纵向</w:t>
      </w:r>
      <w:r>
        <w:rPr>
          <w:sz w:val="24"/>
        </w:rPr>
        <w:t>设计应根据管幕功能要求、工程地质和水文地质条件、周边环境及施工条件等因素合理选择管幕平面高程、穿越</w:t>
      </w:r>
      <w:r>
        <w:rPr>
          <w:rFonts w:hint="eastAsia"/>
          <w:sz w:val="24"/>
        </w:rPr>
        <w:t>地</w:t>
      </w:r>
      <w:r>
        <w:rPr>
          <w:sz w:val="24"/>
        </w:rPr>
        <w:t>层及覆土厚度。</w:t>
      </w:r>
    </w:p>
    <w:p>
      <w:pPr>
        <w:spacing w:line="440" w:lineRule="exact"/>
        <w:rPr>
          <w:b/>
          <w:bCs/>
          <w:sz w:val="24"/>
        </w:rPr>
      </w:pPr>
      <w:r>
        <w:rPr>
          <w:b/>
          <w:bCs/>
          <w:sz w:val="24"/>
        </w:rPr>
        <w:t>4.1</w:t>
      </w:r>
      <w:r>
        <w:rPr>
          <w:rFonts w:hint="eastAsia"/>
          <w:b/>
          <w:bCs/>
          <w:sz w:val="24"/>
        </w:rPr>
        <w:t>.5</w:t>
      </w:r>
      <w:r>
        <w:rPr>
          <w:b/>
          <w:bCs/>
          <w:sz w:val="24"/>
        </w:rPr>
        <w:t xml:space="preserve">  </w:t>
      </w:r>
      <w:r>
        <w:rPr>
          <w:sz w:val="24"/>
        </w:rPr>
        <w:t>管幕结构的构件应进行结构设计。</w:t>
      </w:r>
    </w:p>
    <w:p>
      <w:pPr>
        <w:spacing w:line="440" w:lineRule="exact"/>
        <w:rPr>
          <w:sz w:val="24"/>
        </w:rPr>
      </w:pPr>
      <w:r>
        <w:rPr>
          <w:b/>
          <w:bCs/>
          <w:sz w:val="24"/>
        </w:rPr>
        <w:t>4.1.</w:t>
      </w:r>
      <w:r>
        <w:rPr>
          <w:rFonts w:hint="eastAsia"/>
          <w:b/>
          <w:bCs/>
          <w:sz w:val="24"/>
        </w:rPr>
        <w:t>6</w:t>
      </w:r>
      <w:r>
        <w:rPr>
          <w:b/>
          <w:bCs/>
          <w:sz w:val="24"/>
        </w:rPr>
        <w:t xml:space="preserve">  </w:t>
      </w:r>
      <w:r>
        <w:rPr>
          <w:sz w:val="24"/>
        </w:rPr>
        <w:t>管幕结构的设计应根据工程地质、环境因素及管道埋深等因素合理确定工作井</w:t>
      </w:r>
      <w:r>
        <w:rPr>
          <w:rFonts w:hint="eastAsia"/>
          <w:sz w:val="24"/>
        </w:rPr>
        <w:t>或洞室</w:t>
      </w:r>
      <w:r>
        <w:rPr>
          <w:sz w:val="24"/>
        </w:rPr>
        <w:t>的结构型式。</w:t>
      </w:r>
    </w:p>
    <w:p>
      <w:pPr>
        <w:spacing w:line="440" w:lineRule="exact"/>
        <w:rPr>
          <w:sz w:val="24"/>
        </w:rPr>
      </w:pPr>
      <w:r>
        <w:rPr>
          <w:b/>
          <w:bCs/>
          <w:sz w:val="24"/>
        </w:rPr>
        <w:t xml:space="preserve">4.1.7  </w:t>
      </w:r>
      <w:r>
        <w:rPr>
          <w:sz w:val="24"/>
        </w:rPr>
        <w:t>管幕设计应包括下列内容：</w:t>
      </w:r>
    </w:p>
    <w:p>
      <w:pPr>
        <w:pStyle w:val="2"/>
        <w:spacing w:after="0" w:line="440" w:lineRule="exact"/>
        <w:ind w:left="0" w:leftChars="0" w:firstLine="361" w:firstLineChars="150"/>
        <w:rPr>
          <w:b/>
          <w:bCs/>
          <w:sz w:val="24"/>
        </w:rPr>
      </w:pPr>
      <w:r>
        <w:rPr>
          <w:b/>
          <w:bCs/>
          <w:sz w:val="24"/>
        </w:rPr>
        <w:t>1</w:t>
      </w:r>
      <w:r>
        <w:rPr>
          <w:sz w:val="24"/>
        </w:rPr>
        <w:t xml:space="preserve">  管幕结构选型；</w:t>
      </w:r>
    </w:p>
    <w:p>
      <w:pPr>
        <w:pStyle w:val="2"/>
        <w:spacing w:after="0" w:line="440" w:lineRule="exact"/>
        <w:ind w:left="0" w:leftChars="0" w:firstLine="361" w:firstLineChars="150"/>
        <w:rPr>
          <w:b/>
          <w:bCs/>
          <w:sz w:val="24"/>
        </w:rPr>
      </w:pPr>
      <w:r>
        <w:rPr>
          <w:b/>
          <w:bCs/>
          <w:sz w:val="24"/>
        </w:rPr>
        <w:t>2</w:t>
      </w:r>
      <w:r>
        <w:rPr>
          <w:sz w:val="24"/>
        </w:rPr>
        <w:t xml:space="preserve">  管幕材料；</w:t>
      </w:r>
    </w:p>
    <w:p>
      <w:pPr>
        <w:pStyle w:val="2"/>
        <w:spacing w:after="0" w:line="440" w:lineRule="exact"/>
        <w:ind w:left="0" w:leftChars="0" w:firstLine="361" w:firstLineChars="150"/>
        <w:rPr>
          <w:b/>
          <w:bCs/>
          <w:sz w:val="24"/>
        </w:rPr>
      </w:pPr>
      <w:r>
        <w:rPr>
          <w:b/>
          <w:bCs/>
          <w:sz w:val="24"/>
        </w:rPr>
        <w:t>3</w:t>
      </w:r>
      <w:r>
        <w:rPr>
          <w:sz w:val="24"/>
        </w:rPr>
        <w:t xml:space="preserve">  管幕布置及连接；</w:t>
      </w:r>
    </w:p>
    <w:p>
      <w:pPr>
        <w:pStyle w:val="2"/>
        <w:spacing w:after="0" w:line="440" w:lineRule="exact"/>
        <w:ind w:left="0" w:leftChars="0" w:firstLine="361" w:firstLineChars="150"/>
        <w:rPr>
          <w:b/>
          <w:bCs/>
          <w:sz w:val="24"/>
        </w:rPr>
      </w:pPr>
      <w:r>
        <w:rPr>
          <w:b/>
          <w:bCs/>
          <w:sz w:val="24"/>
        </w:rPr>
        <w:t>4</w:t>
      </w:r>
      <w:r>
        <w:rPr>
          <w:sz w:val="24"/>
        </w:rPr>
        <w:t xml:space="preserve">  管内骨架与填充；</w:t>
      </w:r>
    </w:p>
    <w:p>
      <w:pPr>
        <w:pStyle w:val="2"/>
        <w:spacing w:after="0" w:line="440" w:lineRule="exact"/>
        <w:ind w:left="0" w:leftChars="0" w:firstLine="361" w:firstLineChars="150"/>
        <w:rPr>
          <w:b/>
          <w:bCs/>
          <w:sz w:val="24"/>
        </w:rPr>
      </w:pPr>
      <w:r>
        <w:rPr>
          <w:b/>
          <w:bCs/>
          <w:sz w:val="24"/>
        </w:rPr>
        <w:t>5</w:t>
      </w:r>
      <w:r>
        <w:rPr>
          <w:sz w:val="24"/>
        </w:rPr>
        <w:t xml:space="preserve">  工作井室</w:t>
      </w:r>
      <w:r>
        <w:rPr>
          <w:rFonts w:hint="eastAsia"/>
          <w:sz w:val="24"/>
        </w:rPr>
        <w:t>或</w:t>
      </w:r>
      <w:r>
        <w:rPr>
          <w:sz w:val="24"/>
        </w:rPr>
        <w:t>洞室设计；</w:t>
      </w:r>
    </w:p>
    <w:p>
      <w:pPr>
        <w:pStyle w:val="2"/>
        <w:spacing w:after="0" w:line="440" w:lineRule="exact"/>
        <w:ind w:left="0" w:leftChars="0" w:firstLine="361" w:firstLineChars="150"/>
        <w:rPr>
          <w:sz w:val="24"/>
        </w:rPr>
      </w:pPr>
      <w:r>
        <w:rPr>
          <w:b/>
          <w:bCs/>
          <w:sz w:val="24"/>
        </w:rPr>
        <w:t>6</w:t>
      </w:r>
      <w:r>
        <w:rPr>
          <w:sz w:val="24"/>
        </w:rPr>
        <w:t xml:space="preserve">  后背墙设计。</w:t>
      </w:r>
    </w:p>
    <w:p>
      <w:pPr>
        <w:pStyle w:val="2"/>
        <w:spacing w:after="0" w:line="440" w:lineRule="exact"/>
        <w:ind w:left="0" w:leftChars="0" w:firstLine="361" w:firstLineChars="150"/>
        <w:rPr>
          <w:b/>
          <w:bCs/>
          <w:sz w:val="24"/>
        </w:rPr>
      </w:pPr>
      <w:r>
        <w:rPr>
          <w:b/>
          <w:bCs/>
          <w:sz w:val="24"/>
        </w:rPr>
        <w:t>7</w:t>
      </w:r>
      <w:r>
        <w:rPr>
          <w:sz w:val="24"/>
        </w:rPr>
        <w:t xml:space="preserve">  管幕结构计算；</w:t>
      </w:r>
    </w:p>
    <w:p>
      <w:pPr>
        <w:pStyle w:val="2"/>
        <w:spacing w:after="0" w:line="440" w:lineRule="exact"/>
        <w:ind w:left="0" w:leftChars="0" w:firstLine="361" w:firstLineChars="150"/>
        <w:rPr>
          <w:sz w:val="24"/>
        </w:rPr>
      </w:pPr>
      <w:r>
        <w:rPr>
          <w:b/>
          <w:bCs/>
          <w:sz w:val="24"/>
        </w:rPr>
        <w:t>8</w:t>
      </w:r>
      <w:r>
        <w:rPr>
          <w:sz w:val="24"/>
        </w:rPr>
        <w:t xml:space="preserve">  管幕构造设计。</w:t>
      </w:r>
    </w:p>
    <w:p>
      <w:pPr>
        <w:spacing w:before="156" w:beforeLines="50" w:after="156" w:afterLines="50" w:line="440" w:lineRule="exact"/>
        <w:jc w:val="center"/>
        <w:outlineLvl w:val="1"/>
        <w:rPr>
          <w:rFonts w:eastAsia="黑体"/>
          <w:sz w:val="24"/>
        </w:rPr>
      </w:pPr>
      <w:bookmarkStart w:id="24" w:name="_Toc15996"/>
      <w:bookmarkStart w:id="25" w:name="_Toc12299"/>
      <w:r>
        <w:rPr>
          <w:rFonts w:eastAsia="黑体"/>
          <w:sz w:val="24"/>
        </w:rPr>
        <w:t>4.2  管幕结构选型</w:t>
      </w:r>
      <w:bookmarkEnd w:id="24"/>
      <w:bookmarkEnd w:id="25"/>
    </w:p>
    <w:p>
      <w:pPr>
        <w:spacing w:line="360" w:lineRule="auto"/>
        <w:rPr>
          <w:sz w:val="24"/>
        </w:rPr>
      </w:pPr>
      <w:r>
        <w:rPr>
          <w:b/>
          <w:bCs/>
          <w:sz w:val="24"/>
        </w:rPr>
        <w:t xml:space="preserve">4.2.1 </w:t>
      </w:r>
      <w:r>
        <w:rPr>
          <w:sz w:val="24"/>
        </w:rPr>
        <w:t>管幕结构选型应根据用途、管材特性及工程具体情况确定，满足使用功能、施工等综合需要。</w:t>
      </w:r>
    </w:p>
    <w:p>
      <w:pPr>
        <w:spacing w:line="360" w:lineRule="auto"/>
        <w:rPr>
          <w:sz w:val="24"/>
        </w:rPr>
      </w:pPr>
      <w:r>
        <w:rPr>
          <w:b/>
          <w:bCs/>
          <w:sz w:val="24"/>
        </w:rPr>
        <w:t xml:space="preserve">4.2.2 </w:t>
      </w:r>
      <w:r>
        <w:rPr>
          <w:sz w:val="24"/>
        </w:rPr>
        <w:t>管幕结构根据</w:t>
      </w:r>
      <w:r>
        <w:rPr>
          <w:rFonts w:hint="eastAsia"/>
          <w:sz w:val="24"/>
        </w:rPr>
        <w:t>地下空间的</w:t>
      </w:r>
      <w:r>
        <w:rPr>
          <w:sz w:val="24"/>
        </w:rPr>
        <w:t>横断面可划分为</w:t>
      </w:r>
      <w:r>
        <w:rPr>
          <w:rFonts w:hint="eastAsia"/>
          <w:sz w:val="24"/>
        </w:rPr>
        <w:t>拱</w:t>
      </w:r>
      <w:r>
        <w:rPr>
          <w:sz w:val="24"/>
        </w:rPr>
        <w:t>形、矩形</w:t>
      </w:r>
      <w:r>
        <w:rPr>
          <w:rFonts w:hint="eastAsia"/>
          <w:sz w:val="24"/>
        </w:rPr>
        <w:t>或</w:t>
      </w:r>
      <w:r>
        <w:rPr>
          <w:sz w:val="24"/>
        </w:rPr>
        <w:t>其它形状。</w:t>
      </w:r>
    </w:p>
    <w:p>
      <w:pPr>
        <w:spacing w:line="360" w:lineRule="auto"/>
        <w:rPr>
          <w:sz w:val="24"/>
        </w:rPr>
      </w:pPr>
      <w:r>
        <w:rPr>
          <w:b/>
          <w:bCs/>
          <w:sz w:val="24"/>
        </w:rPr>
        <w:t xml:space="preserve">4.2.3 </w:t>
      </w:r>
      <w:r>
        <w:rPr>
          <w:sz w:val="24"/>
        </w:rPr>
        <w:t>管幕结构应设置锁扣连接件，</w:t>
      </w:r>
      <w:r>
        <w:rPr>
          <w:rFonts w:hint="eastAsia"/>
          <w:sz w:val="24"/>
        </w:rPr>
        <w:t>锁扣</w:t>
      </w:r>
      <w:r>
        <w:rPr>
          <w:sz w:val="24"/>
        </w:rPr>
        <w:t>连接件可分为角钢、弧形钢板等。</w:t>
      </w:r>
    </w:p>
    <w:p>
      <w:pPr>
        <w:spacing w:line="360" w:lineRule="auto"/>
        <w:rPr>
          <w:sz w:val="24"/>
        </w:rPr>
      </w:pPr>
      <w:r>
        <w:rPr>
          <w:b/>
          <w:bCs/>
          <w:sz w:val="24"/>
        </w:rPr>
        <w:t>4.2.4</w:t>
      </w:r>
      <w:r>
        <w:rPr>
          <w:sz w:val="24"/>
        </w:rPr>
        <w:t>管幕锁扣应设计为具有一定刚度的柔性结构，同时应限制其在顶进荷载作用下的变形并满足导向的要求。</w:t>
      </w:r>
    </w:p>
    <w:p>
      <w:pPr>
        <w:spacing w:line="360" w:lineRule="auto"/>
        <w:rPr>
          <w:sz w:val="24"/>
        </w:rPr>
      </w:pPr>
      <w:r>
        <w:rPr>
          <w:b/>
          <w:bCs/>
          <w:sz w:val="24"/>
        </w:rPr>
        <w:t>4.2.5</w:t>
      </w:r>
      <w:r>
        <w:rPr>
          <w:sz w:val="24"/>
        </w:rPr>
        <w:t>管幕锁扣设计为公母锁扣，对称布置</w:t>
      </w:r>
      <w:r>
        <w:rPr>
          <w:rFonts w:hint="eastAsia"/>
          <w:sz w:val="24"/>
        </w:rPr>
        <w:t>于</w:t>
      </w:r>
      <w:r>
        <w:rPr>
          <w:sz w:val="24"/>
        </w:rPr>
        <w:t>钢管两侧，母锁扣作为相邻管幕结构顶进导向构件。</w:t>
      </w:r>
    </w:p>
    <w:p>
      <w:pPr>
        <w:spacing w:line="360" w:lineRule="auto"/>
        <w:rPr>
          <w:sz w:val="24"/>
        </w:rPr>
      </w:pPr>
      <w:r>
        <w:rPr>
          <w:b/>
          <w:bCs/>
          <w:sz w:val="24"/>
        </w:rPr>
        <w:t>4.2.6</w:t>
      </w:r>
      <w:r>
        <w:rPr>
          <w:sz w:val="24"/>
        </w:rPr>
        <w:t>管幕结构横向设计宜设置标准管及定位管，定位管配置左右母锁扣，作为后续标准管顶进参照。</w:t>
      </w:r>
    </w:p>
    <w:p>
      <w:pPr>
        <w:spacing w:line="360" w:lineRule="auto"/>
        <w:rPr>
          <w:sz w:val="24"/>
        </w:rPr>
      </w:pPr>
      <w:r>
        <w:rPr>
          <w:b/>
          <w:bCs/>
          <w:sz w:val="24"/>
        </w:rPr>
        <w:t>4.2.</w:t>
      </w:r>
      <w:r>
        <w:rPr>
          <w:rFonts w:hint="eastAsia"/>
          <w:b/>
          <w:bCs/>
          <w:sz w:val="24"/>
        </w:rPr>
        <w:t>7</w:t>
      </w:r>
      <w:r>
        <w:rPr>
          <w:b/>
          <w:bCs/>
          <w:sz w:val="24"/>
        </w:rPr>
        <w:t xml:space="preserve"> </w:t>
      </w:r>
      <w:r>
        <w:rPr>
          <w:sz w:val="24"/>
        </w:rPr>
        <w:t>锁扣宜随管幕结构通长设置，分节长度同管幕结构分节，锁扣接缝应与管幕接缝错开布置，错开间距不小于100mm。</w:t>
      </w:r>
    </w:p>
    <w:p>
      <w:pPr>
        <w:spacing w:line="360" w:lineRule="auto"/>
        <w:rPr>
          <w:sz w:val="24"/>
        </w:rPr>
      </w:pPr>
      <w:r>
        <w:rPr>
          <w:b/>
          <w:bCs/>
          <w:sz w:val="24"/>
        </w:rPr>
        <w:t>4.2.</w:t>
      </w:r>
      <w:r>
        <w:rPr>
          <w:rFonts w:hint="eastAsia"/>
          <w:b/>
          <w:bCs/>
          <w:sz w:val="24"/>
        </w:rPr>
        <w:t>8</w:t>
      </w:r>
      <w:r>
        <w:rPr>
          <w:b/>
          <w:bCs/>
          <w:sz w:val="24"/>
        </w:rPr>
        <w:t xml:space="preserve"> </w:t>
      </w:r>
      <w:r>
        <w:rPr>
          <w:sz w:val="24"/>
        </w:rPr>
        <w:t>管幕结构分节长度及尺寸应满足制作、吊装、运输以及施工的安全和方便。管幕接头设计应满足受力、变形和耐久性要求。</w:t>
      </w:r>
    </w:p>
    <w:p>
      <w:pPr>
        <w:spacing w:line="440" w:lineRule="exact"/>
        <w:rPr>
          <w:sz w:val="24"/>
        </w:rPr>
      </w:pPr>
      <w:r>
        <w:rPr>
          <w:b/>
          <w:bCs/>
          <w:sz w:val="24"/>
        </w:rPr>
        <w:t>4.</w:t>
      </w:r>
      <w:r>
        <w:rPr>
          <w:rFonts w:hint="eastAsia"/>
          <w:b/>
          <w:bCs/>
          <w:sz w:val="24"/>
        </w:rPr>
        <w:t>2.9</w:t>
      </w:r>
      <w:r>
        <w:rPr>
          <w:b/>
          <w:bCs/>
          <w:sz w:val="24"/>
        </w:rPr>
        <w:t xml:space="preserve"> </w:t>
      </w:r>
      <w:r>
        <w:rPr>
          <w:sz w:val="24"/>
        </w:rPr>
        <w:t>管幕结构应具有优良的力学性能，除满足一般埋地管道受力要求外，尚应有较高的轴向承载能力。</w:t>
      </w:r>
    </w:p>
    <w:p>
      <w:pPr>
        <w:spacing w:line="360" w:lineRule="auto"/>
        <w:rPr>
          <w:b/>
          <w:bCs/>
          <w:sz w:val="24"/>
        </w:rPr>
      </w:pPr>
      <w:r>
        <w:rPr>
          <w:b/>
          <w:bCs/>
          <w:sz w:val="24"/>
        </w:rPr>
        <w:t>4.2.</w:t>
      </w:r>
      <w:r>
        <w:rPr>
          <w:rFonts w:hint="eastAsia"/>
          <w:b/>
          <w:bCs/>
          <w:sz w:val="24"/>
        </w:rPr>
        <w:t>10</w:t>
      </w:r>
      <w:r>
        <w:rPr>
          <w:b/>
          <w:bCs/>
          <w:sz w:val="24"/>
        </w:rPr>
        <w:t xml:space="preserve"> </w:t>
      </w:r>
      <w:r>
        <w:rPr>
          <w:sz w:val="24"/>
        </w:rPr>
        <w:t>管幕结构应在管外通长设置注浆导管，作为管幕结构顶进地层损失补偿。</w:t>
      </w:r>
    </w:p>
    <w:p>
      <w:pPr>
        <w:spacing w:before="156" w:beforeLines="50" w:after="156" w:afterLines="50" w:line="440" w:lineRule="exact"/>
        <w:jc w:val="center"/>
        <w:outlineLvl w:val="1"/>
        <w:rPr>
          <w:rFonts w:eastAsia="黑体"/>
          <w:sz w:val="24"/>
        </w:rPr>
      </w:pPr>
      <w:bookmarkStart w:id="26" w:name="_Toc17996"/>
      <w:bookmarkStart w:id="27" w:name="_Toc15892"/>
      <w:r>
        <w:rPr>
          <w:rFonts w:eastAsia="黑体"/>
          <w:sz w:val="24"/>
        </w:rPr>
        <w:t>4.3  管</w:t>
      </w:r>
      <w:r>
        <w:rPr>
          <w:rFonts w:hint="eastAsia" w:eastAsia="黑体"/>
          <w:sz w:val="24"/>
          <w:lang w:val="en-US" w:eastAsia="zh-CN"/>
        </w:rPr>
        <w:t xml:space="preserve"> </w:t>
      </w:r>
      <w:r>
        <w:rPr>
          <w:rFonts w:eastAsia="黑体"/>
          <w:sz w:val="24"/>
        </w:rPr>
        <w:t>幕</w:t>
      </w:r>
      <w:r>
        <w:rPr>
          <w:rFonts w:hint="eastAsia" w:eastAsia="黑体"/>
          <w:sz w:val="24"/>
          <w:lang w:val="en-US" w:eastAsia="zh-CN"/>
        </w:rPr>
        <w:t xml:space="preserve"> </w:t>
      </w:r>
      <w:r>
        <w:rPr>
          <w:rFonts w:eastAsia="黑体"/>
          <w:sz w:val="24"/>
        </w:rPr>
        <w:t>材</w:t>
      </w:r>
      <w:r>
        <w:rPr>
          <w:rFonts w:hint="eastAsia" w:eastAsia="黑体"/>
          <w:sz w:val="24"/>
          <w:lang w:val="en-US" w:eastAsia="zh-CN"/>
        </w:rPr>
        <w:t xml:space="preserve"> </w:t>
      </w:r>
      <w:r>
        <w:rPr>
          <w:rFonts w:eastAsia="黑体"/>
          <w:sz w:val="24"/>
        </w:rPr>
        <w:t>料</w:t>
      </w:r>
      <w:bookmarkEnd w:id="26"/>
      <w:bookmarkEnd w:id="27"/>
    </w:p>
    <w:p>
      <w:pPr>
        <w:autoSpaceDE w:val="0"/>
        <w:autoSpaceDN w:val="0"/>
        <w:adjustRightInd w:val="0"/>
        <w:spacing w:line="360" w:lineRule="auto"/>
        <w:jc w:val="left"/>
        <w:rPr>
          <w:b/>
          <w:bCs/>
          <w:sz w:val="24"/>
        </w:rPr>
      </w:pPr>
      <w:r>
        <w:rPr>
          <w:b/>
          <w:bCs/>
          <w:sz w:val="24"/>
        </w:rPr>
        <w:t xml:space="preserve">4.3.1 </w:t>
      </w:r>
      <w:r>
        <w:rPr>
          <w:kern w:val="0"/>
          <w:sz w:val="24"/>
        </w:rPr>
        <w:t>工程材料应根据结构类型、受力条件、使用要求和所处环境等选用，并应满足可靠性、耐久性和经济性要求。</w:t>
      </w:r>
    </w:p>
    <w:p>
      <w:pPr>
        <w:spacing w:line="360" w:lineRule="auto"/>
        <w:rPr>
          <w:sz w:val="24"/>
        </w:rPr>
      </w:pPr>
      <w:r>
        <w:rPr>
          <w:b/>
          <w:bCs/>
          <w:sz w:val="24"/>
        </w:rPr>
        <w:t xml:space="preserve">4.3.2 </w:t>
      </w:r>
      <w:r>
        <w:rPr>
          <w:sz w:val="24"/>
        </w:rPr>
        <w:t>管幕结构</w:t>
      </w:r>
      <w:r>
        <w:rPr>
          <w:kern w:val="0"/>
          <w:sz w:val="24"/>
        </w:rPr>
        <w:t>主要受力结构宜采用</w:t>
      </w:r>
      <w:r>
        <w:rPr>
          <w:sz w:val="24"/>
        </w:rPr>
        <w:t>钢材。</w:t>
      </w:r>
    </w:p>
    <w:p>
      <w:pPr>
        <w:spacing w:line="360" w:lineRule="auto"/>
        <w:rPr>
          <w:sz w:val="24"/>
        </w:rPr>
      </w:pPr>
      <w:r>
        <w:rPr>
          <w:b/>
          <w:bCs/>
          <w:sz w:val="24"/>
        </w:rPr>
        <w:t xml:space="preserve">4.3.3 </w:t>
      </w:r>
      <w:r>
        <w:rPr>
          <w:sz w:val="24"/>
        </w:rPr>
        <w:t>钢管钢材宜选用Q235B或Q355B。</w:t>
      </w:r>
    </w:p>
    <w:p>
      <w:pPr>
        <w:spacing w:line="440" w:lineRule="exact"/>
        <w:rPr>
          <w:sz w:val="24"/>
        </w:rPr>
      </w:pPr>
      <w:r>
        <w:rPr>
          <w:b/>
          <w:bCs/>
          <w:sz w:val="24"/>
        </w:rPr>
        <w:t xml:space="preserve">4.3.4 </w:t>
      </w:r>
      <w:r>
        <w:rPr>
          <w:sz w:val="24"/>
        </w:rPr>
        <w:t>钢管钢材的规格和性能应符合现行国家标准</w:t>
      </w:r>
      <w:bookmarkStart w:id="28" w:name="_Hlk103456708"/>
      <w:r>
        <w:rPr>
          <w:sz w:val="24"/>
        </w:rPr>
        <w:t>《碳素结构钢》GB/T700</w:t>
      </w:r>
      <w:bookmarkEnd w:id="28"/>
      <w:r>
        <w:rPr>
          <w:sz w:val="24"/>
        </w:rPr>
        <w:t>的规定。</w:t>
      </w:r>
    </w:p>
    <w:p>
      <w:pPr>
        <w:spacing w:line="440" w:lineRule="exact"/>
        <w:rPr>
          <w:sz w:val="24"/>
        </w:rPr>
      </w:pPr>
      <w:r>
        <w:rPr>
          <w:b/>
          <w:bCs/>
          <w:sz w:val="24"/>
        </w:rPr>
        <w:t>4.3.</w:t>
      </w:r>
      <w:r>
        <w:rPr>
          <w:rFonts w:hint="eastAsia"/>
          <w:b/>
          <w:bCs/>
          <w:sz w:val="24"/>
        </w:rPr>
        <w:t>5</w:t>
      </w:r>
      <w:r>
        <w:rPr>
          <w:b/>
          <w:bCs/>
          <w:sz w:val="24"/>
        </w:rPr>
        <w:t xml:space="preserve"> </w:t>
      </w:r>
      <w:r>
        <w:rPr>
          <w:sz w:val="24"/>
        </w:rPr>
        <w:t>管幕结构管材应保证精确的尺寸，包括管口紧密的配合、管端垂直度、管材椭圆度等，管道轴向上应保证平直。顶管管道及其接口应有抵抗管道内、外化学腐蚀和机械损伤的能力，管道防护措施应与管道顶进过程、地层条件相适应；管道接口应具有传递轴向载荷的能力；非整体连接管道接口在保证密封性的条件下，应有一定角度的径向偏转性能。</w:t>
      </w:r>
    </w:p>
    <w:p>
      <w:pPr>
        <w:spacing w:line="440" w:lineRule="exact"/>
        <w:rPr>
          <w:sz w:val="24"/>
        </w:rPr>
      </w:pPr>
      <w:r>
        <w:rPr>
          <w:b/>
          <w:bCs/>
          <w:sz w:val="24"/>
        </w:rPr>
        <w:t xml:space="preserve">4.3.6 </w:t>
      </w:r>
      <w:r>
        <w:rPr>
          <w:sz w:val="24"/>
        </w:rPr>
        <w:t>管幕结构管材应保证精确的尺寸，并应符合下列规定</w:t>
      </w:r>
      <w:r>
        <w:rPr>
          <w:rFonts w:hint="eastAsia"/>
          <w:sz w:val="24"/>
        </w:rPr>
        <w:t>：</w:t>
      </w:r>
    </w:p>
    <w:p>
      <w:pPr>
        <w:spacing w:line="440" w:lineRule="exact"/>
        <w:ind w:firstLine="360" w:firstLineChars="150"/>
        <w:rPr>
          <w:sz w:val="24"/>
        </w:rPr>
      </w:pPr>
      <w:r>
        <w:rPr>
          <w:rFonts w:hint="eastAsia"/>
          <w:sz w:val="24"/>
        </w:rPr>
        <w:t xml:space="preserve">1 </w:t>
      </w:r>
      <w:r>
        <w:rPr>
          <w:sz w:val="24"/>
        </w:rPr>
        <w:t>管口紧密的配合、管端垂直度、管材椭圆度应</w:t>
      </w:r>
      <w:r>
        <w:rPr>
          <w:rFonts w:hint="eastAsia"/>
          <w:sz w:val="24"/>
        </w:rPr>
        <w:t>符合相应</w:t>
      </w:r>
      <w:r>
        <w:rPr>
          <w:sz w:val="24"/>
        </w:rPr>
        <w:t>规范要求</w:t>
      </w:r>
      <w:r>
        <w:rPr>
          <w:rFonts w:hint="eastAsia"/>
          <w:sz w:val="24"/>
        </w:rPr>
        <w:t>；</w:t>
      </w:r>
    </w:p>
    <w:p>
      <w:pPr>
        <w:spacing w:line="440" w:lineRule="exact"/>
        <w:ind w:firstLine="360" w:firstLineChars="150"/>
        <w:rPr>
          <w:sz w:val="24"/>
        </w:rPr>
      </w:pPr>
      <w:r>
        <w:rPr>
          <w:rFonts w:hint="eastAsia"/>
          <w:sz w:val="24"/>
        </w:rPr>
        <w:t xml:space="preserve">2 </w:t>
      </w:r>
      <w:r>
        <w:rPr>
          <w:sz w:val="24"/>
        </w:rPr>
        <w:t>管道轴向上应保证平直</w:t>
      </w:r>
      <w:r>
        <w:rPr>
          <w:rFonts w:hint="eastAsia"/>
          <w:sz w:val="24"/>
        </w:rPr>
        <w:t>；</w:t>
      </w:r>
    </w:p>
    <w:p>
      <w:pPr>
        <w:spacing w:line="440" w:lineRule="exact"/>
        <w:ind w:firstLine="360" w:firstLineChars="150"/>
        <w:rPr>
          <w:sz w:val="24"/>
        </w:rPr>
      </w:pPr>
      <w:r>
        <w:rPr>
          <w:rFonts w:hint="eastAsia"/>
          <w:sz w:val="24"/>
        </w:rPr>
        <w:t>3</w:t>
      </w:r>
      <w:r>
        <w:rPr>
          <w:sz w:val="24"/>
        </w:rPr>
        <w:t>顶管管道及其接口应有抵抗管道内、外化学腐蚀和机械损伤的能力，管道防护措施应与管道顶进过程、地层条件相适应；</w:t>
      </w:r>
    </w:p>
    <w:p>
      <w:pPr>
        <w:spacing w:line="440" w:lineRule="exact"/>
        <w:ind w:firstLine="360" w:firstLineChars="150"/>
        <w:rPr>
          <w:sz w:val="24"/>
        </w:rPr>
      </w:pPr>
      <w:r>
        <w:rPr>
          <w:rFonts w:hint="eastAsia"/>
          <w:sz w:val="24"/>
        </w:rPr>
        <w:t xml:space="preserve">4 </w:t>
      </w:r>
      <w:r>
        <w:rPr>
          <w:sz w:val="24"/>
        </w:rPr>
        <w:t>管道接口应具有传递轴向载荷的能力；</w:t>
      </w:r>
    </w:p>
    <w:p>
      <w:pPr>
        <w:spacing w:line="440" w:lineRule="exact"/>
        <w:ind w:firstLine="360" w:firstLineChars="150"/>
        <w:rPr>
          <w:sz w:val="24"/>
        </w:rPr>
      </w:pPr>
      <w:r>
        <w:rPr>
          <w:rFonts w:hint="eastAsia"/>
          <w:sz w:val="24"/>
        </w:rPr>
        <w:t>5</w:t>
      </w:r>
      <w:r>
        <w:rPr>
          <w:sz w:val="24"/>
        </w:rPr>
        <w:t>非整体连接管道接口在保证密封性的条件下，应具有一定角度的径向偏转性能。</w:t>
      </w:r>
    </w:p>
    <w:p>
      <w:pPr>
        <w:spacing w:line="440" w:lineRule="exact"/>
        <w:rPr>
          <w:sz w:val="24"/>
        </w:rPr>
      </w:pPr>
      <w:r>
        <w:rPr>
          <w:b/>
          <w:bCs/>
          <w:sz w:val="24"/>
        </w:rPr>
        <w:t xml:space="preserve">4.3.7  </w:t>
      </w:r>
      <w:r>
        <w:rPr>
          <w:sz w:val="24"/>
        </w:rPr>
        <w:t>卷制钢管焊缝应</w:t>
      </w:r>
      <w:r>
        <w:rPr>
          <w:rFonts w:hint="eastAsia"/>
          <w:sz w:val="24"/>
        </w:rPr>
        <w:t>符合下列规定：</w:t>
      </w:r>
    </w:p>
    <w:p>
      <w:pPr>
        <w:pStyle w:val="2"/>
        <w:spacing w:after="0" w:line="440" w:lineRule="exact"/>
        <w:ind w:left="0" w:leftChars="0" w:firstLine="361" w:firstLineChars="150"/>
        <w:rPr>
          <w:sz w:val="24"/>
        </w:rPr>
      </w:pPr>
      <w:r>
        <w:rPr>
          <w:b/>
          <w:bCs/>
          <w:sz w:val="24"/>
        </w:rPr>
        <w:t xml:space="preserve">1  </w:t>
      </w:r>
      <w:r>
        <w:rPr>
          <w:sz w:val="24"/>
        </w:rPr>
        <w:t>卷制钢管同一横断面内宜采用一条纵向焊缝。若采用两条纵向焊缝，则大直径管纵向焊缝间距应大于300mm，小直径管纵向焊缝间距应大于100mm；</w:t>
      </w:r>
    </w:p>
    <w:p>
      <w:pPr>
        <w:pStyle w:val="2"/>
        <w:spacing w:after="0" w:line="440" w:lineRule="exact"/>
        <w:ind w:left="0" w:leftChars="0" w:firstLine="361" w:firstLineChars="150"/>
        <w:rPr>
          <w:sz w:val="24"/>
        </w:rPr>
      </w:pPr>
      <w:r>
        <w:rPr>
          <w:b/>
          <w:bCs/>
          <w:sz w:val="24"/>
        </w:rPr>
        <w:t xml:space="preserve">2  </w:t>
      </w:r>
      <w:r>
        <w:rPr>
          <w:sz w:val="24"/>
        </w:rPr>
        <w:t>卷制钢管对接时，管口对接应平整，当采用300mm的直尺在接口外纵向贴靠检查时，相邻管壁的错位允许偏差为0.2倍壁厚，且不大于2mm；</w:t>
      </w:r>
    </w:p>
    <w:p>
      <w:pPr>
        <w:pStyle w:val="2"/>
        <w:spacing w:after="0" w:line="440" w:lineRule="exact"/>
        <w:ind w:left="0" w:leftChars="0" w:firstLine="361" w:firstLineChars="150"/>
        <w:rPr>
          <w:sz w:val="24"/>
        </w:rPr>
      </w:pPr>
      <w:r>
        <w:rPr>
          <w:b/>
          <w:bCs/>
          <w:sz w:val="24"/>
        </w:rPr>
        <w:t xml:space="preserve">3  </w:t>
      </w:r>
      <w:r>
        <w:rPr>
          <w:sz w:val="24"/>
        </w:rPr>
        <w:t>卷制钢管对接时，相邻管段的纵向焊缝位置错开距离应大于300mm；</w:t>
      </w:r>
    </w:p>
    <w:p>
      <w:pPr>
        <w:pStyle w:val="2"/>
        <w:spacing w:after="0" w:line="440" w:lineRule="exact"/>
        <w:ind w:left="0" w:leftChars="0" w:firstLine="361" w:firstLineChars="150"/>
        <w:rPr>
          <w:sz w:val="24"/>
        </w:rPr>
      </w:pPr>
      <w:r>
        <w:rPr>
          <w:b/>
          <w:bCs/>
          <w:sz w:val="24"/>
        </w:rPr>
        <w:t xml:space="preserve">4  </w:t>
      </w:r>
      <w:r>
        <w:rPr>
          <w:sz w:val="24"/>
        </w:rPr>
        <w:t>对口焊接时，小直径管道焊缝宜采用“V”形坡口，大直径管道宜采用“K”形坡口，同顶铁的接触面均应为平端。</w:t>
      </w:r>
    </w:p>
    <w:p>
      <w:pPr>
        <w:spacing w:line="440" w:lineRule="exact"/>
        <w:rPr>
          <w:sz w:val="24"/>
        </w:rPr>
      </w:pPr>
      <w:r>
        <w:rPr>
          <w:b/>
          <w:bCs/>
          <w:sz w:val="24"/>
        </w:rPr>
        <w:t xml:space="preserve">4.3.8 </w:t>
      </w:r>
      <w:r>
        <w:rPr>
          <w:sz w:val="24"/>
        </w:rPr>
        <w:t>用于钢管的焊接材料应符合下列要求:</w:t>
      </w:r>
    </w:p>
    <w:p>
      <w:pPr>
        <w:pStyle w:val="2"/>
        <w:spacing w:after="0" w:line="440" w:lineRule="exact"/>
        <w:ind w:left="0" w:leftChars="0" w:firstLine="361" w:firstLineChars="150"/>
        <w:rPr>
          <w:sz w:val="24"/>
        </w:rPr>
      </w:pPr>
      <w:r>
        <w:rPr>
          <w:b/>
          <w:bCs/>
          <w:sz w:val="24"/>
        </w:rPr>
        <w:t>1</w:t>
      </w:r>
      <w:r>
        <w:rPr>
          <w:sz w:val="24"/>
        </w:rPr>
        <w:t>手工焊接用的焊条，应符合现行国家标准《碳钢焊条》GB/T5117或《低合金钢焊条</w:t>
      </w:r>
      <w:bookmarkStart w:id="29" w:name="_Hlk103456757"/>
      <w:r>
        <w:rPr>
          <w:sz w:val="24"/>
        </w:rPr>
        <w:t>》</w:t>
      </w:r>
      <w:bookmarkEnd w:id="29"/>
      <w:r>
        <w:rPr>
          <w:sz w:val="24"/>
        </w:rPr>
        <w:t>GB/T 5118的规定</w:t>
      </w:r>
      <w:r>
        <w:rPr>
          <w:rFonts w:hint="eastAsia"/>
          <w:sz w:val="24"/>
        </w:rPr>
        <w:t>，</w:t>
      </w:r>
      <w:r>
        <w:rPr>
          <w:sz w:val="24"/>
        </w:rPr>
        <w:t>选择的焊条型号应与被焊钢材的力学性能适应</w:t>
      </w:r>
      <w:r>
        <w:rPr>
          <w:rFonts w:hint="eastAsia"/>
          <w:sz w:val="24"/>
        </w:rPr>
        <w:t>；</w:t>
      </w:r>
    </w:p>
    <w:p>
      <w:pPr>
        <w:pStyle w:val="2"/>
        <w:spacing w:after="0" w:line="440" w:lineRule="exact"/>
        <w:ind w:left="0" w:leftChars="0" w:firstLine="361" w:firstLineChars="150"/>
        <w:rPr>
          <w:sz w:val="24"/>
        </w:rPr>
      </w:pPr>
      <w:r>
        <w:rPr>
          <w:b/>
          <w:bCs/>
          <w:sz w:val="24"/>
        </w:rPr>
        <w:t xml:space="preserve">2 </w:t>
      </w:r>
      <w:r>
        <w:rPr>
          <w:sz w:val="24"/>
        </w:rPr>
        <w:t>自动或半自动焊接用的焊丝和焊剂应与被焊钢材相适应，并应符合现行有关标准的规定</w:t>
      </w:r>
      <w:r>
        <w:rPr>
          <w:rFonts w:hint="eastAsia"/>
          <w:sz w:val="24"/>
        </w:rPr>
        <w:t>；</w:t>
      </w:r>
    </w:p>
    <w:p>
      <w:pPr>
        <w:pStyle w:val="2"/>
        <w:spacing w:after="0" w:line="440" w:lineRule="exact"/>
        <w:ind w:left="0" w:leftChars="0" w:firstLine="361" w:firstLineChars="150"/>
        <w:rPr>
          <w:sz w:val="24"/>
        </w:rPr>
      </w:pPr>
      <w:r>
        <w:rPr>
          <w:b/>
          <w:bCs/>
          <w:sz w:val="24"/>
        </w:rPr>
        <w:t xml:space="preserve">3 </w:t>
      </w:r>
      <w:r>
        <w:rPr>
          <w:sz w:val="24"/>
        </w:rPr>
        <w:t>二氧化碳气体保护焊接用的焊丝，应符合现行国家标准《气体保护电弧焊用碳钢、低合金钢焊丝》GB/T 8110 的规定。</w:t>
      </w:r>
    </w:p>
    <w:p>
      <w:pPr>
        <w:pStyle w:val="2"/>
        <w:spacing w:after="0" w:line="440" w:lineRule="exact"/>
        <w:ind w:left="0" w:leftChars="0" w:firstLine="361" w:firstLineChars="150"/>
        <w:rPr>
          <w:sz w:val="24"/>
        </w:rPr>
      </w:pPr>
      <w:r>
        <w:rPr>
          <w:b/>
          <w:bCs/>
          <w:sz w:val="24"/>
        </w:rPr>
        <w:t xml:space="preserve">4 </w:t>
      </w:r>
      <w:r>
        <w:rPr>
          <w:sz w:val="24"/>
        </w:rPr>
        <w:t>当两种不同钢材相焊接时，宜采用与强度较低的一种钢材相适应的焊条或焊丝。</w:t>
      </w:r>
    </w:p>
    <w:p>
      <w:pPr>
        <w:spacing w:line="440" w:lineRule="exact"/>
        <w:rPr>
          <w:sz w:val="24"/>
        </w:rPr>
      </w:pPr>
      <w:r>
        <w:rPr>
          <w:b/>
          <w:bCs/>
          <w:sz w:val="24"/>
        </w:rPr>
        <w:t xml:space="preserve">4.3.9 </w:t>
      </w:r>
      <w:r>
        <w:rPr>
          <w:sz w:val="24"/>
        </w:rPr>
        <w:t>焊缝的强度设计值应</w:t>
      </w:r>
      <w:r>
        <w:rPr>
          <w:rFonts w:hint="eastAsia"/>
          <w:sz w:val="24"/>
        </w:rPr>
        <w:t>符合</w:t>
      </w:r>
      <w:r>
        <w:rPr>
          <w:sz w:val="24"/>
        </w:rPr>
        <w:t>现行国家标准《钢结构设计</w:t>
      </w:r>
      <w:r>
        <w:rPr>
          <w:rFonts w:hint="eastAsia"/>
          <w:sz w:val="24"/>
        </w:rPr>
        <w:t>标准</w:t>
      </w:r>
      <w:r>
        <w:rPr>
          <w:sz w:val="24"/>
        </w:rPr>
        <w:t>》GB 50017</w:t>
      </w:r>
      <w:r>
        <w:rPr>
          <w:rFonts w:hint="eastAsia"/>
          <w:sz w:val="24"/>
        </w:rPr>
        <w:t>的规定</w:t>
      </w:r>
      <w:r>
        <w:rPr>
          <w:sz w:val="24"/>
        </w:rPr>
        <w:t>。</w:t>
      </w:r>
    </w:p>
    <w:p>
      <w:pPr>
        <w:spacing w:before="156" w:beforeLines="50" w:after="156" w:afterLines="50" w:line="440" w:lineRule="exact"/>
        <w:jc w:val="center"/>
        <w:outlineLvl w:val="1"/>
        <w:rPr>
          <w:rFonts w:eastAsia="黑体"/>
          <w:sz w:val="24"/>
        </w:rPr>
      </w:pPr>
      <w:bookmarkStart w:id="30" w:name="_Toc162"/>
      <w:bookmarkStart w:id="31" w:name="_Toc17407"/>
      <w:r>
        <w:rPr>
          <w:rFonts w:eastAsia="黑体"/>
          <w:sz w:val="24"/>
        </w:rPr>
        <w:t>4.4  管幕布置与连接</w:t>
      </w:r>
      <w:bookmarkEnd w:id="30"/>
      <w:bookmarkEnd w:id="31"/>
    </w:p>
    <w:p>
      <w:pPr>
        <w:spacing w:line="440" w:lineRule="exact"/>
        <w:rPr>
          <w:sz w:val="24"/>
        </w:rPr>
      </w:pPr>
      <w:r>
        <w:rPr>
          <w:b/>
          <w:bCs/>
          <w:sz w:val="24"/>
        </w:rPr>
        <w:t xml:space="preserve">4.4.1 </w:t>
      </w:r>
      <w:r>
        <w:rPr>
          <w:sz w:val="24"/>
        </w:rPr>
        <w:t>受</w:t>
      </w:r>
      <w:r>
        <w:rPr>
          <w:rFonts w:hint="eastAsia"/>
          <w:sz w:val="24"/>
        </w:rPr>
        <w:t>地下结构施工空间</w:t>
      </w:r>
      <w:r>
        <w:rPr>
          <w:sz w:val="24"/>
        </w:rPr>
        <w:t>尺寸</w:t>
      </w:r>
      <w:r>
        <w:rPr>
          <w:rFonts w:hint="eastAsia"/>
          <w:sz w:val="24"/>
        </w:rPr>
        <w:t>的</w:t>
      </w:r>
      <w:r>
        <w:rPr>
          <w:sz w:val="24"/>
        </w:rPr>
        <w:t>限制，管幕</w:t>
      </w:r>
      <w:r>
        <w:rPr>
          <w:rFonts w:hint="eastAsia"/>
          <w:sz w:val="24"/>
        </w:rPr>
        <w:t>钢管应</w:t>
      </w:r>
      <w:r>
        <w:rPr>
          <w:sz w:val="24"/>
        </w:rPr>
        <w:t>分节</w:t>
      </w:r>
      <w:r>
        <w:rPr>
          <w:rFonts w:hint="eastAsia"/>
          <w:sz w:val="24"/>
        </w:rPr>
        <w:t>设置</w:t>
      </w:r>
      <w:r>
        <w:rPr>
          <w:sz w:val="24"/>
        </w:rPr>
        <w:t>，管节之间采用焊接连接</w:t>
      </w:r>
      <w:r>
        <w:rPr>
          <w:rFonts w:hint="eastAsia"/>
          <w:sz w:val="24"/>
        </w:rPr>
        <w:t>，</w:t>
      </w:r>
      <w:r>
        <w:rPr>
          <w:sz w:val="24"/>
        </w:rPr>
        <w:t>焊缝宜采用单面对接焊V形坡口（带钝边）。</w:t>
      </w:r>
    </w:p>
    <w:p>
      <w:pPr>
        <w:spacing w:line="440" w:lineRule="exact"/>
        <w:rPr>
          <w:sz w:val="24"/>
        </w:rPr>
      </w:pPr>
      <w:r>
        <w:rPr>
          <w:b/>
          <w:bCs/>
          <w:sz w:val="24"/>
        </w:rPr>
        <w:t>4.4.</w:t>
      </w:r>
      <w:r>
        <w:rPr>
          <w:rFonts w:hint="eastAsia"/>
          <w:b/>
          <w:bCs/>
          <w:sz w:val="24"/>
        </w:rPr>
        <w:t>2</w:t>
      </w:r>
      <w:r>
        <w:rPr>
          <w:sz w:val="24"/>
        </w:rPr>
        <w:t xml:space="preserve"> 锁扣、注浆管等</w:t>
      </w:r>
      <w:r>
        <w:rPr>
          <w:rFonts w:hint="eastAsia"/>
          <w:sz w:val="24"/>
        </w:rPr>
        <w:t>钢管</w:t>
      </w:r>
      <w:r>
        <w:rPr>
          <w:sz w:val="24"/>
        </w:rPr>
        <w:t>辅助构件</w:t>
      </w:r>
      <w:r>
        <w:rPr>
          <w:rFonts w:hint="eastAsia"/>
          <w:sz w:val="24"/>
        </w:rPr>
        <w:t>应</w:t>
      </w:r>
      <w:r>
        <w:rPr>
          <w:sz w:val="24"/>
        </w:rPr>
        <w:t>与钢管同步连接。</w:t>
      </w:r>
    </w:p>
    <w:p>
      <w:pPr>
        <w:spacing w:line="440" w:lineRule="exact"/>
        <w:rPr>
          <w:sz w:val="24"/>
        </w:rPr>
      </w:pPr>
      <w:r>
        <w:rPr>
          <w:b/>
          <w:bCs/>
          <w:sz w:val="24"/>
        </w:rPr>
        <w:t>4.4.</w:t>
      </w:r>
      <w:r>
        <w:rPr>
          <w:rFonts w:hint="eastAsia"/>
          <w:b/>
          <w:bCs/>
          <w:sz w:val="24"/>
        </w:rPr>
        <w:t>3</w:t>
      </w:r>
      <w:r>
        <w:rPr>
          <w:sz w:val="24"/>
        </w:rPr>
        <w:t xml:space="preserve"> 管幕</w:t>
      </w:r>
      <w:r>
        <w:rPr>
          <w:rFonts w:hint="eastAsia"/>
          <w:sz w:val="24"/>
        </w:rPr>
        <w:t>钢管</w:t>
      </w:r>
      <w:r>
        <w:rPr>
          <w:sz w:val="24"/>
        </w:rPr>
        <w:t>连接应</w:t>
      </w:r>
      <w:r>
        <w:rPr>
          <w:rFonts w:hint="eastAsia"/>
          <w:sz w:val="24"/>
        </w:rPr>
        <w:t>符合下列规定</w:t>
      </w:r>
      <w:r>
        <w:rPr>
          <w:sz w:val="24"/>
        </w:rPr>
        <w:t>：</w:t>
      </w:r>
    </w:p>
    <w:p>
      <w:pPr>
        <w:spacing w:line="440" w:lineRule="exact"/>
        <w:ind w:firstLine="361" w:firstLineChars="150"/>
        <w:rPr>
          <w:sz w:val="24"/>
        </w:rPr>
      </w:pPr>
      <w:r>
        <w:rPr>
          <w:b/>
          <w:bCs/>
          <w:sz w:val="24"/>
        </w:rPr>
        <w:t xml:space="preserve">1 </w:t>
      </w:r>
      <w:r>
        <w:rPr>
          <w:sz w:val="24"/>
        </w:rPr>
        <w:t xml:space="preserve"> 钢管连接坡口</w:t>
      </w:r>
      <w:r>
        <w:rPr>
          <w:rFonts w:hint="eastAsia"/>
          <w:sz w:val="24"/>
        </w:rPr>
        <w:t>宜</w:t>
      </w:r>
      <w:r>
        <w:rPr>
          <w:sz w:val="24"/>
        </w:rPr>
        <w:t>在工厂车床精准加工，保证坡口质量</w:t>
      </w:r>
      <w:r>
        <w:rPr>
          <w:rFonts w:hint="eastAsia"/>
          <w:sz w:val="24"/>
        </w:rPr>
        <w:t>；</w:t>
      </w:r>
    </w:p>
    <w:p>
      <w:pPr>
        <w:spacing w:line="440" w:lineRule="exact"/>
        <w:ind w:firstLine="361" w:firstLineChars="150"/>
        <w:rPr>
          <w:sz w:val="24"/>
        </w:rPr>
      </w:pPr>
      <w:r>
        <w:rPr>
          <w:rFonts w:hint="eastAsia"/>
          <w:b/>
          <w:bCs/>
          <w:sz w:val="24"/>
        </w:rPr>
        <w:t>2</w:t>
      </w:r>
      <w:r>
        <w:rPr>
          <w:sz w:val="24"/>
        </w:rPr>
        <w:t xml:space="preserve">  顶进后的管节端部外露不</w:t>
      </w:r>
      <w:r>
        <w:rPr>
          <w:rFonts w:hint="eastAsia"/>
          <w:sz w:val="24"/>
        </w:rPr>
        <w:t>应宜</w:t>
      </w:r>
      <w:r>
        <w:rPr>
          <w:sz w:val="24"/>
        </w:rPr>
        <w:t>小于0.3m</w:t>
      </w:r>
      <w:r>
        <w:rPr>
          <w:rFonts w:hint="eastAsia"/>
          <w:sz w:val="24"/>
        </w:rPr>
        <w:t>。</w:t>
      </w:r>
    </w:p>
    <w:p>
      <w:pPr>
        <w:spacing w:line="440" w:lineRule="exact"/>
        <w:ind w:firstLine="361" w:firstLineChars="150"/>
        <w:rPr>
          <w:sz w:val="24"/>
        </w:rPr>
      </w:pPr>
      <w:r>
        <w:rPr>
          <w:rFonts w:hint="eastAsia"/>
          <w:b/>
          <w:bCs/>
          <w:sz w:val="24"/>
        </w:rPr>
        <w:t>3</w:t>
      </w:r>
      <w:r>
        <w:rPr>
          <w:sz w:val="24"/>
        </w:rPr>
        <w:t xml:space="preserve">  管节之间</w:t>
      </w:r>
      <w:r>
        <w:rPr>
          <w:rFonts w:hint="eastAsia"/>
          <w:sz w:val="24"/>
        </w:rPr>
        <w:t>应</w:t>
      </w:r>
      <w:r>
        <w:rPr>
          <w:sz w:val="24"/>
        </w:rPr>
        <w:t>采用等强焊接连接</w:t>
      </w:r>
      <w:r>
        <w:rPr>
          <w:rFonts w:hint="eastAsia"/>
          <w:sz w:val="24"/>
        </w:rPr>
        <w:t>，</w:t>
      </w:r>
      <w:r>
        <w:rPr>
          <w:sz w:val="24"/>
        </w:rPr>
        <w:t>且相邻管幕钢管焊缝</w:t>
      </w:r>
      <w:r>
        <w:rPr>
          <w:rFonts w:hint="eastAsia"/>
          <w:sz w:val="24"/>
        </w:rPr>
        <w:t>宜</w:t>
      </w:r>
      <w:r>
        <w:rPr>
          <w:sz w:val="24"/>
        </w:rPr>
        <w:t>错开1.0m以上布置。</w:t>
      </w:r>
    </w:p>
    <w:p>
      <w:pPr>
        <w:spacing w:before="156" w:beforeLines="50" w:after="156" w:afterLines="50" w:line="440" w:lineRule="exact"/>
        <w:jc w:val="center"/>
        <w:outlineLvl w:val="1"/>
        <w:rPr>
          <w:rFonts w:eastAsia="黑体"/>
          <w:sz w:val="24"/>
        </w:rPr>
      </w:pPr>
      <w:bookmarkStart w:id="32" w:name="_Toc875"/>
      <w:bookmarkStart w:id="33" w:name="_Toc306"/>
      <w:bookmarkStart w:id="34" w:name="_Hlk103459335"/>
      <w:r>
        <w:rPr>
          <w:rFonts w:eastAsia="黑体"/>
          <w:sz w:val="24"/>
        </w:rPr>
        <w:t>4.5  管</w:t>
      </w:r>
      <w:bookmarkStart w:id="302" w:name="_GoBack"/>
      <w:bookmarkEnd w:id="302"/>
      <w:r>
        <w:rPr>
          <w:rFonts w:eastAsia="黑体"/>
          <w:sz w:val="24"/>
        </w:rPr>
        <w:t>内骨架与填充</w:t>
      </w:r>
      <w:bookmarkEnd w:id="32"/>
      <w:bookmarkEnd w:id="33"/>
    </w:p>
    <w:p>
      <w:pPr>
        <w:spacing w:line="440" w:lineRule="exact"/>
        <w:rPr>
          <w:b/>
          <w:bCs/>
          <w:sz w:val="24"/>
        </w:rPr>
      </w:pPr>
      <w:r>
        <w:rPr>
          <w:b/>
          <w:bCs/>
          <w:sz w:val="24"/>
        </w:rPr>
        <w:t xml:space="preserve">4.5.1 </w:t>
      </w:r>
      <w:r>
        <w:rPr>
          <w:rFonts w:hint="eastAsia"/>
          <w:sz w:val="24"/>
        </w:rPr>
        <w:t>应根据</w:t>
      </w:r>
      <w:r>
        <w:rPr>
          <w:sz w:val="24"/>
        </w:rPr>
        <w:t>工程使用、受力和抵抗变形的要求，设置钢管内骨架</w:t>
      </w:r>
      <w:r>
        <w:rPr>
          <w:rFonts w:hint="eastAsia"/>
          <w:sz w:val="24"/>
        </w:rPr>
        <w:t>及</w:t>
      </w:r>
      <w:r>
        <w:rPr>
          <w:sz w:val="24"/>
        </w:rPr>
        <w:t>填充物。</w:t>
      </w:r>
    </w:p>
    <w:p>
      <w:pPr>
        <w:spacing w:line="440" w:lineRule="exact"/>
        <w:rPr>
          <w:sz w:val="24"/>
        </w:rPr>
      </w:pPr>
      <w:r>
        <w:rPr>
          <w:b/>
          <w:bCs/>
          <w:sz w:val="24"/>
        </w:rPr>
        <w:t xml:space="preserve">4.5.2 </w:t>
      </w:r>
      <w:r>
        <w:rPr>
          <w:sz w:val="24"/>
        </w:rPr>
        <w:t>管幕内骨架宜采用钢筋笼或内插型钢二种方法。</w:t>
      </w:r>
    </w:p>
    <w:p>
      <w:pPr>
        <w:spacing w:line="440" w:lineRule="exact"/>
        <w:rPr>
          <w:sz w:val="24"/>
        </w:rPr>
      </w:pPr>
      <w:r>
        <w:rPr>
          <w:b/>
          <w:bCs/>
          <w:sz w:val="24"/>
        </w:rPr>
        <w:t xml:space="preserve">4.5.3 </w:t>
      </w:r>
      <w:r>
        <w:rPr>
          <w:sz w:val="24"/>
        </w:rPr>
        <w:t>管幕内填充宜采用水泥浆、水泥砂浆、混凝土等方法。</w:t>
      </w:r>
    </w:p>
    <w:bookmarkEnd w:id="34"/>
    <w:p>
      <w:pPr>
        <w:spacing w:before="156" w:beforeLines="50" w:after="156" w:afterLines="50" w:line="440" w:lineRule="exact"/>
        <w:jc w:val="center"/>
        <w:outlineLvl w:val="1"/>
        <w:rPr>
          <w:rFonts w:eastAsia="黑体"/>
          <w:sz w:val="24"/>
        </w:rPr>
      </w:pPr>
      <w:bookmarkStart w:id="35" w:name="_Toc1448"/>
      <w:bookmarkStart w:id="36" w:name="_Toc10852"/>
      <w:r>
        <w:rPr>
          <w:rFonts w:eastAsia="黑体"/>
          <w:sz w:val="24"/>
        </w:rPr>
        <w:t>4.6  工作井</w:t>
      </w:r>
      <w:r>
        <w:rPr>
          <w:rFonts w:hint="eastAsia" w:eastAsia="黑体"/>
          <w:sz w:val="24"/>
        </w:rPr>
        <w:t>或</w:t>
      </w:r>
      <w:r>
        <w:rPr>
          <w:rFonts w:eastAsia="黑体"/>
          <w:sz w:val="24"/>
        </w:rPr>
        <w:t>洞室设计</w:t>
      </w:r>
      <w:bookmarkEnd w:id="35"/>
      <w:bookmarkEnd w:id="36"/>
    </w:p>
    <w:p>
      <w:pPr>
        <w:spacing w:line="440" w:lineRule="exact"/>
        <w:rPr>
          <w:sz w:val="24"/>
        </w:rPr>
      </w:pPr>
      <w:r>
        <w:rPr>
          <w:b/>
          <w:bCs/>
          <w:sz w:val="24"/>
        </w:rPr>
        <w:t>4.6.1</w:t>
      </w:r>
      <w:r>
        <w:rPr>
          <w:sz w:val="24"/>
        </w:rPr>
        <w:t>管幕工作井</w:t>
      </w:r>
      <w:r>
        <w:rPr>
          <w:rFonts w:hint="eastAsia"/>
          <w:sz w:val="24"/>
        </w:rPr>
        <w:t>或</w:t>
      </w:r>
      <w:r>
        <w:rPr>
          <w:sz w:val="24"/>
        </w:rPr>
        <w:t>洞室设计应遵循以下原则：</w:t>
      </w:r>
    </w:p>
    <w:p>
      <w:pPr>
        <w:pStyle w:val="2"/>
        <w:spacing w:after="0" w:line="440" w:lineRule="exact"/>
        <w:ind w:left="0" w:leftChars="0" w:firstLine="361" w:firstLineChars="150"/>
        <w:rPr>
          <w:sz w:val="24"/>
        </w:rPr>
      </w:pPr>
      <w:r>
        <w:rPr>
          <w:b/>
          <w:bCs/>
          <w:sz w:val="24"/>
        </w:rPr>
        <w:t xml:space="preserve">1 </w:t>
      </w:r>
      <w:r>
        <w:rPr>
          <w:rFonts w:hint="eastAsia"/>
          <w:sz w:val="24"/>
        </w:rPr>
        <w:t>应</w:t>
      </w:r>
      <w:r>
        <w:rPr>
          <w:sz w:val="24"/>
        </w:rPr>
        <w:t>充分利用工程既</w:t>
      </w:r>
      <w:r>
        <w:rPr>
          <w:rFonts w:hint="eastAsia"/>
          <w:sz w:val="24"/>
        </w:rPr>
        <w:t>有</w:t>
      </w:r>
      <w:r>
        <w:rPr>
          <w:sz w:val="24"/>
        </w:rPr>
        <w:t>空间作为工作井</w:t>
      </w:r>
      <w:r>
        <w:rPr>
          <w:rFonts w:hint="eastAsia"/>
          <w:sz w:val="24"/>
        </w:rPr>
        <w:t>或</w:t>
      </w:r>
      <w:r>
        <w:rPr>
          <w:sz w:val="24"/>
        </w:rPr>
        <w:t>洞室；</w:t>
      </w:r>
    </w:p>
    <w:p>
      <w:pPr>
        <w:pStyle w:val="2"/>
        <w:spacing w:after="0" w:line="440" w:lineRule="exact"/>
        <w:ind w:left="0" w:leftChars="0" w:firstLine="361" w:firstLineChars="150"/>
        <w:rPr>
          <w:sz w:val="24"/>
        </w:rPr>
      </w:pPr>
      <w:r>
        <w:rPr>
          <w:b/>
          <w:bCs/>
          <w:sz w:val="24"/>
        </w:rPr>
        <w:t xml:space="preserve">2 </w:t>
      </w:r>
      <w:r>
        <w:rPr>
          <w:sz w:val="24"/>
        </w:rPr>
        <w:t>工作井</w:t>
      </w:r>
      <w:r>
        <w:rPr>
          <w:rFonts w:hint="eastAsia"/>
          <w:sz w:val="24"/>
        </w:rPr>
        <w:t>或</w:t>
      </w:r>
      <w:r>
        <w:rPr>
          <w:sz w:val="24"/>
        </w:rPr>
        <w:t>洞室</w:t>
      </w:r>
      <w:r>
        <w:rPr>
          <w:rFonts w:hint="eastAsia"/>
          <w:sz w:val="24"/>
        </w:rPr>
        <w:t>位置应</w:t>
      </w:r>
      <w:r>
        <w:rPr>
          <w:sz w:val="24"/>
        </w:rPr>
        <w:t>便于排水、出土和运输；</w:t>
      </w:r>
    </w:p>
    <w:p>
      <w:pPr>
        <w:pStyle w:val="2"/>
        <w:spacing w:after="0" w:line="440" w:lineRule="exact"/>
        <w:ind w:left="0" w:leftChars="0" w:firstLine="361" w:firstLineChars="150"/>
        <w:rPr>
          <w:sz w:val="24"/>
        </w:rPr>
      </w:pPr>
      <w:r>
        <w:rPr>
          <w:b/>
          <w:bCs/>
          <w:sz w:val="24"/>
        </w:rPr>
        <w:t xml:space="preserve">3 </w:t>
      </w:r>
      <w:r>
        <w:rPr>
          <w:rFonts w:hint="eastAsia"/>
          <w:sz w:val="24"/>
        </w:rPr>
        <w:t>应选择</w:t>
      </w:r>
      <w:r>
        <w:rPr>
          <w:sz w:val="24"/>
        </w:rPr>
        <w:t>对周围建（构）筑物的影响小的位置设置；</w:t>
      </w:r>
    </w:p>
    <w:p>
      <w:pPr>
        <w:pStyle w:val="2"/>
        <w:spacing w:after="0" w:line="440" w:lineRule="exact"/>
        <w:ind w:left="0" w:leftChars="0" w:firstLine="361" w:firstLineChars="150"/>
        <w:rPr>
          <w:sz w:val="24"/>
        </w:rPr>
      </w:pPr>
      <w:r>
        <w:rPr>
          <w:b/>
          <w:bCs/>
          <w:sz w:val="24"/>
        </w:rPr>
        <w:t xml:space="preserve">4 </w:t>
      </w:r>
      <w:r>
        <w:rPr>
          <w:rFonts w:hint="eastAsia"/>
          <w:sz w:val="24"/>
        </w:rPr>
        <w:t>应</w:t>
      </w:r>
      <w:r>
        <w:rPr>
          <w:sz w:val="24"/>
        </w:rPr>
        <w:t>避开房屋、地下管线、池塘、架空电线等不利于顶管施工的场地；</w:t>
      </w:r>
    </w:p>
    <w:p>
      <w:pPr>
        <w:pStyle w:val="2"/>
        <w:spacing w:after="0" w:line="440" w:lineRule="exact"/>
        <w:ind w:left="0" w:leftChars="0" w:firstLine="361" w:firstLineChars="150"/>
        <w:rPr>
          <w:sz w:val="24"/>
        </w:rPr>
      </w:pPr>
      <w:r>
        <w:rPr>
          <w:b/>
          <w:bCs/>
          <w:sz w:val="24"/>
        </w:rPr>
        <w:t xml:space="preserve">5 </w:t>
      </w:r>
      <w:r>
        <w:rPr>
          <w:sz w:val="24"/>
        </w:rPr>
        <w:t>多排顶进或多向顶进时，宜尽可能利用</w:t>
      </w:r>
      <w:r>
        <w:rPr>
          <w:rFonts w:hint="eastAsia"/>
          <w:sz w:val="24"/>
        </w:rPr>
        <w:t>同</w:t>
      </w:r>
      <w:r>
        <w:rPr>
          <w:sz w:val="24"/>
        </w:rPr>
        <w:t>一个工作井</w:t>
      </w:r>
      <w:r>
        <w:rPr>
          <w:rFonts w:hint="eastAsia"/>
          <w:sz w:val="24"/>
        </w:rPr>
        <w:t>或</w:t>
      </w:r>
      <w:r>
        <w:rPr>
          <w:sz w:val="24"/>
        </w:rPr>
        <w:t>洞室。</w:t>
      </w:r>
    </w:p>
    <w:p>
      <w:pPr>
        <w:spacing w:line="440" w:lineRule="exact"/>
        <w:rPr>
          <w:sz w:val="24"/>
        </w:rPr>
      </w:pPr>
      <w:r>
        <w:rPr>
          <w:b/>
          <w:bCs/>
          <w:sz w:val="24"/>
        </w:rPr>
        <w:t>4.6.2</w:t>
      </w:r>
      <w:r>
        <w:rPr>
          <w:sz w:val="24"/>
        </w:rPr>
        <w:t>根据地质条件、周边环境条件、管幕结构埋深及直径、工作室的平面尺寸及埋深、经济指标及施工工期要求等因素，工作井</w:t>
      </w:r>
      <w:r>
        <w:rPr>
          <w:rFonts w:hint="eastAsia"/>
          <w:sz w:val="24"/>
        </w:rPr>
        <w:t>或</w:t>
      </w:r>
      <w:r>
        <w:rPr>
          <w:sz w:val="24"/>
        </w:rPr>
        <w:t>洞室可采用明挖槽、倒挂井壁竖井或暗挖导洞等结构形式。</w:t>
      </w:r>
    </w:p>
    <w:p>
      <w:pPr>
        <w:spacing w:line="440" w:lineRule="exact"/>
        <w:rPr>
          <w:sz w:val="24"/>
        </w:rPr>
      </w:pPr>
      <w:r>
        <w:rPr>
          <w:b/>
          <w:bCs/>
          <w:sz w:val="24"/>
        </w:rPr>
        <w:t>4.6.3</w:t>
      </w:r>
      <w:r>
        <w:rPr>
          <w:rFonts w:hint="eastAsia"/>
          <w:b/>
          <w:bCs/>
          <w:sz w:val="24"/>
        </w:rPr>
        <w:t xml:space="preserve"> </w:t>
      </w:r>
      <w:r>
        <w:rPr>
          <w:sz w:val="24"/>
        </w:rPr>
        <w:t>工作井平面形状</w:t>
      </w:r>
      <w:r>
        <w:rPr>
          <w:rFonts w:hint="eastAsia"/>
          <w:sz w:val="24"/>
        </w:rPr>
        <w:t>宜为</w:t>
      </w:r>
      <w:r>
        <w:rPr>
          <w:sz w:val="24"/>
        </w:rPr>
        <w:t>矩形、圆形、椭圆形、多边形等</w:t>
      </w:r>
      <w:r>
        <w:rPr>
          <w:rFonts w:hint="eastAsia"/>
          <w:sz w:val="24"/>
        </w:rPr>
        <w:t>。</w:t>
      </w:r>
    </w:p>
    <w:p>
      <w:pPr>
        <w:spacing w:line="440" w:lineRule="exact"/>
        <w:rPr>
          <w:sz w:val="24"/>
        </w:rPr>
      </w:pPr>
      <w:r>
        <w:rPr>
          <w:b/>
          <w:bCs/>
          <w:sz w:val="24"/>
        </w:rPr>
        <w:t xml:space="preserve">4.6.4 </w:t>
      </w:r>
      <w:r>
        <w:rPr>
          <w:rFonts w:hint="eastAsia"/>
          <w:sz w:val="24"/>
        </w:rPr>
        <w:t>工作井</w:t>
      </w:r>
      <w:r>
        <w:rPr>
          <w:sz w:val="24"/>
        </w:rPr>
        <w:t>采用明挖顺作竖井或明挖逆作竖井时，应根据井的形状、尺寸及埋深，并综合考虑场地地质条件、周边环境条件、经济指标及施工工期要求等因素合理选用支护结构</w:t>
      </w:r>
      <w:r>
        <w:rPr>
          <w:rFonts w:hint="eastAsia"/>
          <w:sz w:val="24"/>
        </w:rPr>
        <w:t>，</w:t>
      </w:r>
      <w:r>
        <w:rPr>
          <w:sz w:val="24"/>
        </w:rPr>
        <w:t>其设计</w:t>
      </w:r>
      <w:r>
        <w:rPr>
          <w:rFonts w:hint="eastAsia"/>
          <w:sz w:val="24"/>
        </w:rPr>
        <w:t>应</w:t>
      </w:r>
      <w:r>
        <w:rPr>
          <w:sz w:val="24"/>
        </w:rPr>
        <w:t>符合以下原则：</w:t>
      </w:r>
    </w:p>
    <w:p>
      <w:pPr>
        <w:pStyle w:val="2"/>
        <w:spacing w:after="0" w:line="440" w:lineRule="exact"/>
        <w:ind w:left="0" w:leftChars="0" w:firstLine="361" w:firstLineChars="150"/>
        <w:rPr>
          <w:sz w:val="24"/>
        </w:rPr>
      </w:pPr>
      <w:r>
        <w:rPr>
          <w:b/>
          <w:bCs/>
          <w:sz w:val="24"/>
        </w:rPr>
        <w:t xml:space="preserve">1 </w:t>
      </w:r>
      <w:r>
        <w:rPr>
          <w:sz w:val="24"/>
        </w:rPr>
        <w:t>支护结构宜为封闭式结构；常用的支护结构类型有：内撑式结构、悬臂式结构、土钉墙、重力式水泥土墙、放坡等；常用的竖向围护结构有：地下连续墙、灌注桩、SMW工法桩、钢板桩等；</w:t>
      </w:r>
    </w:p>
    <w:p>
      <w:pPr>
        <w:pStyle w:val="2"/>
        <w:spacing w:after="0" w:line="440" w:lineRule="exact"/>
        <w:ind w:left="0" w:leftChars="0" w:firstLine="361" w:firstLineChars="150"/>
        <w:rPr>
          <w:sz w:val="24"/>
        </w:rPr>
      </w:pPr>
      <w:r>
        <w:rPr>
          <w:b/>
          <w:bCs/>
          <w:sz w:val="24"/>
        </w:rPr>
        <w:t xml:space="preserve">2 </w:t>
      </w:r>
      <w:r>
        <w:rPr>
          <w:sz w:val="24"/>
        </w:rPr>
        <w:t>在开挖深度较大、周边建（构）筑需要保护、变形控制较为严格时，宜选用内撑式支护结构，竖向围护结构可选用灌注桩、地下连续墙、SMW工法桩，水平支撑材料可采用型钢、钢筋混凝土且多采用对撑、角撑结构形式；</w:t>
      </w:r>
    </w:p>
    <w:p>
      <w:pPr>
        <w:pStyle w:val="2"/>
        <w:spacing w:after="0" w:line="440" w:lineRule="exact"/>
        <w:ind w:left="0" w:leftChars="0" w:firstLine="361" w:firstLineChars="150"/>
        <w:rPr>
          <w:sz w:val="24"/>
        </w:rPr>
      </w:pPr>
      <w:r>
        <w:rPr>
          <w:b/>
          <w:bCs/>
          <w:sz w:val="24"/>
        </w:rPr>
        <w:t>3</w:t>
      </w:r>
      <w:r>
        <w:rPr>
          <w:sz w:val="24"/>
        </w:rPr>
        <w:t>在开挖深度较小、周边场地较开阔且变形控制不为严格时，可选用悬臂式结构、土钉墙、重力式水泥土墙、放坡等，竖向围护结构可选用灌注桩、SMW工法桩、钢板桩；</w:t>
      </w:r>
    </w:p>
    <w:p>
      <w:pPr>
        <w:pStyle w:val="2"/>
        <w:spacing w:after="0" w:line="440" w:lineRule="exact"/>
        <w:ind w:left="0" w:leftChars="0" w:firstLine="361" w:firstLineChars="150"/>
        <w:rPr>
          <w:sz w:val="24"/>
        </w:rPr>
      </w:pPr>
      <w:r>
        <w:rPr>
          <w:b/>
          <w:bCs/>
          <w:sz w:val="24"/>
        </w:rPr>
        <w:t>4</w:t>
      </w:r>
      <w:r>
        <w:rPr>
          <w:sz w:val="24"/>
        </w:rPr>
        <w:t>地下水比较丰富或存在强透水层的场地，应设置封闭式止水帷幕，或设置悬挂式止水帷幕结合井点降水；</w:t>
      </w:r>
    </w:p>
    <w:p>
      <w:pPr>
        <w:pStyle w:val="2"/>
        <w:spacing w:after="0" w:line="440" w:lineRule="exact"/>
        <w:ind w:left="0" w:leftChars="0" w:firstLine="361" w:firstLineChars="150"/>
        <w:rPr>
          <w:sz w:val="24"/>
        </w:rPr>
      </w:pPr>
      <w:r>
        <w:rPr>
          <w:b/>
          <w:bCs/>
          <w:sz w:val="24"/>
        </w:rPr>
        <w:t xml:space="preserve">5 </w:t>
      </w:r>
      <w:r>
        <w:rPr>
          <w:sz w:val="24"/>
        </w:rPr>
        <w:t>止水帷幕可采用地下连续墙、咬合灌注桩、SMW（水泥土搅拌墙）、高压旋喷桩等，坑底固化常采用水泥搅拌桩、高压旋喷桩、压密注浆等。</w:t>
      </w:r>
    </w:p>
    <w:p>
      <w:pPr>
        <w:spacing w:line="440" w:lineRule="exact"/>
        <w:rPr>
          <w:sz w:val="24"/>
        </w:rPr>
      </w:pPr>
      <w:r>
        <w:rPr>
          <w:b/>
          <w:bCs/>
          <w:sz w:val="24"/>
        </w:rPr>
        <w:t xml:space="preserve">4.6.5 </w:t>
      </w:r>
      <w:r>
        <w:rPr>
          <w:sz w:val="24"/>
        </w:rPr>
        <w:t>当地下水位较低，且井周边环境较为简单，同时竖井开挖侧向的土体具有一定自稳能力时，可采用锚杆喷射混凝土逆作法竖井结构，锚杆喷射混凝土设计</w:t>
      </w:r>
      <w:r>
        <w:rPr>
          <w:rFonts w:hint="eastAsia"/>
          <w:sz w:val="24"/>
        </w:rPr>
        <w:t>应符合现行国家标准</w:t>
      </w:r>
      <w:r>
        <w:rPr>
          <w:sz w:val="24"/>
        </w:rPr>
        <w:t>《岩土锚杆与喷射混凝土支护工程技术规范》GB 50086</w:t>
      </w:r>
      <w:r>
        <w:rPr>
          <w:rFonts w:hint="eastAsia"/>
          <w:sz w:val="24"/>
        </w:rPr>
        <w:t>的规定</w:t>
      </w:r>
      <w:r>
        <w:rPr>
          <w:sz w:val="24"/>
        </w:rPr>
        <w:t>。</w:t>
      </w:r>
    </w:p>
    <w:p>
      <w:pPr>
        <w:spacing w:line="440" w:lineRule="exact"/>
        <w:rPr>
          <w:sz w:val="24"/>
        </w:rPr>
      </w:pPr>
      <w:r>
        <w:rPr>
          <w:b/>
          <w:bCs/>
          <w:sz w:val="24"/>
        </w:rPr>
        <w:t xml:space="preserve">4.6.6 </w:t>
      </w:r>
      <w:r>
        <w:rPr>
          <w:sz w:val="24"/>
        </w:rPr>
        <w:t>当场地条件受限，或结合暗挖工程既定结构，可采用浅埋暗挖导洞作为工作室。</w:t>
      </w:r>
    </w:p>
    <w:p>
      <w:pPr>
        <w:spacing w:line="440" w:lineRule="exact"/>
        <w:rPr>
          <w:sz w:val="24"/>
        </w:rPr>
      </w:pPr>
      <w:r>
        <w:rPr>
          <w:b/>
          <w:bCs/>
          <w:sz w:val="24"/>
        </w:rPr>
        <w:t xml:space="preserve">4.6.7 </w:t>
      </w:r>
      <w:r>
        <w:rPr>
          <w:sz w:val="24"/>
        </w:rPr>
        <w:t>当管幕</w:t>
      </w:r>
      <w:r>
        <w:rPr>
          <w:rFonts w:hint="eastAsia"/>
          <w:sz w:val="24"/>
        </w:rPr>
        <w:t>钢管顶进施工</w:t>
      </w:r>
      <w:r>
        <w:rPr>
          <w:sz w:val="24"/>
        </w:rPr>
        <w:t>顶推力较大时，应设置钢筋混凝土后</w:t>
      </w:r>
      <w:r>
        <w:rPr>
          <w:rFonts w:hint="eastAsia"/>
          <w:sz w:val="24"/>
        </w:rPr>
        <w:t>背</w:t>
      </w:r>
      <w:r>
        <w:rPr>
          <w:sz w:val="24"/>
        </w:rPr>
        <w:t>墙。</w:t>
      </w:r>
    </w:p>
    <w:p>
      <w:pPr>
        <w:spacing w:line="440" w:lineRule="exact"/>
        <w:rPr>
          <w:sz w:val="24"/>
        </w:rPr>
      </w:pPr>
      <w:r>
        <w:rPr>
          <w:b/>
          <w:bCs/>
          <w:sz w:val="24"/>
        </w:rPr>
        <w:t xml:space="preserve">4.6.8 </w:t>
      </w:r>
      <w:r>
        <w:rPr>
          <w:sz w:val="24"/>
        </w:rPr>
        <w:t>当</w:t>
      </w:r>
      <w:r>
        <w:rPr>
          <w:rFonts w:hint="eastAsia"/>
          <w:sz w:val="24"/>
        </w:rPr>
        <w:t>工作</w:t>
      </w:r>
      <w:r>
        <w:rPr>
          <w:sz w:val="24"/>
        </w:rPr>
        <w:t>井的</w:t>
      </w:r>
      <w:r>
        <w:rPr>
          <w:rFonts w:hint="eastAsia"/>
          <w:sz w:val="24"/>
        </w:rPr>
        <w:t>始发</w:t>
      </w:r>
      <w:r>
        <w:rPr>
          <w:sz w:val="24"/>
        </w:rPr>
        <w:t>或接收影响范围内存在软土层且影响顶管机械设备的水平控制时，应在</w:t>
      </w:r>
      <w:r>
        <w:rPr>
          <w:rFonts w:hint="eastAsia"/>
          <w:sz w:val="24"/>
        </w:rPr>
        <w:t>始发</w:t>
      </w:r>
      <w:r>
        <w:rPr>
          <w:sz w:val="24"/>
        </w:rPr>
        <w:t>或接收位置进行土层加固。</w:t>
      </w:r>
    </w:p>
    <w:p>
      <w:pPr>
        <w:spacing w:line="440" w:lineRule="exact"/>
        <w:rPr>
          <w:sz w:val="24"/>
        </w:rPr>
      </w:pPr>
      <w:r>
        <w:rPr>
          <w:b/>
          <w:bCs/>
          <w:sz w:val="24"/>
        </w:rPr>
        <w:t xml:space="preserve">4.6.9 </w:t>
      </w:r>
      <w:r>
        <w:rPr>
          <w:sz w:val="24"/>
        </w:rPr>
        <w:t>当</w:t>
      </w:r>
      <w:r>
        <w:rPr>
          <w:rFonts w:hint="eastAsia"/>
          <w:sz w:val="24"/>
        </w:rPr>
        <w:t>工作</w:t>
      </w:r>
      <w:r>
        <w:rPr>
          <w:sz w:val="24"/>
        </w:rPr>
        <w:t>井的</w:t>
      </w:r>
      <w:r>
        <w:rPr>
          <w:rFonts w:hint="eastAsia"/>
          <w:sz w:val="24"/>
        </w:rPr>
        <w:t>始发</w:t>
      </w:r>
      <w:r>
        <w:rPr>
          <w:sz w:val="24"/>
        </w:rPr>
        <w:t>或接收影响范围内存在砂层等强透水层或顶管机械设备</w:t>
      </w:r>
      <w:r>
        <w:rPr>
          <w:rFonts w:hint="eastAsia"/>
          <w:sz w:val="24"/>
        </w:rPr>
        <w:t>始发</w:t>
      </w:r>
      <w:r>
        <w:rPr>
          <w:sz w:val="24"/>
        </w:rPr>
        <w:t>或接收受地下水影响较大时，应在</w:t>
      </w:r>
      <w:r>
        <w:rPr>
          <w:rFonts w:hint="eastAsia"/>
          <w:sz w:val="24"/>
        </w:rPr>
        <w:t>始发</w:t>
      </w:r>
      <w:r>
        <w:rPr>
          <w:sz w:val="24"/>
        </w:rPr>
        <w:t>或接收位置设置土层加固及防渗措施。</w:t>
      </w:r>
    </w:p>
    <w:p>
      <w:pPr>
        <w:spacing w:line="440" w:lineRule="exact"/>
        <w:rPr>
          <w:sz w:val="24"/>
        </w:rPr>
      </w:pPr>
      <w:r>
        <w:rPr>
          <w:rFonts w:hint="eastAsia"/>
          <w:b/>
          <w:sz w:val="24"/>
        </w:rPr>
        <w:t>4</w:t>
      </w:r>
      <w:r>
        <w:rPr>
          <w:b/>
          <w:sz w:val="24"/>
        </w:rPr>
        <w:t>.6.10</w:t>
      </w:r>
      <w:r>
        <w:rPr>
          <w:rFonts w:hint="eastAsia"/>
          <w:sz w:val="24"/>
        </w:rPr>
        <w:t>工作井</w:t>
      </w:r>
      <w:r>
        <w:rPr>
          <w:sz w:val="24"/>
        </w:rPr>
        <w:t xml:space="preserve">尺寸设计宜按照以下原则： </w:t>
      </w:r>
    </w:p>
    <w:p>
      <w:pPr>
        <w:spacing w:line="440" w:lineRule="exact"/>
        <w:ind w:firstLine="361" w:firstLineChars="150"/>
        <w:rPr>
          <w:sz w:val="24"/>
        </w:rPr>
      </w:pPr>
      <w:r>
        <w:rPr>
          <w:b/>
          <w:bCs/>
          <w:sz w:val="24"/>
        </w:rPr>
        <w:t xml:space="preserve">1 </w:t>
      </w:r>
      <w:r>
        <w:rPr>
          <w:rFonts w:hint="eastAsia"/>
          <w:sz w:val="24"/>
        </w:rPr>
        <w:t>机械始发的工作井</w:t>
      </w:r>
      <w:r>
        <w:rPr>
          <w:sz w:val="24"/>
        </w:rPr>
        <w:t>的最小</w:t>
      </w:r>
      <w:r>
        <w:rPr>
          <w:rFonts w:hint="eastAsia"/>
          <w:sz w:val="24"/>
        </w:rPr>
        <w:t>净</w:t>
      </w:r>
      <w:r>
        <w:rPr>
          <w:sz w:val="24"/>
        </w:rPr>
        <w:t>长度宜按下式计算：</w:t>
      </w:r>
    </w:p>
    <w:p>
      <w:pPr>
        <w:wordWrap w:val="0"/>
        <w:spacing w:line="440" w:lineRule="exact"/>
        <w:ind w:firstLine="360" w:firstLineChars="150"/>
        <w:jc w:val="right"/>
        <w:rPr>
          <w:sz w:val="24"/>
        </w:rPr>
      </w:pPr>
      <m:oMath>
        <m:r>
          <m:rPr>
            <m:nor/>
          </m:rPr>
          <w:rPr>
            <w:i/>
            <w:sz w:val="24"/>
          </w:rPr>
          <m:t>L</m:t>
        </m:r>
        <m:r>
          <m:rPr>
            <m:nor/>
            <m:sty m:val="p"/>
          </m:rPr>
          <w:rPr>
            <w:b w:val="0"/>
            <w:i w:val="0"/>
            <w:sz w:val="24"/>
          </w:rPr>
          <m:t>=</m:t>
        </m:r>
        <m:sSub>
          <m:sSubPr>
            <m:ctrlPr>
              <w:rPr>
                <w:rFonts w:ascii="Cambria Math" w:hAnsi="Cambria Math"/>
                <w:i/>
                <w:iCs/>
                <w:sz w:val="24"/>
              </w:rPr>
            </m:ctrlPr>
          </m:sSubPr>
          <m:e>
            <m:r>
              <m:rPr>
                <m:nor/>
              </m:rPr>
              <w:rPr>
                <w:i/>
                <w:sz w:val="24"/>
              </w:rPr>
              <m:t>L</m:t>
            </m:r>
            <m:ctrlPr>
              <w:rPr>
                <w:rFonts w:ascii="Cambria Math" w:hAnsi="Cambria Math"/>
                <w:i/>
                <w:iCs/>
                <w:sz w:val="24"/>
              </w:rPr>
            </m:ctrlPr>
          </m:e>
          <m:sub>
            <m:r>
              <m:rPr>
                <m:nor/>
                <m:sty m:val="p"/>
              </m:rPr>
              <w:rPr>
                <w:b w:val="0"/>
                <w:i w:val="0"/>
                <w:sz w:val="24"/>
              </w:rPr>
              <m:t>1</m:t>
            </m:r>
            <m:ctrlPr>
              <w:rPr>
                <w:rFonts w:ascii="Cambria Math" w:hAnsi="Cambria Math"/>
                <w:i/>
                <w:iCs/>
                <w:sz w:val="24"/>
              </w:rPr>
            </m:ctrlPr>
          </m:sub>
        </m:sSub>
        <m:r>
          <m:rPr>
            <m:nor/>
            <m:sty m:val="p"/>
          </m:rPr>
          <w:rPr>
            <w:b w:val="0"/>
            <w:i w:val="0"/>
            <w:sz w:val="24"/>
          </w:rPr>
          <m:t>+</m:t>
        </m:r>
        <m:sSub>
          <m:sSubPr>
            <m:ctrlPr>
              <w:rPr>
                <w:rFonts w:ascii="Cambria Math" w:hAnsi="Cambria Math"/>
                <w:i/>
                <w:iCs/>
                <w:sz w:val="24"/>
              </w:rPr>
            </m:ctrlPr>
          </m:sSubPr>
          <m:e>
            <m:r>
              <m:rPr>
                <m:nor/>
              </m:rPr>
              <w:rPr>
                <w:i/>
                <w:sz w:val="24"/>
              </w:rPr>
              <m:t>L</m:t>
            </m:r>
            <m:ctrlPr>
              <w:rPr>
                <w:rFonts w:ascii="Cambria Math" w:hAnsi="Cambria Math"/>
                <w:i/>
                <w:iCs/>
                <w:sz w:val="24"/>
              </w:rPr>
            </m:ctrlPr>
          </m:e>
          <m:sub>
            <m:r>
              <m:rPr>
                <m:nor/>
              </m:rPr>
              <w:rPr>
                <w:i/>
                <w:sz w:val="24"/>
              </w:rPr>
              <m:t>2</m:t>
            </m:r>
            <m:ctrlPr>
              <w:rPr>
                <w:rFonts w:ascii="Cambria Math" w:hAnsi="Cambria Math"/>
                <w:i/>
                <w:iCs/>
                <w:sz w:val="24"/>
              </w:rPr>
            </m:ctrlPr>
          </m:sub>
        </m:sSub>
        <m:r>
          <m:rPr>
            <m:nor/>
            <m:sty m:val="p"/>
          </m:rPr>
          <w:rPr>
            <w:b w:val="0"/>
            <w:i w:val="0"/>
            <w:sz w:val="24"/>
          </w:rPr>
          <m:t>+</m:t>
        </m:r>
        <m:r>
          <m:rPr>
            <m:nor/>
          </m:rPr>
          <w:rPr>
            <w:i/>
            <w:sz w:val="24"/>
          </w:rPr>
          <m:t>m</m:t>
        </m:r>
      </m:oMath>
      <w:r>
        <w:rPr>
          <w:kern w:val="0"/>
          <w:sz w:val="24"/>
        </w:rPr>
        <w:t>（</w:t>
      </w:r>
      <w:r>
        <w:rPr>
          <w:sz w:val="24"/>
        </w:rPr>
        <w:t>4.6.1</w:t>
      </w:r>
      <w:r>
        <w:rPr>
          <w:rFonts w:hint="eastAsia"/>
          <w:sz w:val="24"/>
        </w:rPr>
        <w:t>2</w:t>
      </w:r>
      <w:r>
        <w:rPr>
          <w:sz w:val="24"/>
        </w:rPr>
        <w:t>-1</w:t>
      </w:r>
      <w:r>
        <w:rPr>
          <w:kern w:val="0"/>
          <w:sz w:val="24"/>
        </w:rPr>
        <w:t>）</w:t>
      </w:r>
    </w:p>
    <w:p>
      <w:pPr>
        <w:spacing w:line="440" w:lineRule="exact"/>
        <w:rPr>
          <w:sz w:val="24"/>
        </w:rPr>
      </w:pPr>
      <w:r>
        <w:rPr>
          <w:sz w:val="24"/>
        </w:rPr>
        <w:t>式中：</w:t>
      </w:r>
      <w:r>
        <w:rPr>
          <w:i/>
          <w:iCs/>
          <w:sz w:val="24"/>
        </w:rPr>
        <w:t>L</w:t>
      </w:r>
      <w:r>
        <w:rPr>
          <w:sz w:val="24"/>
        </w:rPr>
        <w:t>——顶进井的最小</w:t>
      </w:r>
      <w:r>
        <w:rPr>
          <w:rFonts w:hint="eastAsia"/>
          <w:sz w:val="24"/>
        </w:rPr>
        <w:t>净</w:t>
      </w:r>
      <w:r>
        <w:rPr>
          <w:sz w:val="24"/>
        </w:rPr>
        <w:t>长度（m）；</w:t>
      </w:r>
    </w:p>
    <w:p>
      <w:pPr>
        <w:spacing w:line="440" w:lineRule="exact"/>
        <w:ind w:firstLine="628" w:firstLineChars="262"/>
        <w:rPr>
          <w:sz w:val="24"/>
        </w:rPr>
      </w:pPr>
      <w:r>
        <w:rPr>
          <w:i/>
          <w:iCs/>
          <w:sz w:val="24"/>
        </w:rPr>
        <w:t>L</w:t>
      </w:r>
      <w:r>
        <w:rPr>
          <w:i/>
          <w:iCs/>
          <w:sz w:val="24"/>
          <w:vertAlign w:val="subscript"/>
        </w:rPr>
        <w:t>1</w:t>
      </w:r>
      <w:r>
        <w:rPr>
          <w:sz w:val="24"/>
        </w:rPr>
        <w:t>——顶管机或管段长度，取两者中大值（m）；</w:t>
      </w:r>
    </w:p>
    <w:p>
      <w:pPr>
        <w:spacing w:line="440" w:lineRule="exact"/>
        <w:ind w:firstLine="628" w:firstLineChars="262"/>
        <w:rPr>
          <w:sz w:val="24"/>
        </w:rPr>
      </w:pPr>
      <w:r>
        <w:rPr>
          <w:i/>
          <w:iCs/>
          <w:sz w:val="24"/>
        </w:rPr>
        <w:t>L</w:t>
      </w:r>
      <w:r>
        <w:rPr>
          <w:i/>
          <w:iCs/>
          <w:sz w:val="24"/>
          <w:vertAlign w:val="subscript"/>
        </w:rPr>
        <w:t>2</w:t>
      </w:r>
      <w:r>
        <w:rPr>
          <w:sz w:val="24"/>
        </w:rPr>
        <w:t>——千斤顶长度（m）</w:t>
      </w:r>
      <w:r>
        <w:rPr>
          <w:rFonts w:hint="eastAsia"/>
          <w:sz w:val="24"/>
        </w:rPr>
        <w:t>，一般取2</w:t>
      </w:r>
      <w:r>
        <w:rPr>
          <w:sz w:val="24"/>
        </w:rPr>
        <w:t>.5m；</w:t>
      </w:r>
    </w:p>
    <w:p>
      <w:pPr>
        <w:spacing w:line="440" w:lineRule="exact"/>
        <w:ind w:firstLine="600" w:firstLineChars="250"/>
        <w:rPr>
          <w:sz w:val="24"/>
        </w:rPr>
      </w:pPr>
      <w:r>
        <w:rPr>
          <w:i/>
          <w:iCs/>
          <w:sz w:val="24"/>
        </w:rPr>
        <w:t>m</w:t>
      </w:r>
      <w:r>
        <w:rPr>
          <w:sz w:val="24"/>
        </w:rPr>
        <w:t>——考虑顶入管段留在导轨上的最小长度、顶进管道后退、顶铁</w:t>
      </w:r>
      <w:r>
        <w:rPr>
          <w:rFonts w:hint="eastAsia"/>
          <w:sz w:val="24"/>
        </w:rPr>
        <w:t>和后座</w:t>
      </w:r>
      <w:r>
        <w:rPr>
          <w:sz w:val="24"/>
        </w:rPr>
        <w:t>的厚度及安装富余量</w:t>
      </w:r>
      <w:r>
        <w:rPr>
          <w:rFonts w:hint="eastAsia"/>
          <w:sz w:val="24"/>
        </w:rPr>
        <w:t>，可取2</w:t>
      </w:r>
      <w:r>
        <w:rPr>
          <w:sz w:val="24"/>
        </w:rPr>
        <w:t>.0</w:t>
      </w:r>
      <w:r>
        <w:rPr>
          <w:rFonts w:hint="eastAsia"/>
          <w:sz w:val="24"/>
        </w:rPr>
        <w:t>~</w:t>
      </w:r>
      <w:r>
        <w:rPr>
          <w:sz w:val="24"/>
        </w:rPr>
        <w:t>2.5m。</w:t>
      </w:r>
    </w:p>
    <w:p>
      <w:pPr>
        <w:spacing w:line="440" w:lineRule="exact"/>
        <w:ind w:firstLine="361" w:firstLineChars="150"/>
        <w:rPr>
          <w:sz w:val="24"/>
        </w:rPr>
      </w:pPr>
      <w:r>
        <w:rPr>
          <w:b/>
          <w:bCs/>
          <w:sz w:val="24"/>
        </w:rPr>
        <w:t>2</w:t>
      </w:r>
      <w:r>
        <w:rPr>
          <w:rFonts w:hint="eastAsia"/>
          <w:b/>
          <w:bCs/>
          <w:sz w:val="24"/>
        </w:rPr>
        <w:t xml:space="preserve"> </w:t>
      </w:r>
      <w:r>
        <w:rPr>
          <w:rFonts w:hint="eastAsia"/>
          <w:sz w:val="24"/>
        </w:rPr>
        <w:t>机械接收的工作井</w:t>
      </w:r>
      <w:r>
        <w:rPr>
          <w:sz w:val="24"/>
        </w:rPr>
        <w:t>的最小</w:t>
      </w:r>
      <w:r>
        <w:rPr>
          <w:rFonts w:hint="eastAsia"/>
          <w:sz w:val="24"/>
        </w:rPr>
        <w:t>净</w:t>
      </w:r>
      <w:r>
        <w:rPr>
          <w:sz w:val="24"/>
        </w:rPr>
        <w:t>长度</w:t>
      </w:r>
      <w:r>
        <w:rPr>
          <w:rFonts w:hint="eastAsia"/>
          <w:sz w:val="24"/>
        </w:rPr>
        <w:t>应满足顶管机在井内拆除和吊出的需要。</w:t>
      </w:r>
    </w:p>
    <w:p>
      <w:pPr>
        <w:spacing w:line="440" w:lineRule="exact"/>
        <w:ind w:firstLine="361" w:firstLineChars="150"/>
        <w:rPr>
          <w:sz w:val="24"/>
        </w:rPr>
      </w:pPr>
      <w:r>
        <w:rPr>
          <w:b/>
          <w:bCs/>
          <w:sz w:val="24"/>
        </w:rPr>
        <w:t>3</w:t>
      </w:r>
      <w:r>
        <w:rPr>
          <w:rFonts w:hint="eastAsia"/>
          <w:b/>
          <w:bCs/>
          <w:sz w:val="24"/>
        </w:rPr>
        <w:t xml:space="preserve"> </w:t>
      </w:r>
      <w:r>
        <w:rPr>
          <w:rFonts w:hint="eastAsia"/>
          <w:bCs/>
          <w:sz w:val="24"/>
        </w:rPr>
        <w:t>工作</w:t>
      </w:r>
      <w:r>
        <w:rPr>
          <w:sz w:val="24"/>
        </w:rPr>
        <w:t>井最小</w:t>
      </w:r>
      <w:r>
        <w:rPr>
          <w:rFonts w:hint="eastAsia"/>
          <w:sz w:val="24"/>
        </w:rPr>
        <w:t>净</w:t>
      </w:r>
      <w:r>
        <w:rPr>
          <w:sz w:val="24"/>
        </w:rPr>
        <w:t>宽度可按下式计算：</w:t>
      </w:r>
    </w:p>
    <w:p>
      <w:pPr>
        <w:wordWrap w:val="0"/>
        <w:spacing w:line="440" w:lineRule="exact"/>
        <w:ind w:firstLine="360" w:firstLineChars="150"/>
        <w:jc w:val="right"/>
        <w:rPr>
          <w:sz w:val="24"/>
        </w:rPr>
      </w:pPr>
      <m:oMath>
        <m:r>
          <m:rPr>
            <m:nor/>
          </m:rPr>
          <w:rPr>
            <w:i/>
            <w:sz w:val="24"/>
          </w:rPr>
          <m:t>B</m:t>
        </m:r>
        <m:r>
          <m:rPr>
            <m:nor/>
            <m:sty m:val="p"/>
          </m:rPr>
          <w:rPr>
            <w:b w:val="0"/>
            <w:i w:val="0"/>
            <w:sz w:val="24"/>
          </w:rPr>
          <m:t>=</m:t>
        </m:r>
        <m:sSub>
          <m:sSubPr>
            <m:ctrlPr>
              <w:rPr>
                <w:rFonts w:ascii="Cambria Math" w:hAnsi="Cambria Math"/>
                <w:i/>
                <w:iCs/>
                <w:sz w:val="24"/>
              </w:rPr>
            </m:ctrlPr>
          </m:sSubPr>
          <m:e>
            <m:r>
              <m:rPr>
                <m:nor/>
              </m:rPr>
              <w:rPr>
                <w:i/>
                <w:sz w:val="24"/>
              </w:rPr>
              <m:t>D</m:t>
            </m:r>
            <m:ctrlPr>
              <w:rPr>
                <w:rFonts w:ascii="Cambria Math" w:hAnsi="Cambria Math"/>
                <w:i/>
                <w:iCs/>
                <w:sz w:val="24"/>
              </w:rPr>
            </m:ctrlPr>
          </m:e>
          <m:sub>
            <m:r>
              <m:rPr>
                <m:nor/>
                <m:sty m:val="p"/>
              </m:rPr>
              <w:rPr>
                <w:b w:val="0"/>
                <w:i w:val="0"/>
                <w:sz w:val="24"/>
              </w:rPr>
              <m:t>1</m:t>
            </m:r>
            <m:ctrlPr>
              <w:rPr>
                <w:rFonts w:ascii="Cambria Math" w:hAnsi="Cambria Math"/>
                <w:i/>
                <w:iCs/>
                <w:sz w:val="24"/>
              </w:rPr>
            </m:ctrlPr>
          </m:sub>
        </m:sSub>
        <m:r>
          <m:rPr>
            <m:nor/>
            <m:sty m:val="p"/>
          </m:rPr>
          <w:rPr>
            <w:b w:val="0"/>
            <w:i w:val="0"/>
            <w:sz w:val="24"/>
          </w:rPr>
          <m:t>+2</m:t>
        </m:r>
        <m:r>
          <m:rPr>
            <m:nor/>
          </m:rPr>
          <w:rPr>
            <w:i/>
            <w:sz w:val="24"/>
          </w:rPr>
          <m:t>s</m:t>
        </m:r>
      </m:oMath>
      <w:r>
        <w:rPr>
          <w:kern w:val="0"/>
          <w:sz w:val="24"/>
        </w:rPr>
        <w:t>（</w:t>
      </w:r>
      <w:r>
        <w:rPr>
          <w:sz w:val="24"/>
        </w:rPr>
        <w:t>4.6.1</w:t>
      </w:r>
      <w:r>
        <w:rPr>
          <w:rFonts w:hint="eastAsia"/>
          <w:sz w:val="24"/>
        </w:rPr>
        <w:t>2</w:t>
      </w:r>
      <w:r>
        <w:rPr>
          <w:sz w:val="24"/>
        </w:rPr>
        <w:t>-2</w:t>
      </w:r>
      <w:r>
        <w:rPr>
          <w:kern w:val="0"/>
          <w:sz w:val="24"/>
        </w:rPr>
        <w:t>）</w:t>
      </w:r>
    </w:p>
    <w:p>
      <w:pPr>
        <w:spacing w:line="440" w:lineRule="exact"/>
        <w:rPr>
          <w:sz w:val="24"/>
        </w:rPr>
      </w:pPr>
      <w:r>
        <w:rPr>
          <w:sz w:val="24"/>
        </w:rPr>
        <w:t>式中：</w:t>
      </w:r>
      <w:r>
        <w:rPr>
          <w:i/>
          <w:iCs/>
          <w:sz w:val="24"/>
        </w:rPr>
        <w:t>B</w:t>
      </w:r>
      <w:r>
        <w:rPr>
          <w:sz w:val="24"/>
        </w:rPr>
        <w:t>——顶进井的最小</w:t>
      </w:r>
      <w:r>
        <w:rPr>
          <w:rFonts w:hint="eastAsia"/>
          <w:sz w:val="24"/>
        </w:rPr>
        <w:t>净</w:t>
      </w:r>
      <w:r>
        <w:rPr>
          <w:sz w:val="24"/>
        </w:rPr>
        <w:t>宽度（m）；</w:t>
      </w:r>
    </w:p>
    <w:p>
      <w:pPr>
        <w:spacing w:line="440" w:lineRule="exact"/>
        <w:ind w:firstLine="720" w:firstLineChars="300"/>
        <w:rPr>
          <w:sz w:val="24"/>
        </w:rPr>
      </w:pPr>
      <w:r>
        <w:rPr>
          <w:i/>
          <w:iCs/>
          <w:sz w:val="24"/>
        </w:rPr>
        <w:t>D</w:t>
      </w:r>
      <w:r>
        <w:rPr>
          <w:i/>
          <w:iCs/>
          <w:sz w:val="24"/>
          <w:vertAlign w:val="subscript"/>
        </w:rPr>
        <w:t>1</w:t>
      </w:r>
      <w:r>
        <w:rPr>
          <w:sz w:val="24"/>
        </w:rPr>
        <w:t>——管道的外径（m）；</w:t>
      </w:r>
    </w:p>
    <w:p>
      <w:pPr>
        <w:spacing w:line="440" w:lineRule="exact"/>
        <w:ind w:firstLine="720" w:firstLineChars="300"/>
        <w:rPr>
          <w:sz w:val="24"/>
        </w:rPr>
      </w:pPr>
      <w:r>
        <w:rPr>
          <w:i/>
          <w:iCs/>
          <w:sz w:val="24"/>
        </w:rPr>
        <w:t>s</w:t>
      </w:r>
      <w:r>
        <w:rPr>
          <w:sz w:val="24"/>
        </w:rPr>
        <w:t>——施工操作空间，</w:t>
      </w:r>
      <w:r>
        <w:rPr>
          <w:rFonts w:hint="eastAsia"/>
          <w:sz w:val="24"/>
        </w:rPr>
        <w:t>顶进井宜取</w:t>
      </w:r>
      <w:r>
        <w:rPr>
          <w:sz w:val="24"/>
        </w:rPr>
        <w:t>1.0~2.0m</w:t>
      </w:r>
      <w:r>
        <w:rPr>
          <w:rFonts w:hint="eastAsia"/>
          <w:sz w:val="24"/>
        </w:rPr>
        <w:t>，接收井宜</w:t>
      </w:r>
      <w:r>
        <w:rPr>
          <w:sz w:val="24"/>
        </w:rPr>
        <w:t>1.0~1.5m。</w:t>
      </w:r>
    </w:p>
    <w:p>
      <w:pPr>
        <w:spacing w:line="440" w:lineRule="exact"/>
        <w:ind w:firstLine="361" w:firstLineChars="150"/>
        <w:rPr>
          <w:sz w:val="24"/>
        </w:rPr>
      </w:pPr>
      <w:r>
        <w:rPr>
          <w:b/>
          <w:bCs/>
          <w:sz w:val="24"/>
        </w:rPr>
        <w:t>3</w:t>
      </w:r>
      <w:r>
        <w:rPr>
          <w:sz w:val="24"/>
        </w:rPr>
        <w:t>机械</w:t>
      </w:r>
      <w:r>
        <w:rPr>
          <w:rFonts w:hint="eastAsia"/>
          <w:sz w:val="24"/>
        </w:rPr>
        <w:t>始发的工作井</w:t>
      </w:r>
      <w:r>
        <w:rPr>
          <w:sz w:val="24"/>
        </w:rPr>
        <w:t>井室</w:t>
      </w:r>
      <w:r>
        <w:rPr>
          <w:rFonts w:hint="eastAsia"/>
          <w:sz w:val="24"/>
        </w:rPr>
        <w:t>净</w:t>
      </w:r>
      <w:r>
        <w:rPr>
          <w:sz w:val="24"/>
        </w:rPr>
        <w:t>高度应按下式计算：</w:t>
      </w:r>
    </w:p>
    <w:p>
      <w:pPr>
        <w:wordWrap w:val="0"/>
        <w:spacing w:line="440" w:lineRule="exact"/>
        <w:ind w:firstLine="360" w:firstLineChars="150"/>
        <w:jc w:val="right"/>
        <w:rPr>
          <w:sz w:val="24"/>
        </w:rPr>
      </w:pPr>
      <m:oMath>
        <m:r>
          <m:rPr>
            <m:nor/>
          </m:rPr>
          <w:rPr>
            <w:i/>
            <w:sz w:val="24"/>
          </w:rPr>
          <m:t>H</m:t>
        </m:r>
        <m:r>
          <m:rPr>
            <m:nor/>
            <m:sty m:val="p"/>
          </m:rPr>
          <w:rPr>
            <w:b w:val="0"/>
            <w:i w:val="0"/>
            <w:sz w:val="24"/>
          </w:rPr>
          <m:t>=</m:t>
        </m:r>
        <m:r>
          <m:rPr>
            <m:nor/>
          </m:rPr>
          <w:rPr>
            <w:i/>
            <w:iCs/>
            <w:sz w:val="24"/>
          </w:rPr>
          <m:t>H</m:t>
        </m:r>
        <m:r>
          <m:rPr>
            <m:nor/>
          </m:rPr>
          <w:rPr>
            <w:i/>
            <w:iCs/>
            <w:sz w:val="24"/>
            <w:vertAlign w:val="subscript"/>
          </w:rPr>
          <m:t>s</m:t>
        </m:r>
        <m:r>
          <m:rPr>
            <m:nor/>
            <m:sty m:val="p"/>
          </m:rPr>
          <w:rPr>
            <w:b w:val="0"/>
            <w:i w:val="0"/>
            <w:sz w:val="24"/>
          </w:rPr>
          <m:t>+</m:t>
        </m:r>
        <m:sSub>
          <m:sSubPr>
            <m:ctrlPr>
              <w:rPr>
                <w:rFonts w:ascii="Cambria Math" w:hAnsi="Cambria Math"/>
                <w:i/>
                <w:iCs/>
                <w:sz w:val="24"/>
              </w:rPr>
            </m:ctrlPr>
          </m:sSubPr>
          <m:e>
            <m:r>
              <m:rPr>
                <m:nor/>
              </m:rPr>
              <w:rPr>
                <w:i/>
                <w:sz w:val="24"/>
              </w:rPr>
              <m:t>D</m:t>
            </m:r>
            <m:ctrlPr>
              <w:rPr>
                <w:rFonts w:ascii="Cambria Math" w:hAnsi="Cambria Math"/>
                <w:i/>
                <w:iCs/>
                <w:sz w:val="24"/>
              </w:rPr>
            </m:ctrlPr>
          </m:e>
          <m:sub>
            <m:r>
              <m:rPr>
                <m:nor/>
                <m:sty m:val="p"/>
              </m:rPr>
              <w:rPr>
                <w:b w:val="0"/>
                <w:i w:val="0"/>
                <w:sz w:val="24"/>
              </w:rPr>
              <m:t>1</m:t>
            </m:r>
            <m:ctrlPr>
              <w:rPr>
                <w:rFonts w:ascii="Cambria Math" w:hAnsi="Cambria Math"/>
                <w:i/>
                <w:iCs/>
                <w:sz w:val="24"/>
              </w:rPr>
            </m:ctrlPr>
          </m:sub>
        </m:sSub>
        <m:r>
          <m:rPr>
            <m:nor/>
            <m:sty m:val="p"/>
          </m:rPr>
          <w:rPr>
            <w:b w:val="0"/>
            <w:i w:val="0"/>
            <w:sz w:val="24"/>
          </w:rPr>
          <m:t>+</m:t>
        </m:r>
        <m:sSub>
          <m:sSubPr>
            <m:ctrlPr>
              <w:rPr>
                <w:rFonts w:ascii="Cambria Math" w:hAnsi="Cambria Math"/>
                <w:i/>
                <w:iCs/>
                <w:sz w:val="24"/>
              </w:rPr>
            </m:ctrlPr>
          </m:sSubPr>
          <m:e>
            <m:r>
              <m:rPr>
                <m:nor/>
              </m:rPr>
              <w:rPr>
                <w:i/>
                <w:sz w:val="24"/>
              </w:rPr>
              <m:t>h</m:t>
            </m:r>
            <m:ctrlPr>
              <w:rPr>
                <w:rFonts w:ascii="Cambria Math" w:hAnsi="Cambria Math"/>
                <w:i/>
                <w:iCs/>
                <w:sz w:val="24"/>
              </w:rPr>
            </m:ctrlPr>
          </m:e>
          <m:sub>
            <m:r>
              <m:rPr>
                <m:nor/>
              </m:rPr>
              <w:rPr>
                <w:i/>
                <w:sz w:val="24"/>
              </w:rPr>
              <m:t>d</m:t>
            </m:r>
            <m:ctrlPr>
              <w:rPr>
                <w:rFonts w:ascii="Cambria Math" w:hAnsi="Cambria Math"/>
                <w:i/>
                <w:iCs/>
                <w:sz w:val="24"/>
              </w:rPr>
            </m:ctrlPr>
          </m:sub>
        </m:sSub>
      </m:oMath>
      <w:r>
        <w:rPr>
          <w:kern w:val="0"/>
          <w:sz w:val="24"/>
        </w:rPr>
        <w:t>（</w:t>
      </w:r>
      <w:r>
        <w:rPr>
          <w:sz w:val="24"/>
        </w:rPr>
        <w:t>4.6.11-3</w:t>
      </w:r>
      <w:r>
        <w:rPr>
          <w:kern w:val="0"/>
          <w:sz w:val="24"/>
        </w:rPr>
        <w:t>）</w:t>
      </w:r>
    </w:p>
    <w:p>
      <w:pPr>
        <w:spacing w:line="440" w:lineRule="exact"/>
        <w:rPr>
          <w:sz w:val="24"/>
        </w:rPr>
      </w:pPr>
      <w:r>
        <w:rPr>
          <w:sz w:val="24"/>
        </w:rPr>
        <w:t>式中：</w:t>
      </w:r>
      <w:r>
        <w:rPr>
          <w:i/>
          <w:iCs/>
          <w:sz w:val="24"/>
        </w:rPr>
        <w:t>H</w:t>
      </w:r>
      <w:r>
        <w:rPr>
          <w:sz w:val="24"/>
        </w:rPr>
        <w:t>——顶进井最小</w:t>
      </w:r>
      <w:r>
        <w:rPr>
          <w:rFonts w:hint="eastAsia"/>
          <w:sz w:val="24"/>
        </w:rPr>
        <w:t>净</w:t>
      </w:r>
      <w:r>
        <w:rPr>
          <w:sz w:val="24"/>
        </w:rPr>
        <w:t>高度（m）；</w:t>
      </w:r>
    </w:p>
    <w:p>
      <w:pPr>
        <w:spacing w:line="440" w:lineRule="exact"/>
        <w:ind w:firstLine="720" w:firstLineChars="300"/>
        <w:rPr>
          <w:sz w:val="24"/>
        </w:rPr>
      </w:pPr>
      <w:r>
        <w:rPr>
          <w:i/>
          <w:iCs/>
          <w:sz w:val="24"/>
        </w:rPr>
        <w:t>H</w:t>
      </w:r>
      <w:r>
        <w:rPr>
          <w:i/>
          <w:iCs/>
          <w:sz w:val="24"/>
          <w:vertAlign w:val="subscript"/>
        </w:rPr>
        <w:t>s</w:t>
      </w:r>
      <w:r>
        <w:rPr>
          <w:sz w:val="24"/>
        </w:rPr>
        <w:t>——</w:t>
      </w:r>
      <w:r>
        <w:rPr>
          <w:rFonts w:hint="eastAsia"/>
          <w:sz w:val="24"/>
        </w:rPr>
        <w:t>管顶覆土厚度</w:t>
      </w:r>
      <w:r>
        <w:rPr>
          <w:sz w:val="24"/>
        </w:rPr>
        <w:t>（m）；</w:t>
      </w:r>
    </w:p>
    <w:p>
      <w:pPr>
        <w:spacing w:line="440" w:lineRule="exact"/>
        <w:ind w:firstLine="720" w:firstLineChars="300"/>
        <w:rPr>
          <w:sz w:val="24"/>
        </w:rPr>
      </w:pPr>
      <w:r>
        <w:rPr>
          <w:i/>
          <w:iCs/>
          <w:sz w:val="24"/>
        </w:rPr>
        <w:t>h</w:t>
      </w:r>
      <w:r>
        <w:rPr>
          <w:i/>
          <w:iCs/>
          <w:sz w:val="24"/>
          <w:vertAlign w:val="subscript"/>
        </w:rPr>
        <w:t>d</w:t>
      </w:r>
      <w:r>
        <w:rPr>
          <w:sz w:val="24"/>
        </w:rPr>
        <w:t>——管</w:t>
      </w:r>
      <w:r>
        <w:rPr>
          <w:rFonts w:hint="eastAsia"/>
          <w:sz w:val="24"/>
        </w:rPr>
        <w:t>底</w:t>
      </w:r>
      <w:r>
        <w:rPr>
          <w:sz w:val="24"/>
        </w:rPr>
        <w:t>操作空间（m），需满足施工人员焊接操作空间。</w:t>
      </w:r>
    </w:p>
    <w:p>
      <w:pPr>
        <w:spacing w:before="156" w:beforeLines="50" w:after="156" w:afterLines="50" w:line="440" w:lineRule="exact"/>
        <w:jc w:val="center"/>
        <w:outlineLvl w:val="1"/>
        <w:rPr>
          <w:rFonts w:eastAsia="黑体"/>
          <w:sz w:val="24"/>
        </w:rPr>
      </w:pPr>
      <w:bookmarkStart w:id="37" w:name="_Toc15211"/>
      <w:bookmarkStart w:id="38" w:name="_Toc26439"/>
      <w:bookmarkStart w:id="39" w:name="_Hlk103459392"/>
      <w:r>
        <w:rPr>
          <w:rFonts w:eastAsia="黑体"/>
          <w:sz w:val="24"/>
        </w:rPr>
        <w:t>4.7  后背墙设计</w:t>
      </w:r>
      <w:bookmarkEnd w:id="37"/>
      <w:bookmarkEnd w:id="38"/>
    </w:p>
    <w:bookmarkEnd w:id="39"/>
    <w:p>
      <w:pPr>
        <w:spacing w:line="440" w:lineRule="exact"/>
        <w:rPr>
          <w:sz w:val="24"/>
        </w:rPr>
      </w:pPr>
      <w:r>
        <w:rPr>
          <w:b/>
          <w:bCs/>
          <w:sz w:val="24"/>
        </w:rPr>
        <w:t xml:space="preserve">4.7.1  </w:t>
      </w:r>
      <w:r>
        <w:rPr>
          <w:sz w:val="24"/>
        </w:rPr>
        <w:t>后背墙设计应</w:t>
      </w:r>
      <w:r>
        <w:rPr>
          <w:rFonts w:hint="eastAsia"/>
          <w:sz w:val="24"/>
        </w:rPr>
        <w:t>符合下列规定</w:t>
      </w:r>
      <w:r>
        <w:rPr>
          <w:sz w:val="24"/>
        </w:rPr>
        <w:t>：</w:t>
      </w:r>
    </w:p>
    <w:p>
      <w:pPr>
        <w:pStyle w:val="2"/>
        <w:spacing w:after="0" w:line="440" w:lineRule="exact"/>
        <w:ind w:left="0" w:leftChars="0" w:firstLine="361" w:firstLineChars="150"/>
        <w:rPr>
          <w:sz w:val="24"/>
        </w:rPr>
      </w:pPr>
      <w:r>
        <w:rPr>
          <w:b/>
          <w:bCs/>
          <w:sz w:val="24"/>
        </w:rPr>
        <w:t xml:space="preserve">1 </w:t>
      </w:r>
      <w:r>
        <w:rPr>
          <w:rFonts w:hint="eastAsia"/>
          <w:sz w:val="24"/>
        </w:rPr>
        <w:t>应</w:t>
      </w:r>
      <w:r>
        <w:rPr>
          <w:sz w:val="24"/>
        </w:rPr>
        <w:t>有足够的强度，在管幕顶进施工中</w:t>
      </w:r>
      <w:r>
        <w:rPr>
          <w:rFonts w:hint="eastAsia"/>
          <w:sz w:val="24"/>
        </w:rPr>
        <w:t>应</w:t>
      </w:r>
      <w:r>
        <w:rPr>
          <w:sz w:val="24"/>
        </w:rPr>
        <w:t>能承受主顶工作站千斤顶的最大反作用力；</w:t>
      </w:r>
    </w:p>
    <w:p>
      <w:pPr>
        <w:pStyle w:val="2"/>
        <w:spacing w:after="0" w:line="440" w:lineRule="exact"/>
        <w:ind w:left="0" w:leftChars="0" w:firstLine="361" w:firstLineChars="150"/>
        <w:rPr>
          <w:sz w:val="24"/>
        </w:rPr>
      </w:pPr>
      <w:r>
        <w:rPr>
          <w:b/>
          <w:bCs/>
          <w:sz w:val="24"/>
        </w:rPr>
        <w:t xml:space="preserve">2 </w:t>
      </w:r>
      <w:r>
        <w:rPr>
          <w:rFonts w:hint="eastAsia"/>
          <w:sz w:val="24"/>
        </w:rPr>
        <w:t>应</w:t>
      </w:r>
      <w:r>
        <w:rPr>
          <w:sz w:val="24"/>
        </w:rPr>
        <w:t>有足够的刚度，在受到主顶工作站的反作用力时其变形应在允许范围内；</w:t>
      </w:r>
    </w:p>
    <w:p>
      <w:pPr>
        <w:pStyle w:val="2"/>
        <w:spacing w:after="0" w:line="440" w:lineRule="exact"/>
        <w:ind w:left="0" w:leftChars="0" w:firstLine="361" w:firstLineChars="150"/>
        <w:rPr>
          <w:sz w:val="24"/>
        </w:rPr>
      </w:pPr>
      <w:r>
        <w:rPr>
          <w:b/>
          <w:bCs/>
          <w:sz w:val="24"/>
        </w:rPr>
        <w:t xml:space="preserve">3 </w:t>
      </w:r>
      <w:r>
        <w:rPr>
          <w:sz w:val="24"/>
        </w:rPr>
        <w:t>表面应平直，并</w:t>
      </w:r>
      <w:r>
        <w:rPr>
          <w:rFonts w:hint="eastAsia"/>
          <w:sz w:val="24"/>
        </w:rPr>
        <w:t>应</w:t>
      </w:r>
      <w:r>
        <w:rPr>
          <w:sz w:val="24"/>
        </w:rPr>
        <w:t>垂直于顶进管道的轴线；</w:t>
      </w:r>
    </w:p>
    <w:p>
      <w:pPr>
        <w:pStyle w:val="2"/>
        <w:spacing w:after="0" w:line="440" w:lineRule="exact"/>
        <w:ind w:left="0" w:leftChars="0" w:firstLine="361" w:firstLineChars="150"/>
        <w:rPr>
          <w:sz w:val="24"/>
        </w:rPr>
      </w:pPr>
      <w:r>
        <w:rPr>
          <w:b/>
          <w:bCs/>
          <w:sz w:val="24"/>
        </w:rPr>
        <w:t xml:space="preserve">4 </w:t>
      </w:r>
      <w:r>
        <w:rPr>
          <w:sz w:val="24"/>
        </w:rPr>
        <w:t>墙体材料的材质应均匀一致</w:t>
      </w:r>
      <w:r>
        <w:rPr>
          <w:rFonts w:hint="eastAsia"/>
          <w:sz w:val="24"/>
        </w:rPr>
        <w:t>。</w:t>
      </w:r>
    </w:p>
    <w:p>
      <w:pPr>
        <w:spacing w:line="440" w:lineRule="exact"/>
        <w:rPr>
          <w:sz w:val="24"/>
        </w:rPr>
      </w:pPr>
      <w:r>
        <w:rPr>
          <w:b/>
          <w:bCs/>
          <w:sz w:val="24"/>
        </w:rPr>
        <w:t xml:space="preserve">4.7.2  </w:t>
      </w:r>
      <w:r>
        <w:rPr>
          <w:sz w:val="24"/>
        </w:rPr>
        <w:t>利用已顶进的管道承受后座反力时，应符合下列规定：</w:t>
      </w:r>
    </w:p>
    <w:p>
      <w:pPr>
        <w:pStyle w:val="2"/>
        <w:spacing w:after="0" w:line="440" w:lineRule="exact"/>
        <w:ind w:left="0" w:leftChars="0" w:firstLine="361" w:firstLineChars="150"/>
        <w:rPr>
          <w:sz w:val="24"/>
        </w:rPr>
      </w:pPr>
      <w:r>
        <w:rPr>
          <w:b/>
          <w:bCs/>
          <w:sz w:val="24"/>
        </w:rPr>
        <w:t xml:space="preserve">1 </w:t>
      </w:r>
      <w:r>
        <w:rPr>
          <w:sz w:val="24"/>
        </w:rPr>
        <w:t>待顶管道的顶进力应小于已顶管道管壁与土层之间的摩擦力；</w:t>
      </w:r>
    </w:p>
    <w:p>
      <w:pPr>
        <w:pStyle w:val="2"/>
        <w:spacing w:after="0" w:line="440" w:lineRule="exact"/>
        <w:ind w:left="0" w:leftChars="0" w:firstLine="361" w:firstLineChars="150"/>
        <w:rPr>
          <w:sz w:val="24"/>
        </w:rPr>
      </w:pPr>
      <w:r>
        <w:rPr>
          <w:b/>
          <w:bCs/>
          <w:sz w:val="24"/>
        </w:rPr>
        <w:t xml:space="preserve">2 </w:t>
      </w:r>
      <w:r>
        <w:rPr>
          <w:sz w:val="24"/>
        </w:rPr>
        <w:t>后背墙钢板与管口之间应衬垫缓冲材料；</w:t>
      </w:r>
    </w:p>
    <w:p>
      <w:pPr>
        <w:pStyle w:val="2"/>
        <w:spacing w:after="0" w:line="440" w:lineRule="exact"/>
        <w:ind w:left="0" w:leftChars="0" w:firstLine="361" w:firstLineChars="150"/>
        <w:rPr>
          <w:sz w:val="24"/>
        </w:rPr>
      </w:pPr>
      <w:r>
        <w:rPr>
          <w:b/>
          <w:bCs/>
          <w:sz w:val="24"/>
        </w:rPr>
        <w:t xml:space="preserve">3 </w:t>
      </w:r>
      <w:r>
        <w:rPr>
          <w:rFonts w:hint="eastAsia"/>
          <w:sz w:val="24"/>
        </w:rPr>
        <w:t>应</w:t>
      </w:r>
      <w:r>
        <w:rPr>
          <w:sz w:val="24"/>
        </w:rPr>
        <w:t>采取措施保护已顶入管道的接口不受损伤。</w:t>
      </w:r>
    </w:p>
    <w:p>
      <w:pPr>
        <w:spacing w:line="440" w:lineRule="exact"/>
        <w:rPr>
          <w:strike/>
          <w:sz w:val="24"/>
        </w:rPr>
      </w:pPr>
      <w:r>
        <w:rPr>
          <w:rFonts w:hint="eastAsia"/>
          <w:b/>
          <w:sz w:val="24"/>
        </w:rPr>
        <w:t>4</w:t>
      </w:r>
      <w:r>
        <w:rPr>
          <w:b/>
          <w:sz w:val="24"/>
        </w:rPr>
        <w:t xml:space="preserve">.7.3  </w:t>
      </w:r>
      <w:r>
        <w:rPr>
          <w:rFonts w:hint="eastAsia"/>
          <w:sz w:val="24"/>
        </w:rPr>
        <w:t>后背墙设计应充分利用后背土体的承载力，当后背土体的容许顶力不足时，应对后背土体进行加固。</w:t>
      </w:r>
    </w:p>
    <w:p>
      <w:pPr>
        <w:spacing w:before="156" w:beforeLines="50" w:after="156" w:afterLines="50" w:line="440" w:lineRule="exact"/>
        <w:jc w:val="center"/>
        <w:outlineLvl w:val="1"/>
        <w:rPr>
          <w:rFonts w:eastAsia="黑体"/>
          <w:sz w:val="24"/>
        </w:rPr>
      </w:pPr>
      <w:bookmarkStart w:id="40" w:name="_Toc31404"/>
      <w:bookmarkStart w:id="41" w:name="_Toc19411"/>
      <w:r>
        <w:rPr>
          <w:rFonts w:eastAsia="黑体"/>
          <w:sz w:val="24"/>
        </w:rPr>
        <w:t>4.8  管幕结构计算</w:t>
      </w:r>
      <w:bookmarkEnd w:id="40"/>
      <w:bookmarkEnd w:id="41"/>
    </w:p>
    <w:p>
      <w:pPr>
        <w:spacing w:line="440" w:lineRule="exact"/>
        <w:rPr>
          <w:sz w:val="24"/>
        </w:rPr>
      </w:pPr>
      <w:r>
        <w:rPr>
          <w:b/>
          <w:bCs/>
          <w:sz w:val="24"/>
        </w:rPr>
        <w:t>4.8.1</w:t>
      </w:r>
      <w:r>
        <w:rPr>
          <w:sz w:val="24"/>
        </w:rPr>
        <w:t>管幕结构设计</w:t>
      </w:r>
      <w:r>
        <w:rPr>
          <w:rFonts w:hint="eastAsia"/>
          <w:sz w:val="24"/>
        </w:rPr>
        <w:t>应</w:t>
      </w:r>
      <w:r>
        <w:rPr>
          <w:sz w:val="24"/>
        </w:rPr>
        <w:t>采用以概率理论为基础的极限状态设计方法，并应以可靠指标度量管道结构的可靠度。</w:t>
      </w:r>
    </w:p>
    <w:p>
      <w:pPr>
        <w:spacing w:line="440" w:lineRule="exact"/>
        <w:rPr>
          <w:b/>
          <w:bCs/>
          <w:sz w:val="24"/>
        </w:rPr>
      </w:pPr>
      <w:r>
        <w:rPr>
          <w:b/>
          <w:bCs/>
          <w:sz w:val="24"/>
        </w:rPr>
        <w:t>4.8.2</w:t>
      </w:r>
      <w:r>
        <w:rPr>
          <w:sz w:val="24"/>
        </w:rPr>
        <w:t>管幕结构</w:t>
      </w:r>
      <w:r>
        <w:rPr>
          <w:rFonts w:hint="eastAsia"/>
          <w:sz w:val="24"/>
        </w:rPr>
        <w:t>应</w:t>
      </w:r>
      <w:r>
        <w:rPr>
          <w:sz w:val="24"/>
        </w:rPr>
        <w:t>作为临时支护构件，仅</w:t>
      </w:r>
      <w:r>
        <w:rPr>
          <w:rFonts w:hint="eastAsia"/>
          <w:sz w:val="24"/>
        </w:rPr>
        <w:t>应</w:t>
      </w:r>
      <w:r>
        <w:rPr>
          <w:sz w:val="24"/>
        </w:rPr>
        <w:t>考虑施工阶段承载力验算，结构重要性系数</w:t>
      </w:r>
      <w:r>
        <w:rPr>
          <w:rFonts w:hint="eastAsia"/>
          <w:sz w:val="24"/>
        </w:rPr>
        <w:t>应</w:t>
      </w:r>
      <w:r>
        <w:rPr>
          <w:sz w:val="24"/>
        </w:rPr>
        <w:t>为1.0。</w:t>
      </w:r>
    </w:p>
    <w:p>
      <w:pPr>
        <w:spacing w:line="440" w:lineRule="exact"/>
        <w:rPr>
          <w:b/>
          <w:bCs/>
          <w:sz w:val="24"/>
        </w:rPr>
      </w:pPr>
      <w:r>
        <w:rPr>
          <w:b/>
          <w:bCs/>
          <w:sz w:val="24"/>
        </w:rPr>
        <w:t>4.8.3</w:t>
      </w:r>
      <w:r>
        <w:rPr>
          <w:sz w:val="24"/>
        </w:rPr>
        <w:t>顶管管幕结构应根据所选用管材类型进行结构设计，管幕结构设计应计算下列两种极限状态：</w:t>
      </w:r>
    </w:p>
    <w:p>
      <w:pPr>
        <w:pStyle w:val="2"/>
        <w:spacing w:after="0" w:line="440" w:lineRule="exact"/>
        <w:ind w:left="0" w:leftChars="0" w:firstLine="361" w:firstLineChars="150"/>
        <w:rPr>
          <w:sz w:val="24"/>
        </w:rPr>
      </w:pPr>
      <w:r>
        <w:rPr>
          <w:b/>
          <w:bCs/>
          <w:sz w:val="24"/>
        </w:rPr>
        <w:t>1</w:t>
      </w:r>
      <w:r>
        <w:rPr>
          <w:sz w:val="24"/>
        </w:rPr>
        <w:t xml:space="preserve">  承载能力极限状态应为以下状态</w:t>
      </w:r>
    </w:p>
    <w:p>
      <w:pPr>
        <w:pStyle w:val="2"/>
        <w:numPr>
          <w:ilvl w:val="0"/>
          <w:numId w:val="2"/>
        </w:numPr>
        <w:spacing w:after="0" w:line="440" w:lineRule="exact"/>
        <w:ind w:leftChars="0" w:firstLineChars="0"/>
        <w:rPr>
          <w:sz w:val="24"/>
        </w:rPr>
      </w:pPr>
      <w:r>
        <w:rPr>
          <w:sz w:val="24"/>
        </w:rPr>
        <w:t>管幕结构纵向超过最大顶力破坏，管壁因材料强度被超过而破坏；</w:t>
      </w:r>
    </w:p>
    <w:p>
      <w:pPr>
        <w:pStyle w:val="2"/>
        <w:numPr>
          <w:ilvl w:val="0"/>
          <w:numId w:val="2"/>
        </w:numPr>
        <w:spacing w:after="0" w:line="440" w:lineRule="exact"/>
        <w:ind w:leftChars="0" w:firstLineChars="0"/>
        <w:rPr>
          <w:b/>
          <w:bCs/>
          <w:sz w:val="24"/>
        </w:rPr>
      </w:pPr>
      <w:r>
        <w:rPr>
          <w:sz w:val="24"/>
        </w:rPr>
        <w:t>柔性管道管壁截面丧失稳定；</w:t>
      </w:r>
    </w:p>
    <w:p>
      <w:pPr>
        <w:pStyle w:val="2"/>
        <w:numPr>
          <w:ilvl w:val="0"/>
          <w:numId w:val="2"/>
        </w:numPr>
        <w:spacing w:after="0" w:line="440" w:lineRule="exact"/>
        <w:ind w:leftChars="0" w:firstLineChars="0"/>
        <w:rPr>
          <w:b/>
          <w:bCs/>
          <w:sz w:val="24"/>
        </w:rPr>
      </w:pPr>
      <w:r>
        <w:rPr>
          <w:sz w:val="24"/>
        </w:rPr>
        <w:t>管道的管段接头因顶力超过材料强度破坏</w:t>
      </w:r>
      <w:r>
        <w:rPr>
          <w:rFonts w:hint="eastAsia"/>
          <w:sz w:val="24"/>
        </w:rPr>
        <w:t>。</w:t>
      </w:r>
      <w:r>
        <w:rPr>
          <w:b/>
          <w:bCs/>
          <w:sz w:val="24"/>
        </w:rPr>
        <w:t xml:space="preserve"> </w:t>
      </w:r>
    </w:p>
    <w:p>
      <w:pPr>
        <w:pStyle w:val="2"/>
        <w:spacing w:after="0" w:line="440" w:lineRule="exact"/>
        <w:ind w:left="0" w:leftChars="0" w:firstLine="361" w:firstLineChars="150"/>
        <w:rPr>
          <w:b/>
          <w:bCs/>
          <w:sz w:val="24"/>
        </w:rPr>
      </w:pPr>
      <w:r>
        <w:rPr>
          <w:b/>
          <w:bCs/>
          <w:sz w:val="24"/>
        </w:rPr>
        <w:t>2</w:t>
      </w:r>
      <w:r>
        <w:rPr>
          <w:sz w:val="24"/>
        </w:rPr>
        <w:t xml:space="preserve">  正常使用极限状态</w:t>
      </w:r>
      <w:r>
        <w:rPr>
          <w:rFonts w:hint="eastAsia"/>
          <w:sz w:val="24"/>
        </w:rPr>
        <w:t>应为</w:t>
      </w:r>
      <w:r>
        <w:rPr>
          <w:sz w:val="24"/>
        </w:rPr>
        <w:t>管幕结构或接缝的竖向变形超过规定限值。</w:t>
      </w:r>
      <w:r>
        <w:rPr>
          <w:b/>
          <w:bCs/>
          <w:sz w:val="24"/>
        </w:rPr>
        <w:t xml:space="preserve"> </w:t>
      </w:r>
    </w:p>
    <w:p>
      <w:pPr>
        <w:spacing w:line="440" w:lineRule="exact"/>
        <w:rPr>
          <w:sz w:val="24"/>
        </w:rPr>
      </w:pPr>
      <w:r>
        <w:rPr>
          <w:b/>
          <w:bCs/>
          <w:sz w:val="24"/>
        </w:rPr>
        <w:t>4.8.4</w:t>
      </w:r>
      <w:r>
        <w:rPr>
          <w:sz w:val="24"/>
        </w:rPr>
        <w:t>管道结构的内力分析，均应按弹性体系计算，不</w:t>
      </w:r>
      <w:r>
        <w:rPr>
          <w:rFonts w:hint="eastAsia"/>
          <w:sz w:val="24"/>
        </w:rPr>
        <w:t>应</w:t>
      </w:r>
      <w:r>
        <w:rPr>
          <w:sz w:val="24"/>
        </w:rPr>
        <w:t>考虑由非弹性变形所引起的塑性内力重分布。</w:t>
      </w:r>
    </w:p>
    <w:p>
      <w:pPr>
        <w:spacing w:line="440" w:lineRule="exact"/>
        <w:rPr>
          <w:sz w:val="24"/>
        </w:rPr>
      </w:pPr>
      <w:r>
        <w:rPr>
          <w:b/>
          <w:bCs/>
          <w:sz w:val="24"/>
        </w:rPr>
        <w:t xml:space="preserve">4.8.5 </w:t>
      </w:r>
      <w:r>
        <w:rPr>
          <w:sz w:val="24"/>
        </w:rPr>
        <w:t>顶管结构</w:t>
      </w:r>
      <w:r>
        <w:rPr>
          <w:rFonts w:hint="eastAsia"/>
          <w:sz w:val="24"/>
        </w:rPr>
        <w:t>上的受力作用应</w:t>
      </w:r>
      <w:r>
        <w:rPr>
          <w:sz w:val="24"/>
        </w:rPr>
        <w:t>分为永久作用和可变作用</w:t>
      </w:r>
      <w:r>
        <w:rPr>
          <w:rFonts w:hint="eastAsia"/>
          <w:sz w:val="24"/>
        </w:rPr>
        <w:t>，并应符合下列规定</w:t>
      </w:r>
      <w:r>
        <w:rPr>
          <w:sz w:val="24"/>
        </w:rPr>
        <w:t>：</w:t>
      </w:r>
    </w:p>
    <w:p>
      <w:pPr>
        <w:pStyle w:val="2"/>
        <w:spacing w:after="0" w:line="440" w:lineRule="exact"/>
        <w:ind w:left="0" w:leftChars="0" w:firstLine="361" w:firstLineChars="150"/>
        <w:rPr>
          <w:sz w:val="24"/>
        </w:rPr>
      </w:pPr>
      <w:r>
        <w:rPr>
          <w:b/>
          <w:bCs/>
          <w:sz w:val="24"/>
        </w:rPr>
        <w:t>1</w:t>
      </w:r>
      <w:r>
        <w:rPr>
          <w:sz w:val="24"/>
        </w:rPr>
        <w:t xml:space="preserve">  永久作用应包括管道结构自重、竖向土压力、侧向土压力、管道内填充和顶管轴线偏差引起的纵向作用；</w:t>
      </w:r>
    </w:p>
    <w:p>
      <w:pPr>
        <w:pStyle w:val="2"/>
        <w:spacing w:after="0" w:line="440" w:lineRule="exact"/>
        <w:ind w:left="0" w:leftChars="0" w:firstLine="361" w:firstLineChars="150"/>
        <w:rPr>
          <w:sz w:val="24"/>
        </w:rPr>
      </w:pPr>
      <w:r>
        <w:rPr>
          <w:b/>
          <w:bCs/>
          <w:sz w:val="24"/>
        </w:rPr>
        <w:t>2</w:t>
      </w:r>
      <w:r>
        <w:rPr>
          <w:sz w:val="24"/>
        </w:rPr>
        <w:t xml:space="preserve">  可变作用应包括地面堆积荷载变化、地面车辆荷载、地下水作用、温度变化作用和顶力作用。</w:t>
      </w:r>
    </w:p>
    <w:p>
      <w:pPr>
        <w:pStyle w:val="2"/>
        <w:spacing w:after="0" w:line="440" w:lineRule="exact"/>
        <w:ind w:left="0" w:leftChars="0" w:firstLine="0" w:firstLineChars="0"/>
        <w:rPr>
          <w:sz w:val="24"/>
        </w:rPr>
      </w:pPr>
      <w:r>
        <w:rPr>
          <w:b/>
          <w:bCs/>
          <w:sz w:val="24"/>
        </w:rPr>
        <w:t>4.8.</w:t>
      </w:r>
      <w:r>
        <w:rPr>
          <w:rFonts w:hint="eastAsia"/>
          <w:b/>
          <w:bCs/>
          <w:sz w:val="24"/>
        </w:rPr>
        <w:t xml:space="preserve">6  </w:t>
      </w:r>
      <w:r>
        <w:rPr>
          <w:sz w:val="24"/>
        </w:rPr>
        <w:t>当管幕钢管内进行填充时</w:t>
      </w:r>
      <w:r>
        <w:rPr>
          <w:rFonts w:hint="eastAsia"/>
          <w:sz w:val="24"/>
        </w:rPr>
        <w:t>，管幕结构应按照钢管混凝土进行计算和验算。</w:t>
      </w:r>
    </w:p>
    <w:p>
      <w:pPr>
        <w:pStyle w:val="2"/>
        <w:spacing w:after="0" w:line="440" w:lineRule="exact"/>
        <w:ind w:left="0" w:leftChars="0" w:firstLine="0" w:firstLineChars="0"/>
        <w:rPr>
          <w:sz w:val="24"/>
        </w:rPr>
      </w:pPr>
      <w:r>
        <w:rPr>
          <w:b/>
          <w:bCs/>
          <w:sz w:val="24"/>
        </w:rPr>
        <w:t>4.8.7</w:t>
      </w:r>
      <w:r>
        <w:rPr>
          <w:sz w:val="24"/>
        </w:rPr>
        <w:t xml:space="preserve"> 钢管混凝土构件的承载力应按下列公式验算：</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7"/>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507" w:type="dxa"/>
            <w:vAlign w:val="center"/>
          </w:tcPr>
          <w:p>
            <w:pPr>
              <w:pStyle w:val="2"/>
              <w:spacing w:after="0"/>
              <w:ind w:left="0" w:leftChars="0" w:firstLine="0" w:firstLineChars="0"/>
              <w:jc w:val="center"/>
            </w:pPr>
            <w:r>
              <w:object>
                <v:shape id="_x0000_i1025" o:spt="75" type="#_x0000_t75" style="height:21.45pt;width:57.45pt;" o:ole="t" filled="f" o:preferrelative="t" stroked="f" coordsize="21600,21600">
                  <v:path/>
                  <v:fill on="f" focussize="0,0"/>
                  <v:stroke on="f" joinstyle="miter"/>
                  <v:imagedata r:id="rId9" o:title=""/>
                  <o:lock v:ext="edit" aspectratio="t"/>
                  <w10:wrap type="none"/>
                  <w10:anchorlock/>
                </v:shape>
                <o:OLEObject Type="Embed" ProgID="Unknown" ShapeID="_x0000_i1025" DrawAspect="Content" ObjectID="_1468075725" r:id="rId8">
                  <o:LockedField>false</o:LockedField>
                </o:OLEObject>
              </w:object>
            </w:r>
          </w:p>
        </w:tc>
        <w:tc>
          <w:tcPr>
            <w:tcW w:w="1725" w:type="dxa"/>
            <w:vAlign w:val="center"/>
          </w:tcPr>
          <w:p>
            <w:pPr>
              <w:pStyle w:val="2"/>
              <w:spacing w:after="0"/>
              <w:ind w:left="0" w:leftChars="0" w:firstLine="0" w:firstLineChars="0"/>
              <w:jc w:val="center"/>
              <w:rPr>
                <w:sz w:val="28"/>
                <w:vertAlign w:val="subscript"/>
              </w:rPr>
            </w:pPr>
            <w:r>
              <w:rPr>
                <w:kern w:val="0"/>
                <w:sz w:val="24"/>
              </w:rPr>
              <w:t>（4.8.7）</w:t>
            </w:r>
          </w:p>
        </w:tc>
      </w:tr>
    </w:tbl>
    <w:p>
      <w:pPr>
        <w:pStyle w:val="2"/>
        <w:spacing w:after="0" w:line="440" w:lineRule="exact"/>
        <w:ind w:left="0" w:leftChars="0" w:firstLine="360" w:firstLineChars="150"/>
        <w:rPr>
          <w:sz w:val="24"/>
        </w:rPr>
      </w:pPr>
      <w:r>
        <w:rPr>
          <w:sz w:val="24"/>
        </w:rPr>
        <w:t xml:space="preserve">式中: </w:t>
      </w:r>
      <w:r>
        <w:rPr>
          <w:i/>
          <w:iCs/>
          <w:sz w:val="24"/>
        </w:rPr>
        <w:t>γ</w:t>
      </w:r>
      <w:r>
        <w:rPr>
          <w:i/>
          <w:iCs/>
          <w:sz w:val="24"/>
          <w:vertAlign w:val="subscript"/>
        </w:rPr>
        <w:t>0</w:t>
      </w:r>
      <w:r>
        <w:rPr>
          <w:sz w:val="24"/>
        </w:rPr>
        <w:t>——结构重要性系数，不应小于1.0；</w:t>
      </w:r>
    </w:p>
    <w:p>
      <w:pPr>
        <w:pStyle w:val="2"/>
        <w:spacing w:after="0" w:line="440" w:lineRule="exact"/>
        <w:ind w:left="0" w:leftChars="0" w:firstLine="1200" w:firstLineChars="500"/>
        <w:rPr>
          <w:sz w:val="24"/>
        </w:rPr>
      </w:pPr>
      <w:r>
        <w:rPr>
          <w:i/>
          <w:iCs/>
          <w:sz w:val="24"/>
        </w:rPr>
        <w:t>S</w:t>
      </w:r>
      <w:r>
        <w:rPr>
          <w:i/>
          <w:iCs/>
          <w:sz w:val="24"/>
          <w:vertAlign w:val="subscript"/>
        </w:rPr>
        <w:t>d</w:t>
      </w:r>
      <w:r>
        <w:rPr>
          <w:sz w:val="24"/>
        </w:rPr>
        <w:t>——作用组合的效应设计值；</w:t>
      </w:r>
    </w:p>
    <w:p>
      <w:pPr>
        <w:pStyle w:val="2"/>
        <w:spacing w:after="0" w:line="440" w:lineRule="exact"/>
        <w:ind w:left="0" w:leftChars="0" w:firstLine="1200" w:firstLineChars="500"/>
        <w:rPr>
          <w:sz w:val="24"/>
        </w:rPr>
      </w:pPr>
      <w:r>
        <w:rPr>
          <w:i/>
          <w:iCs/>
          <w:sz w:val="24"/>
        </w:rPr>
        <w:t>R</w:t>
      </w:r>
      <w:r>
        <w:rPr>
          <w:i/>
          <w:iCs/>
          <w:sz w:val="24"/>
          <w:vertAlign w:val="subscript"/>
        </w:rPr>
        <w:t>d</w:t>
      </w:r>
      <w:r>
        <w:rPr>
          <w:sz w:val="24"/>
        </w:rPr>
        <w:t>——构件承载力设计值。</w:t>
      </w:r>
    </w:p>
    <w:p>
      <w:pPr>
        <w:pStyle w:val="2"/>
        <w:spacing w:after="0" w:line="440" w:lineRule="exact"/>
        <w:ind w:left="0" w:leftChars="0" w:firstLine="0" w:firstLineChars="0"/>
        <w:rPr>
          <w:sz w:val="24"/>
        </w:rPr>
      </w:pPr>
      <w:r>
        <w:rPr>
          <w:b/>
          <w:bCs/>
          <w:sz w:val="24"/>
        </w:rPr>
        <w:t>4.8.8</w:t>
      </w:r>
      <w:r>
        <w:rPr>
          <w:sz w:val="24"/>
        </w:rPr>
        <w:t>钢管混凝土结构进行内力和位移计算时，钢管混凝土构件的截面刚度可按下列公式计算：</w:t>
      </w:r>
    </w:p>
    <w:p>
      <w:pPr>
        <w:pStyle w:val="2"/>
        <w:spacing w:after="0" w:line="440" w:lineRule="exact"/>
        <w:ind w:left="0" w:leftChars="0" w:firstLine="360" w:firstLineChars="150"/>
        <w:rPr>
          <w:sz w:val="24"/>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0"/>
        <w:gridCol w:w="1087"/>
        <w:gridCol w:w="708"/>
        <w:gridCol w:w="1672"/>
        <w:gridCol w:w="1725"/>
        <w:gridCol w:w="1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9" w:type="dxa"/>
          <w:jc w:val="center"/>
        </w:trPr>
        <w:tc>
          <w:tcPr>
            <w:tcW w:w="4507" w:type="dxa"/>
            <w:gridSpan w:val="4"/>
            <w:vAlign w:val="center"/>
          </w:tcPr>
          <w:p>
            <w:pPr>
              <w:pStyle w:val="2"/>
              <w:spacing w:after="0"/>
              <w:ind w:left="0" w:leftChars="0" w:firstLine="0" w:firstLineChars="0"/>
              <w:jc w:val="right"/>
            </w:pPr>
            <w:r>
              <w:rPr>
                <w:i/>
                <w:iCs/>
                <w:sz w:val="28"/>
              </w:rPr>
              <w:t>EA=E</w:t>
            </w:r>
            <w:r>
              <w:rPr>
                <w:i/>
                <w:iCs/>
                <w:sz w:val="24"/>
                <w:vertAlign w:val="subscript"/>
              </w:rPr>
              <w:t>C</w:t>
            </w:r>
            <w:r>
              <w:rPr>
                <w:i/>
                <w:iCs/>
                <w:sz w:val="28"/>
              </w:rPr>
              <w:t>A</w:t>
            </w:r>
            <w:r>
              <w:rPr>
                <w:i/>
                <w:iCs/>
                <w:sz w:val="24"/>
                <w:vertAlign w:val="subscript"/>
              </w:rPr>
              <w:t>C</w:t>
            </w:r>
            <w:r>
              <w:rPr>
                <w:i/>
                <w:iCs/>
                <w:sz w:val="28"/>
              </w:rPr>
              <w:t>+E</w:t>
            </w:r>
            <w:r>
              <w:rPr>
                <w:i/>
                <w:iCs/>
                <w:sz w:val="24"/>
                <w:vertAlign w:val="subscript"/>
              </w:rPr>
              <w:t>C</w:t>
            </w:r>
            <w:r>
              <w:rPr>
                <w:i/>
                <w:iCs/>
                <w:sz w:val="28"/>
              </w:rPr>
              <w:t>A</w:t>
            </w:r>
            <w:r>
              <w:rPr>
                <w:i/>
                <w:iCs/>
                <w:sz w:val="24"/>
                <w:vertAlign w:val="subscript"/>
              </w:rPr>
              <w:t>C</w:t>
            </w:r>
          </w:p>
        </w:tc>
        <w:tc>
          <w:tcPr>
            <w:tcW w:w="1725" w:type="dxa"/>
            <w:vAlign w:val="center"/>
          </w:tcPr>
          <w:p>
            <w:pPr>
              <w:pStyle w:val="2"/>
              <w:spacing w:after="0"/>
              <w:ind w:left="0" w:leftChars="0" w:firstLine="0" w:firstLineChars="0"/>
              <w:jc w:val="center"/>
              <w:rPr>
                <w:sz w:val="28"/>
                <w:vertAlign w:val="subscript"/>
              </w:rPr>
            </w:pPr>
            <w:r>
              <w:rPr>
                <w:kern w:val="0"/>
                <w:sz w:val="24"/>
              </w:rPr>
              <w:t>（4.8.8-1）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9" w:type="dxa"/>
          <w:jc w:val="center"/>
        </w:trPr>
        <w:tc>
          <w:tcPr>
            <w:tcW w:w="4507" w:type="dxa"/>
            <w:gridSpan w:val="4"/>
            <w:vAlign w:val="center"/>
          </w:tcPr>
          <w:p>
            <w:pPr>
              <w:pStyle w:val="2"/>
              <w:spacing w:after="0"/>
              <w:ind w:left="0" w:leftChars="0" w:firstLine="0" w:firstLineChars="0"/>
              <w:jc w:val="right"/>
            </w:pPr>
            <w:r>
              <w:rPr>
                <w:i/>
                <w:iCs/>
                <w:sz w:val="28"/>
              </w:rPr>
              <w:t>EI= E</w:t>
            </w:r>
            <w:r>
              <w:rPr>
                <w:i/>
                <w:iCs/>
                <w:sz w:val="24"/>
                <w:vertAlign w:val="subscript"/>
              </w:rPr>
              <w:t>S</w:t>
            </w:r>
            <w:r>
              <w:rPr>
                <w:i/>
                <w:iCs/>
                <w:sz w:val="28"/>
              </w:rPr>
              <w:t>I</w:t>
            </w:r>
            <w:r>
              <w:rPr>
                <w:i/>
                <w:iCs/>
                <w:sz w:val="24"/>
                <w:vertAlign w:val="subscript"/>
              </w:rPr>
              <w:t>S</w:t>
            </w:r>
            <w:r>
              <w:rPr>
                <w:i/>
                <w:iCs/>
                <w:sz w:val="28"/>
              </w:rPr>
              <w:t>+E</w:t>
            </w:r>
            <w:r>
              <w:rPr>
                <w:i/>
                <w:iCs/>
                <w:sz w:val="24"/>
                <w:vertAlign w:val="subscript"/>
              </w:rPr>
              <w:t>C</w:t>
            </w:r>
            <w:r>
              <w:rPr>
                <w:i/>
                <w:iCs/>
                <w:sz w:val="28"/>
              </w:rPr>
              <w:t>I</w:t>
            </w:r>
            <w:r>
              <w:rPr>
                <w:i/>
                <w:iCs/>
                <w:sz w:val="24"/>
                <w:vertAlign w:val="subscript"/>
              </w:rPr>
              <w:t>C</w:t>
            </w:r>
          </w:p>
        </w:tc>
        <w:tc>
          <w:tcPr>
            <w:tcW w:w="1725" w:type="dxa"/>
            <w:vAlign w:val="center"/>
          </w:tcPr>
          <w:p>
            <w:pPr>
              <w:pStyle w:val="2"/>
              <w:spacing w:after="0"/>
              <w:ind w:left="0" w:leftChars="0" w:firstLine="0" w:firstLineChars="0"/>
              <w:jc w:val="center"/>
            </w:pPr>
            <w:r>
              <w:rPr>
                <w:kern w:val="0"/>
                <w:sz w:val="24"/>
              </w:rPr>
              <w:t>（4.8.8-2）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9" w:type="dxa"/>
          <w:jc w:val="center"/>
        </w:trPr>
        <w:tc>
          <w:tcPr>
            <w:tcW w:w="4507" w:type="dxa"/>
            <w:gridSpan w:val="4"/>
            <w:vAlign w:val="center"/>
          </w:tcPr>
          <w:p>
            <w:pPr>
              <w:pStyle w:val="2"/>
              <w:spacing w:after="0"/>
              <w:ind w:left="0" w:leftChars="0" w:firstLine="0" w:firstLineChars="0"/>
              <w:jc w:val="right"/>
            </w:pPr>
            <w:r>
              <w:rPr>
                <w:i/>
                <w:iCs/>
                <w:sz w:val="28"/>
              </w:rPr>
              <w:t>GA= G</w:t>
            </w:r>
            <w:r>
              <w:rPr>
                <w:i/>
                <w:iCs/>
                <w:sz w:val="24"/>
                <w:vertAlign w:val="subscript"/>
              </w:rPr>
              <w:t>S</w:t>
            </w:r>
            <w:r>
              <w:rPr>
                <w:i/>
                <w:iCs/>
                <w:sz w:val="28"/>
              </w:rPr>
              <w:t>A</w:t>
            </w:r>
            <w:r>
              <w:rPr>
                <w:i/>
                <w:iCs/>
                <w:sz w:val="24"/>
                <w:vertAlign w:val="subscript"/>
              </w:rPr>
              <w:t>S</w:t>
            </w:r>
            <w:r>
              <w:rPr>
                <w:i/>
                <w:iCs/>
                <w:sz w:val="28"/>
              </w:rPr>
              <w:t>+G</w:t>
            </w:r>
            <w:r>
              <w:rPr>
                <w:i/>
                <w:iCs/>
                <w:sz w:val="24"/>
                <w:vertAlign w:val="subscript"/>
              </w:rPr>
              <w:t>C</w:t>
            </w:r>
            <w:r>
              <w:rPr>
                <w:i/>
                <w:iCs/>
                <w:sz w:val="28"/>
              </w:rPr>
              <w:t>A</w:t>
            </w:r>
            <w:r>
              <w:rPr>
                <w:i/>
                <w:iCs/>
                <w:sz w:val="24"/>
                <w:vertAlign w:val="subscript"/>
              </w:rPr>
              <w:t>C</w:t>
            </w:r>
          </w:p>
        </w:tc>
        <w:tc>
          <w:tcPr>
            <w:tcW w:w="1725" w:type="dxa"/>
            <w:vAlign w:val="center"/>
          </w:tcPr>
          <w:p>
            <w:pPr>
              <w:pStyle w:val="2"/>
              <w:spacing w:after="0"/>
              <w:ind w:left="0" w:leftChars="0" w:firstLine="0" w:firstLineChars="0"/>
              <w:jc w:val="center"/>
            </w:pPr>
            <w:r>
              <w:rPr>
                <w:kern w:val="0"/>
                <w:sz w:val="24"/>
              </w:rPr>
              <w:t>（4.8.8-3）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0" w:type="dxa"/>
          </w:tcPr>
          <w:p>
            <w:pPr>
              <w:pStyle w:val="2"/>
              <w:spacing w:after="0" w:line="440" w:lineRule="exact"/>
              <w:ind w:left="0" w:leftChars="0" w:firstLine="0" w:firstLineChars="0"/>
              <w:rPr>
                <w:sz w:val="24"/>
              </w:rPr>
            </w:pPr>
            <w:r>
              <w:rPr>
                <w:sz w:val="24"/>
              </w:rPr>
              <w:t>式中：</w:t>
            </w:r>
          </w:p>
        </w:tc>
        <w:tc>
          <w:tcPr>
            <w:tcW w:w="1087" w:type="dxa"/>
          </w:tcPr>
          <w:p>
            <w:pPr>
              <w:pStyle w:val="2"/>
              <w:spacing w:after="0" w:line="440" w:lineRule="exact"/>
              <w:ind w:left="0" w:leftChars="0" w:firstLine="0" w:firstLineChars="0"/>
              <w:jc w:val="right"/>
              <w:rPr>
                <w:i/>
                <w:iCs/>
                <w:sz w:val="24"/>
              </w:rPr>
            </w:pPr>
            <w:r>
              <w:rPr>
                <w:i/>
                <w:iCs/>
                <w:sz w:val="24"/>
              </w:rPr>
              <w:t>EA</w:t>
            </w:r>
          </w:p>
        </w:tc>
        <w:tc>
          <w:tcPr>
            <w:tcW w:w="708" w:type="dxa"/>
          </w:tcPr>
          <w:p>
            <w:pPr>
              <w:pStyle w:val="2"/>
              <w:spacing w:after="0" w:line="440" w:lineRule="exact"/>
              <w:ind w:left="0" w:leftChars="0" w:firstLine="0" w:firstLineChars="0"/>
              <w:rPr>
                <w:sz w:val="24"/>
              </w:rPr>
            </w:pPr>
            <w:r>
              <w:rPr>
                <w:sz w:val="24"/>
              </w:rPr>
              <w:t>——</w:t>
            </w:r>
          </w:p>
        </w:tc>
        <w:tc>
          <w:tcPr>
            <w:tcW w:w="4536" w:type="dxa"/>
            <w:gridSpan w:val="3"/>
          </w:tcPr>
          <w:p>
            <w:pPr>
              <w:pStyle w:val="2"/>
              <w:spacing w:after="0" w:line="440" w:lineRule="exact"/>
              <w:ind w:left="0" w:leftChars="0" w:firstLine="0" w:firstLineChars="0"/>
              <w:rPr>
                <w:sz w:val="24"/>
              </w:rPr>
            </w:pPr>
            <w:r>
              <w:rPr>
                <w:sz w:val="24"/>
              </w:rPr>
              <w:t>钢管混凝土柱的组合轴压刚度；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0" w:type="dxa"/>
          </w:tcPr>
          <w:p>
            <w:pPr>
              <w:pStyle w:val="2"/>
              <w:spacing w:after="0" w:line="440" w:lineRule="exact"/>
              <w:ind w:left="0" w:leftChars="0" w:firstLine="0" w:firstLineChars="0"/>
              <w:rPr>
                <w:sz w:val="24"/>
              </w:rPr>
            </w:pPr>
          </w:p>
        </w:tc>
        <w:tc>
          <w:tcPr>
            <w:tcW w:w="1087" w:type="dxa"/>
          </w:tcPr>
          <w:p>
            <w:pPr>
              <w:pStyle w:val="2"/>
              <w:spacing w:after="0" w:line="440" w:lineRule="exact"/>
              <w:ind w:left="0" w:leftChars="0" w:firstLine="0" w:firstLineChars="0"/>
              <w:jc w:val="right"/>
              <w:rPr>
                <w:i/>
                <w:iCs/>
                <w:sz w:val="24"/>
              </w:rPr>
            </w:pPr>
            <w:r>
              <w:rPr>
                <w:i/>
                <w:iCs/>
                <w:sz w:val="24"/>
              </w:rPr>
              <w:t>EI</w:t>
            </w:r>
          </w:p>
        </w:tc>
        <w:tc>
          <w:tcPr>
            <w:tcW w:w="708" w:type="dxa"/>
          </w:tcPr>
          <w:p>
            <w:pPr>
              <w:pStyle w:val="2"/>
              <w:spacing w:after="0" w:line="440" w:lineRule="exact"/>
              <w:ind w:left="0" w:leftChars="0" w:firstLine="0" w:firstLineChars="0"/>
              <w:rPr>
                <w:sz w:val="24"/>
              </w:rPr>
            </w:pPr>
            <w:r>
              <w:rPr>
                <w:sz w:val="24"/>
              </w:rPr>
              <w:t>——</w:t>
            </w:r>
          </w:p>
        </w:tc>
        <w:tc>
          <w:tcPr>
            <w:tcW w:w="4536" w:type="dxa"/>
            <w:gridSpan w:val="3"/>
          </w:tcPr>
          <w:p>
            <w:pPr>
              <w:pStyle w:val="2"/>
              <w:spacing w:after="0" w:line="440" w:lineRule="exact"/>
              <w:ind w:left="0" w:leftChars="0" w:firstLine="0" w:firstLineChars="0"/>
              <w:rPr>
                <w:sz w:val="24"/>
              </w:rPr>
            </w:pPr>
            <w:r>
              <w:rPr>
                <w:sz w:val="24"/>
              </w:rPr>
              <w:t>钢管混凝土柱的组合剪切刚度；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0" w:type="dxa"/>
          </w:tcPr>
          <w:p>
            <w:pPr>
              <w:pStyle w:val="2"/>
              <w:spacing w:after="0" w:line="440" w:lineRule="exact"/>
              <w:ind w:left="0" w:leftChars="0" w:firstLine="0" w:firstLineChars="0"/>
              <w:rPr>
                <w:sz w:val="24"/>
              </w:rPr>
            </w:pPr>
          </w:p>
        </w:tc>
        <w:tc>
          <w:tcPr>
            <w:tcW w:w="1087" w:type="dxa"/>
          </w:tcPr>
          <w:p>
            <w:pPr>
              <w:pStyle w:val="2"/>
              <w:spacing w:after="0" w:line="440" w:lineRule="exact"/>
              <w:ind w:left="0" w:leftChars="0" w:firstLine="0" w:firstLineChars="0"/>
              <w:jc w:val="right"/>
              <w:rPr>
                <w:i/>
                <w:iCs/>
                <w:sz w:val="24"/>
              </w:rPr>
            </w:pPr>
            <w:r>
              <w:rPr>
                <w:i/>
                <w:iCs/>
                <w:sz w:val="24"/>
              </w:rPr>
              <w:t>GA</w:t>
            </w:r>
          </w:p>
        </w:tc>
        <w:tc>
          <w:tcPr>
            <w:tcW w:w="708" w:type="dxa"/>
          </w:tcPr>
          <w:p>
            <w:pPr>
              <w:pStyle w:val="2"/>
              <w:spacing w:after="0" w:line="440" w:lineRule="exact"/>
              <w:ind w:left="0" w:leftChars="0" w:firstLine="0" w:firstLineChars="0"/>
              <w:rPr>
                <w:sz w:val="24"/>
              </w:rPr>
            </w:pPr>
            <w:r>
              <w:rPr>
                <w:sz w:val="24"/>
              </w:rPr>
              <w:t>——</w:t>
            </w:r>
          </w:p>
        </w:tc>
        <w:tc>
          <w:tcPr>
            <w:tcW w:w="4536" w:type="dxa"/>
            <w:gridSpan w:val="3"/>
          </w:tcPr>
          <w:p>
            <w:pPr>
              <w:pStyle w:val="2"/>
              <w:spacing w:after="0" w:line="440" w:lineRule="exact"/>
              <w:ind w:left="0" w:leftChars="0" w:firstLine="0" w:firstLineChars="0"/>
              <w:rPr>
                <w:sz w:val="24"/>
              </w:rPr>
            </w:pPr>
            <w:r>
              <w:rPr>
                <w:sz w:val="24"/>
              </w:rPr>
              <w:t>钢管混凝土柱的组合剪切刚度；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0" w:type="dxa"/>
          </w:tcPr>
          <w:p>
            <w:pPr>
              <w:pStyle w:val="2"/>
              <w:spacing w:after="0" w:line="440" w:lineRule="exact"/>
              <w:ind w:left="0" w:leftChars="0" w:firstLine="0" w:firstLineChars="0"/>
              <w:rPr>
                <w:sz w:val="24"/>
              </w:rPr>
            </w:pPr>
          </w:p>
        </w:tc>
        <w:tc>
          <w:tcPr>
            <w:tcW w:w="1087" w:type="dxa"/>
          </w:tcPr>
          <w:p>
            <w:pPr>
              <w:pStyle w:val="2"/>
              <w:spacing w:after="0" w:line="440" w:lineRule="exact"/>
              <w:ind w:left="0" w:leftChars="0" w:firstLine="0" w:firstLineChars="0"/>
              <w:jc w:val="right"/>
              <w:rPr>
                <w:i/>
                <w:iCs/>
                <w:sz w:val="24"/>
              </w:rPr>
            </w:pPr>
            <w:r>
              <w:rPr>
                <w:i/>
                <w:iCs/>
                <w:sz w:val="24"/>
              </w:rPr>
              <w:t>E</w:t>
            </w:r>
            <w:r>
              <w:rPr>
                <w:i/>
                <w:iCs/>
                <w:sz w:val="24"/>
                <w:vertAlign w:val="subscript"/>
              </w:rPr>
              <w:t>S</w:t>
            </w:r>
            <w:r>
              <w:rPr>
                <w:i/>
                <w:iCs/>
                <w:sz w:val="24"/>
              </w:rPr>
              <w:t>、E</w:t>
            </w:r>
            <w:r>
              <w:rPr>
                <w:i/>
                <w:iCs/>
                <w:sz w:val="24"/>
                <w:vertAlign w:val="subscript"/>
              </w:rPr>
              <w:t>C</w:t>
            </w:r>
          </w:p>
        </w:tc>
        <w:tc>
          <w:tcPr>
            <w:tcW w:w="708" w:type="dxa"/>
          </w:tcPr>
          <w:p>
            <w:pPr>
              <w:pStyle w:val="2"/>
              <w:spacing w:after="0" w:line="440" w:lineRule="exact"/>
              <w:ind w:left="0" w:leftChars="0" w:firstLine="0" w:firstLineChars="0"/>
              <w:rPr>
                <w:sz w:val="24"/>
              </w:rPr>
            </w:pPr>
            <w:r>
              <w:rPr>
                <w:sz w:val="24"/>
              </w:rPr>
              <w:t>——</w:t>
            </w:r>
          </w:p>
        </w:tc>
        <w:tc>
          <w:tcPr>
            <w:tcW w:w="4536" w:type="dxa"/>
            <w:gridSpan w:val="3"/>
          </w:tcPr>
          <w:p>
            <w:pPr>
              <w:pStyle w:val="2"/>
              <w:spacing w:after="0" w:line="440" w:lineRule="exact"/>
              <w:ind w:left="0" w:leftChars="0" w:firstLine="0" w:firstLineChars="0"/>
              <w:rPr>
                <w:sz w:val="24"/>
              </w:rPr>
            </w:pPr>
            <w:r>
              <w:rPr>
                <w:sz w:val="24"/>
              </w:rPr>
              <w:t>钢管、钢管内混凝土的弹性模量；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0" w:type="dxa"/>
          </w:tcPr>
          <w:p>
            <w:pPr>
              <w:pStyle w:val="2"/>
              <w:spacing w:after="0" w:line="440" w:lineRule="exact"/>
              <w:ind w:left="0" w:leftChars="0" w:firstLine="0" w:firstLineChars="0"/>
              <w:rPr>
                <w:sz w:val="24"/>
              </w:rPr>
            </w:pPr>
          </w:p>
        </w:tc>
        <w:tc>
          <w:tcPr>
            <w:tcW w:w="1087" w:type="dxa"/>
          </w:tcPr>
          <w:p>
            <w:pPr>
              <w:pStyle w:val="2"/>
              <w:spacing w:after="0" w:line="440" w:lineRule="exact"/>
              <w:ind w:left="0" w:leftChars="0" w:firstLine="0" w:firstLineChars="0"/>
              <w:jc w:val="right"/>
              <w:rPr>
                <w:i/>
                <w:iCs/>
                <w:sz w:val="24"/>
              </w:rPr>
            </w:pPr>
            <w:r>
              <w:rPr>
                <w:i/>
                <w:iCs/>
                <w:sz w:val="24"/>
              </w:rPr>
              <w:t>G</w:t>
            </w:r>
            <w:r>
              <w:rPr>
                <w:i/>
                <w:iCs/>
                <w:sz w:val="24"/>
                <w:vertAlign w:val="subscript"/>
              </w:rPr>
              <w:t>S</w:t>
            </w:r>
            <w:r>
              <w:rPr>
                <w:i/>
                <w:iCs/>
                <w:sz w:val="24"/>
              </w:rPr>
              <w:t>、G</w:t>
            </w:r>
            <w:r>
              <w:rPr>
                <w:i/>
                <w:iCs/>
                <w:sz w:val="24"/>
                <w:vertAlign w:val="subscript"/>
              </w:rPr>
              <w:t>C</w:t>
            </w:r>
          </w:p>
        </w:tc>
        <w:tc>
          <w:tcPr>
            <w:tcW w:w="708" w:type="dxa"/>
          </w:tcPr>
          <w:p>
            <w:pPr>
              <w:pStyle w:val="2"/>
              <w:spacing w:after="0" w:line="440" w:lineRule="exact"/>
              <w:ind w:left="0" w:leftChars="0" w:firstLine="0" w:firstLineChars="0"/>
              <w:rPr>
                <w:sz w:val="24"/>
              </w:rPr>
            </w:pPr>
            <w:r>
              <w:rPr>
                <w:sz w:val="24"/>
              </w:rPr>
              <w:t>——</w:t>
            </w:r>
          </w:p>
        </w:tc>
        <w:tc>
          <w:tcPr>
            <w:tcW w:w="4536" w:type="dxa"/>
            <w:gridSpan w:val="3"/>
          </w:tcPr>
          <w:p>
            <w:pPr>
              <w:pStyle w:val="2"/>
              <w:spacing w:after="0" w:line="440" w:lineRule="exact"/>
              <w:ind w:left="0" w:leftChars="0" w:firstLine="0" w:firstLineChars="0"/>
              <w:rPr>
                <w:sz w:val="24"/>
              </w:rPr>
            </w:pPr>
            <w:r>
              <w:rPr>
                <w:sz w:val="24"/>
              </w:rPr>
              <w:t>钢管、钢管内混凝土的剪变模量；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0" w:type="dxa"/>
          </w:tcPr>
          <w:p>
            <w:pPr>
              <w:pStyle w:val="2"/>
              <w:spacing w:after="0" w:line="440" w:lineRule="exact"/>
              <w:ind w:left="0" w:leftChars="0" w:firstLine="0" w:firstLineChars="0"/>
              <w:rPr>
                <w:sz w:val="24"/>
              </w:rPr>
            </w:pPr>
          </w:p>
        </w:tc>
        <w:tc>
          <w:tcPr>
            <w:tcW w:w="1087" w:type="dxa"/>
          </w:tcPr>
          <w:p>
            <w:pPr>
              <w:pStyle w:val="2"/>
              <w:spacing w:after="0" w:line="440" w:lineRule="exact"/>
              <w:ind w:left="0" w:leftChars="0" w:firstLine="0" w:firstLineChars="0"/>
              <w:jc w:val="right"/>
              <w:rPr>
                <w:i/>
                <w:iCs/>
                <w:sz w:val="24"/>
              </w:rPr>
            </w:pPr>
            <w:r>
              <w:rPr>
                <w:i/>
                <w:iCs/>
                <w:sz w:val="24"/>
              </w:rPr>
              <w:t>A</w:t>
            </w:r>
            <w:r>
              <w:rPr>
                <w:i/>
                <w:iCs/>
                <w:sz w:val="24"/>
                <w:vertAlign w:val="subscript"/>
              </w:rPr>
              <w:t>S</w:t>
            </w:r>
            <w:r>
              <w:rPr>
                <w:i/>
                <w:iCs/>
                <w:sz w:val="24"/>
              </w:rPr>
              <w:t>、A</w:t>
            </w:r>
            <w:r>
              <w:rPr>
                <w:i/>
                <w:iCs/>
                <w:sz w:val="24"/>
                <w:vertAlign w:val="subscript"/>
              </w:rPr>
              <w:t>C</w:t>
            </w:r>
          </w:p>
        </w:tc>
        <w:tc>
          <w:tcPr>
            <w:tcW w:w="708" w:type="dxa"/>
          </w:tcPr>
          <w:p>
            <w:pPr>
              <w:pStyle w:val="2"/>
              <w:spacing w:after="0" w:line="440" w:lineRule="exact"/>
              <w:ind w:left="0" w:leftChars="0" w:firstLine="0" w:firstLineChars="0"/>
              <w:rPr>
                <w:sz w:val="24"/>
              </w:rPr>
            </w:pPr>
            <w:r>
              <w:rPr>
                <w:sz w:val="24"/>
              </w:rPr>
              <w:t>——</w:t>
            </w:r>
          </w:p>
        </w:tc>
        <w:tc>
          <w:tcPr>
            <w:tcW w:w="4536" w:type="dxa"/>
            <w:gridSpan w:val="3"/>
          </w:tcPr>
          <w:p>
            <w:pPr>
              <w:pStyle w:val="2"/>
              <w:spacing w:after="0" w:line="440" w:lineRule="exact"/>
              <w:ind w:left="0" w:leftChars="0" w:firstLine="0" w:firstLineChars="0"/>
              <w:rPr>
                <w:sz w:val="24"/>
              </w:rPr>
            </w:pPr>
            <w:r>
              <w:rPr>
                <w:sz w:val="24"/>
              </w:rPr>
              <w:t>钢管、钢管内混凝土的截面面积；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0" w:type="dxa"/>
          </w:tcPr>
          <w:p>
            <w:pPr>
              <w:pStyle w:val="2"/>
              <w:spacing w:after="0" w:line="440" w:lineRule="exact"/>
              <w:ind w:left="0" w:leftChars="0" w:firstLine="0" w:firstLineChars="0"/>
              <w:rPr>
                <w:sz w:val="24"/>
              </w:rPr>
            </w:pPr>
          </w:p>
        </w:tc>
        <w:tc>
          <w:tcPr>
            <w:tcW w:w="1087" w:type="dxa"/>
          </w:tcPr>
          <w:p>
            <w:pPr>
              <w:pStyle w:val="2"/>
              <w:spacing w:after="0" w:line="440" w:lineRule="exact"/>
              <w:ind w:left="0" w:leftChars="0" w:firstLine="0" w:firstLineChars="0"/>
              <w:jc w:val="right"/>
              <w:rPr>
                <w:i/>
                <w:iCs/>
                <w:sz w:val="24"/>
              </w:rPr>
            </w:pPr>
            <w:r>
              <w:rPr>
                <w:i/>
                <w:iCs/>
                <w:sz w:val="24"/>
              </w:rPr>
              <w:t>I</w:t>
            </w:r>
            <w:r>
              <w:rPr>
                <w:i/>
                <w:iCs/>
                <w:sz w:val="24"/>
                <w:vertAlign w:val="subscript"/>
              </w:rPr>
              <w:t>S</w:t>
            </w:r>
            <w:r>
              <w:rPr>
                <w:i/>
                <w:iCs/>
                <w:sz w:val="24"/>
              </w:rPr>
              <w:t>、I</w:t>
            </w:r>
            <w:r>
              <w:rPr>
                <w:i/>
                <w:iCs/>
                <w:sz w:val="24"/>
                <w:vertAlign w:val="subscript"/>
              </w:rPr>
              <w:t>C</w:t>
            </w:r>
          </w:p>
        </w:tc>
        <w:tc>
          <w:tcPr>
            <w:tcW w:w="708" w:type="dxa"/>
          </w:tcPr>
          <w:p>
            <w:pPr>
              <w:pStyle w:val="2"/>
              <w:spacing w:after="0" w:line="440" w:lineRule="exact"/>
              <w:ind w:left="0" w:leftChars="0" w:firstLine="0" w:firstLineChars="0"/>
              <w:rPr>
                <w:sz w:val="24"/>
              </w:rPr>
            </w:pPr>
            <w:r>
              <w:rPr>
                <w:sz w:val="24"/>
              </w:rPr>
              <w:t>——</w:t>
            </w:r>
          </w:p>
        </w:tc>
        <w:tc>
          <w:tcPr>
            <w:tcW w:w="4536" w:type="dxa"/>
            <w:gridSpan w:val="3"/>
          </w:tcPr>
          <w:p>
            <w:pPr>
              <w:pStyle w:val="2"/>
              <w:spacing w:after="0" w:line="440" w:lineRule="exact"/>
              <w:ind w:left="0" w:leftChars="0" w:firstLine="0" w:firstLineChars="0"/>
              <w:rPr>
                <w:sz w:val="24"/>
              </w:rPr>
            </w:pPr>
            <w:r>
              <w:rPr>
                <w:sz w:val="24"/>
              </w:rPr>
              <w:t>钢管、钢管内混凝土的截面惯性矩。</w:t>
            </w:r>
          </w:p>
        </w:tc>
      </w:tr>
    </w:tbl>
    <w:p>
      <w:pPr>
        <w:pStyle w:val="2"/>
        <w:spacing w:after="0" w:line="440" w:lineRule="exact"/>
        <w:ind w:left="0" w:leftChars="0" w:firstLine="361" w:firstLineChars="150"/>
        <w:rPr>
          <w:b/>
          <w:bCs/>
          <w:sz w:val="24"/>
        </w:rPr>
      </w:pPr>
      <w:r>
        <w:rPr>
          <w:b/>
          <w:bCs/>
          <w:sz w:val="24"/>
        </w:rPr>
        <w:t xml:space="preserve">4.8.9  </w:t>
      </w:r>
      <w:r>
        <w:rPr>
          <w:sz w:val="24"/>
        </w:rPr>
        <w:t>钢管混凝土构件的受剪承载力设计值应按下列公式计算:</w:t>
      </w:r>
    </w:p>
    <w:p>
      <w:pPr>
        <w:autoSpaceDE w:val="0"/>
        <w:autoSpaceDN w:val="0"/>
        <w:adjustRightInd w:val="0"/>
        <w:spacing w:line="400" w:lineRule="exact"/>
        <w:ind w:firstLine="720"/>
        <w:rPr>
          <w:kern w:val="0"/>
          <w:sz w:val="24"/>
        </w:rPr>
      </w:pPr>
      <w:r>
        <w:rPr>
          <w:kern w:val="0"/>
          <w:sz w:val="24"/>
          <w:lang w:val="zh-CN"/>
        </w:rPr>
        <w:t>实心截面</w:t>
      </w:r>
      <w:r>
        <w:rPr>
          <w:kern w:val="0"/>
          <w:sz w:val="24"/>
        </w:rPr>
        <w:t>：</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7"/>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07" w:type="dxa"/>
            <w:vAlign w:val="center"/>
          </w:tcPr>
          <w:p>
            <w:pPr>
              <w:pStyle w:val="2"/>
              <w:spacing w:after="0"/>
              <w:ind w:left="0" w:leftChars="0" w:firstLine="0" w:firstLineChars="0"/>
              <w:jc w:val="center"/>
            </w:pPr>
            <w:r>
              <w:object>
                <v:shape id="_x0000_i1026" o:spt="75" type="#_x0000_t75" style="height:21.45pt;width:87.45pt;" o:ole="t" filled="f" o:preferrelative="t" stroked="f" coordsize="21600,21600">
                  <v:path/>
                  <v:fill on="f" focussize="0,0"/>
                  <v:stroke on="f" joinstyle="miter"/>
                  <v:imagedata r:id="rId11" o:title=""/>
                  <o:lock v:ext="edit" aspectratio="t"/>
                  <w10:wrap type="none"/>
                  <w10:anchorlock/>
                </v:shape>
                <o:OLEObject Type="Embed" ProgID="Unknown" ShapeID="_x0000_i1026" DrawAspect="Content" ObjectID="_1468075726" r:id="rId10">
                  <o:LockedField>false</o:LockedField>
                </o:OLEObject>
              </w:object>
            </w:r>
          </w:p>
        </w:tc>
        <w:tc>
          <w:tcPr>
            <w:tcW w:w="1725" w:type="dxa"/>
            <w:vAlign w:val="center"/>
          </w:tcPr>
          <w:p>
            <w:pPr>
              <w:pStyle w:val="2"/>
              <w:spacing w:after="0"/>
              <w:ind w:left="0" w:leftChars="0" w:firstLine="0" w:firstLineChars="0"/>
              <w:jc w:val="center"/>
              <w:rPr>
                <w:sz w:val="28"/>
                <w:vertAlign w:val="subscript"/>
              </w:rPr>
            </w:pPr>
            <w:r>
              <w:rPr>
                <w:kern w:val="0"/>
                <w:sz w:val="24"/>
              </w:rPr>
              <w:t>（4.8.9-1）</w:t>
            </w:r>
          </w:p>
        </w:tc>
      </w:tr>
    </w:tbl>
    <w:p>
      <w:pPr>
        <w:autoSpaceDE w:val="0"/>
        <w:autoSpaceDN w:val="0"/>
        <w:adjustRightInd w:val="0"/>
        <w:spacing w:line="400" w:lineRule="exact"/>
        <w:ind w:firstLine="720"/>
        <w:rPr>
          <w:kern w:val="0"/>
          <w:sz w:val="24"/>
        </w:rPr>
      </w:pPr>
      <w:r>
        <w:rPr>
          <w:kern w:val="0"/>
          <w:sz w:val="24"/>
          <w:lang w:val="zh-CN"/>
        </w:rPr>
        <w:t>空心截面</w:t>
      </w:r>
      <w:r>
        <w:rPr>
          <w:kern w:val="0"/>
          <w:sz w:val="24"/>
        </w:rPr>
        <w:t>：</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19"/>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07" w:type="dxa"/>
            <w:vAlign w:val="center"/>
          </w:tcPr>
          <w:p>
            <w:pPr>
              <w:pStyle w:val="2"/>
              <w:spacing w:after="0"/>
              <w:ind w:left="0" w:leftChars="0" w:firstLine="0" w:firstLineChars="0"/>
              <w:jc w:val="center"/>
            </w:pPr>
            <w:r>
              <w:object>
                <v:shape id="_x0000_i1027" o:spt="75" type="#_x0000_t75" style="height:21.45pt;width:215.15pt;" o:ole="t" filled="f" o:preferrelative="t" stroked="f" coordsize="21600,21600">
                  <v:path/>
                  <v:fill on="f" focussize="0,0"/>
                  <v:stroke on="f" joinstyle="miter"/>
                  <v:imagedata r:id="rId13" o:title=""/>
                  <o:lock v:ext="edit" aspectratio="t"/>
                  <w10:wrap type="none"/>
                  <w10:anchorlock/>
                </v:shape>
                <o:OLEObject Type="Embed" ProgID="Unknown" ShapeID="_x0000_i1027" DrawAspect="Content" ObjectID="_1468075727" r:id="rId12">
                  <o:LockedField>false</o:LockedField>
                </o:OLEObject>
              </w:object>
            </w:r>
          </w:p>
        </w:tc>
        <w:tc>
          <w:tcPr>
            <w:tcW w:w="1725" w:type="dxa"/>
            <w:vAlign w:val="center"/>
          </w:tcPr>
          <w:p>
            <w:pPr>
              <w:pStyle w:val="2"/>
              <w:spacing w:after="0"/>
              <w:ind w:left="0" w:leftChars="0" w:firstLine="0" w:firstLineChars="0"/>
              <w:jc w:val="center"/>
              <w:rPr>
                <w:sz w:val="28"/>
                <w:vertAlign w:val="subscript"/>
              </w:rPr>
            </w:pPr>
            <w:r>
              <w:rPr>
                <w:kern w:val="0"/>
                <w:sz w:val="24"/>
              </w:rPr>
              <w:t>（4.8.9-2）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07" w:type="dxa"/>
            <w:vAlign w:val="center"/>
          </w:tcPr>
          <w:p>
            <w:pPr>
              <w:pStyle w:val="2"/>
              <w:spacing w:after="0"/>
              <w:ind w:left="0" w:leftChars="0" w:firstLine="0" w:firstLineChars="0"/>
              <w:jc w:val="center"/>
            </w:pPr>
            <w:r>
              <w:object>
                <v:shape id="_x0000_i1028" o:spt="75" type="#_x0000_t75" style="height:38.55pt;width:68.55pt;" o:ole="t" filled="f" o:preferrelative="t" stroked="f" coordsize="21600,21600">
                  <v:path/>
                  <v:fill on="f" focussize="0,0"/>
                  <v:stroke on="f" joinstyle="miter"/>
                  <v:imagedata r:id="rId15" o:title=""/>
                  <o:lock v:ext="edit" aspectratio="t"/>
                  <w10:wrap type="none"/>
                  <w10:anchorlock/>
                </v:shape>
                <o:OLEObject Type="Embed" ProgID="Unknown" ShapeID="_x0000_i1028" DrawAspect="Content" ObjectID="_1468075728" r:id="rId14">
                  <o:LockedField>false</o:LockedField>
                </o:OLEObject>
              </w:object>
            </w:r>
          </w:p>
        </w:tc>
        <w:tc>
          <w:tcPr>
            <w:tcW w:w="1725" w:type="dxa"/>
            <w:vAlign w:val="center"/>
          </w:tcPr>
          <w:p>
            <w:pPr>
              <w:pStyle w:val="2"/>
              <w:spacing w:after="0"/>
              <w:ind w:left="0" w:leftChars="0" w:firstLine="0" w:firstLineChars="0"/>
              <w:jc w:val="center"/>
            </w:pPr>
            <w:r>
              <w:rPr>
                <w:kern w:val="0"/>
                <w:sz w:val="24"/>
              </w:rPr>
              <w:t>（4.8.9-3）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07" w:type="dxa"/>
            <w:vAlign w:val="center"/>
          </w:tcPr>
          <w:p>
            <w:pPr>
              <w:pStyle w:val="2"/>
              <w:spacing w:after="0"/>
              <w:ind w:left="0" w:leftChars="0" w:firstLine="0" w:firstLineChars="0"/>
              <w:jc w:val="center"/>
            </w:pPr>
            <w:r>
              <w:object>
                <v:shape id="_x0000_i1029" o:spt="75" type="#_x0000_t75" style="height:38.55pt;width:108.85pt;" o:ole="t" filled="f" o:preferrelative="t" stroked="f" coordsize="21600,21600">
                  <v:path/>
                  <v:fill on="f" focussize="0,0"/>
                  <v:stroke on="f" joinstyle="miter"/>
                  <v:imagedata r:id="rId17" o:title=""/>
                  <o:lock v:ext="edit" aspectratio="t"/>
                  <w10:wrap type="none"/>
                  <w10:anchorlock/>
                </v:shape>
                <o:OLEObject Type="Embed" ProgID="Unknown" ShapeID="_x0000_i1029" DrawAspect="Content" ObjectID="_1468075729" r:id="rId16">
                  <o:LockedField>false</o:LockedField>
                </o:OLEObject>
              </w:object>
            </w:r>
          </w:p>
        </w:tc>
        <w:tc>
          <w:tcPr>
            <w:tcW w:w="1725" w:type="dxa"/>
            <w:vAlign w:val="center"/>
          </w:tcPr>
          <w:p>
            <w:pPr>
              <w:pStyle w:val="2"/>
              <w:spacing w:after="0"/>
              <w:ind w:left="0" w:leftChars="0" w:firstLine="0" w:firstLineChars="0"/>
              <w:jc w:val="center"/>
            </w:pPr>
            <w:r>
              <w:rPr>
                <w:kern w:val="0"/>
                <w:sz w:val="24"/>
              </w:rPr>
              <w:t>（4.8.9-4）</w:t>
            </w:r>
          </w:p>
        </w:tc>
      </w:tr>
    </w:tbl>
    <w:p>
      <w:pPr>
        <w:pStyle w:val="2"/>
        <w:spacing w:after="0" w:line="100" w:lineRule="exact"/>
        <w:ind w:left="0" w:leftChars="0" w:firstLine="360" w:firstLineChars="150"/>
        <w:rPr>
          <w:sz w:val="24"/>
        </w:rPr>
      </w:pPr>
    </w:p>
    <w:tbl>
      <w:tblPr>
        <w:tblStyle w:val="19"/>
        <w:tblW w:w="86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0"/>
        <w:gridCol w:w="1087"/>
        <w:gridCol w:w="708"/>
        <w:gridCol w:w="5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0" w:type="dxa"/>
          </w:tcPr>
          <w:p>
            <w:pPr>
              <w:pStyle w:val="2"/>
              <w:spacing w:after="0" w:line="440" w:lineRule="exact"/>
              <w:ind w:left="0" w:leftChars="0" w:firstLine="0" w:firstLineChars="0"/>
              <w:rPr>
                <w:sz w:val="24"/>
              </w:rPr>
            </w:pPr>
            <w:r>
              <w:rPr>
                <w:sz w:val="24"/>
              </w:rPr>
              <w:t>式中：</w:t>
            </w:r>
          </w:p>
        </w:tc>
        <w:tc>
          <w:tcPr>
            <w:tcW w:w="1087" w:type="dxa"/>
          </w:tcPr>
          <w:p>
            <w:pPr>
              <w:pStyle w:val="2"/>
              <w:spacing w:after="0" w:line="440" w:lineRule="exact"/>
              <w:ind w:left="0" w:leftChars="0" w:firstLine="0" w:firstLineChars="0"/>
              <w:jc w:val="right"/>
              <w:rPr>
                <w:i/>
                <w:iCs/>
                <w:sz w:val="24"/>
              </w:rPr>
            </w:pPr>
            <w:r>
              <w:rPr>
                <w:i/>
                <w:iCs/>
                <w:sz w:val="24"/>
              </w:rPr>
              <w:t>V</w:t>
            </w:r>
            <w:r>
              <w:rPr>
                <w:i/>
                <w:iCs/>
                <w:sz w:val="24"/>
                <w:vertAlign w:val="subscript"/>
              </w:rPr>
              <w:t>u</w:t>
            </w:r>
          </w:p>
        </w:tc>
        <w:tc>
          <w:tcPr>
            <w:tcW w:w="708" w:type="dxa"/>
          </w:tcPr>
          <w:p>
            <w:pPr>
              <w:pStyle w:val="2"/>
              <w:spacing w:after="0" w:line="440" w:lineRule="exact"/>
              <w:ind w:left="0" w:leftChars="0" w:firstLine="0" w:firstLineChars="0"/>
              <w:rPr>
                <w:sz w:val="24"/>
              </w:rPr>
            </w:pPr>
            <w:r>
              <w:rPr>
                <w:sz w:val="24"/>
              </w:rPr>
              <w:t>——</w:t>
            </w:r>
          </w:p>
        </w:tc>
        <w:tc>
          <w:tcPr>
            <w:tcW w:w="5812" w:type="dxa"/>
          </w:tcPr>
          <w:p>
            <w:pPr>
              <w:pStyle w:val="2"/>
              <w:spacing w:after="0" w:line="440" w:lineRule="exact"/>
              <w:ind w:left="0" w:leftChars="0" w:firstLine="0" w:firstLineChars="0"/>
              <w:rPr>
                <w:sz w:val="24"/>
              </w:rPr>
            </w:pPr>
            <w:r>
              <w:rPr>
                <w:sz w:val="24"/>
              </w:rPr>
              <w:t>实心或空心钢管混凝土构件的受剪承载力设计值（N）；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0" w:type="dxa"/>
          </w:tcPr>
          <w:p>
            <w:pPr>
              <w:pStyle w:val="2"/>
              <w:spacing w:after="0" w:line="440" w:lineRule="exact"/>
              <w:ind w:left="0" w:leftChars="0" w:firstLine="0" w:firstLineChars="0"/>
              <w:rPr>
                <w:sz w:val="24"/>
              </w:rPr>
            </w:pPr>
          </w:p>
        </w:tc>
        <w:tc>
          <w:tcPr>
            <w:tcW w:w="1087" w:type="dxa"/>
          </w:tcPr>
          <w:p>
            <w:pPr>
              <w:pStyle w:val="2"/>
              <w:spacing w:after="0" w:line="440" w:lineRule="exact"/>
              <w:ind w:left="0" w:leftChars="0" w:firstLine="0" w:firstLineChars="0"/>
              <w:jc w:val="right"/>
              <w:rPr>
                <w:i/>
                <w:iCs/>
                <w:sz w:val="24"/>
              </w:rPr>
            </w:pPr>
            <w:r>
              <w:rPr>
                <w:i/>
                <w:iCs/>
                <w:sz w:val="24"/>
              </w:rPr>
              <w:t>A</w:t>
            </w:r>
            <w:r>
              <w:rPr>
                <w:i/>
                <w:iCs/>
                <w:sz w:val="24"/>
                <w:vertAlign w:val="subscript"/>
              </w:rPr>
              <w:t>sc</w:t>
            </w:r>
          </w:p>
        </w:tc>
        <w:tc>
          <w:tcPr>
            <w:tcW w:w="708" w:type="dxa"/>
          </w:tcPr>
          <w:p>
            <w:pPr>
              <w:pStyle w:val="2"/>
              <w:spacing w:after="0" w:line="440" w:lineRule="exact"/>
              <w:ind w:left="0" w:leftChars="0" w:firstLine="0" w:firstLineChars="0"/>
              <w:rPr>
                <w:sz w:val="24"/>
              </w:rPr>
            </w:pPr>
            <w:r>
              <w:rPr>
                <w:sz w:val="24"/>
              </w:rPr>
              <w:t>——</w:t>
            </w:r>
          </w:p>
        </w:tc>
        <w:tc>
          <w:tcPr>
            <w:tcW w:w="5812" w:type="dxa"/>
          </w:tcPr>
          <w:p>
            <w:pPr>
              <w:pStyle w:val="2"/>
              <w:spacing w:after="0" w:line="440" w:lineRule="exact"/>
              <w:ind w:left="0" w:leftChars="0" w:firstLine="0" w:firstLineChars="0"/>
              <w:rPr>
                <w:sz w:val="24"/>
              </w:rPr>
            </w:pPr>
            <w:r>
              <w:rPr>
                <w:sz w:val="24"/>
              </w:rPr>
              <w:t>实心或空心钢管混凝土构件的截面面积（mm</w:t>
            </w:r>
            <w:r>
              <w:rPr>
                <w:sz w:val="24"/>
                <w:vertAlign w:val="superscript"/>
              </w:rPr>
              <w:t>2</w:t>
            </w:r>
            <w:r>
              <w:rPr>
                <w:sz w:val="24"/>
              </w:rPr>
              <w:t>），即钢管面积和混凝土面积之和；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0" w:type="dxa"/>
          </w:tcPr>
          <w:p>
            <w:pPr>
              <w:pStyle w:val="2"/>
              <w:spacing w:after="0" w:line="440" w:lineRule="exact"/>
              <w:ind w:left="0" w:leftChars="0" w:firstLine="0" w:firstLineChars="0"/>
              <w:rPr>
                <w:sz w:val="24"/>
              </w:rPr>
            </w:pPr>
          </w:p>
        </w:tc>
        <w:tc>
          <w:tcPr>
            <w:tcW w:w="1087" w:type="dxa"/>
          </w:tcPr>
          <w:p>
            <w:pPr>
              <w:pStyle w:val="2"/>
              <w:spacing w:after="0" w:line="440" w:lineRule="exact"/>
              <w:ind w:left="0" w:leftChars="0" w:firstLine="0" w:firstLineChars="0"/>
              <w:jc w:val="right"/>
              <w:rPr>
                <w:i/>
                <w:iCs/>
                <w:sz w:val="24"/>
              </w:rPr>
            </w:pPr>
            <w:r>
              <w:object>
                <v:shape id="_x0000_i1030" o:spt="75" type="#_x0000_t75" style="height:15.45pt;width:12pt;" o:ole="t" filled="f" o:preferrelative="t" stroked="f" coordsize="21600,21600">
                  <v:path/>
                  <v:fill on="f" focussize="0,0"/>
                  <v:stroke on="f" joinstyle="miter"/>
                  <v:imagedata r:id="rId19" o:title=""/>
                  <o:lock v:ext="edit" aspectratio="t"/>
                  <w10:wrap type="none"/>
                  <w10:anchorlock/>
                </v:shape>
                <o:OLEObject Type="Embed" ProgID="Unknown" ShapeID="_x0000_i1030" DrawAspect="Content" ObjectID="_1468075730" r:id="rId18">
                  <o:LockedField>false</o:LockedField>
                </o:OLEObject>
              </w:object>
            </w:r>
          </w:p>
        </w:tc>
        <w:tc>
          <w:tcPr>
            <w:tcW w:w="708" w:type="dxa"/>
          </w:tcPr>
          <w:p>
            <w:pPr>
              <w:pStyle w:val="2"/>
              <w:spacing w:after="0" w:line="440" w:lineRule="exact"/>
              <w:ind w:left="0" w:leftChars="0" w:firstLine="0" w:firstLineChars="0"/>
              <w:rPr>
                <w:sz w:val="24"/>
              </w:rPr>
            </w:pPr>
            <w:r>
              <w:rPr>
                <w:sz w:val="24"/>
              </w:rPr>
              <w:t>——</w:t>
            </w:r>
          </w:p>
        </w:tc>
        <w:tc>
          <w:tcPr>
            <w:tcW w:w="5812" w:type="dxa"/>
          </w:tcPr>
          <w:p>
            <w:pPr>
              <w:pStyle w:val="2"/>
              <w:spacing w:after="0" w:line="440" w:lineRule="exact"/>
              <w:ind w:left="0" w:leftChars="0" w:firstLine="0" w:firstLineChars="0"/>
              <w:rPr>
                <w:sz w:val="24"/>
              </w:rPr>
            </w:pPr>
            <w:r>
              <w:rPr>
                <w:sz w:val="24"/>
              </w:rPr>
              <w:t>空心率，对于实心构件取0；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0" w:type="dxa"/>
          </w:tcPr>
          <w:p>
            <w:pPr>
              <w:pStyle w:val="2"/>
              <w:spacing w:after="0" w:line="440" w:lineRule="exact"/>
              <w:ind w:left="0" w:leftChars="0" w:firstLine="0" w:firstLineChars="0"/>
              <w:rPr>
                <w:sz w:val="24"/>
              </w:rPr>
            </w:pPr>
          </w:p>
        </w:tc>
        <w:tc>
          <w:tcPr>
            <w:tcW w:w="1087" w:type="dxa"/>
          </w:tcPr>
          <w:p>
            <w:pPr>
              <w:pStyle w:val="2"/>
              <w:spacing w:after="0" w:line="440" w:lineRule="exact"/>
              <w:ind w:left="0" w:leftChars="0" w:firstLine="0" w:firstLineChars="0"/>
              <w:jc w:val="right"/>
              <w:rPr>
                <w:i/>
                <w:iCs/>
                <w:sz w:val="24"/>
              </w:rPr>
            </w:pPr>
            <w:r>
              <w:object>
                <v:shape id="_x0000_i1031" o:spt="75" type="#_x0000_t75" style="height:20.55pt;width:15.45pt;" o:ole="t" filled="f" o:preferrelative="t" stroked="f" coordsize="21600,21600">
                  <v:path/>
                  <v:fill on="f" focussize="0,0"/>
                  <v:stroke on="f" joinstyle="miter"/>
                  <v:imagedata r:id="rId21" o:title=""/>
                  <o:lock v:ext="edit" aspectratio="t"/>
                  <w10:wrap type="none"/>
                  <w10:anchorlock/>
                </v:shape>
                <o:OLEObject Type="Embed" ProgID="Unknown" ShapeID="_x0000_i1031" DrawAspect="Content" ObjectID="_1468075731" r:id="rId20">
                  <o:LockedField>false</o:LockedField>
                </o:OLEObject>
              </w:object>
            </w:r>
            <w:r>
              <w:t>、</w:t>
            </w:r>
            <w:r>
              <w:object>
                <v:shape id="_x0000_i1032" o:spt="75" type="#_x0000_t75" style="height:20.55pt;width:15.45pt;" o:ole="t" filled="f" o:preferrelative="t" stroked="f" coordsize="21600,21600">
                  <v:path/>
                  <v:fill on="f" focussize="0,0"/>
                  <v:stroke on="f" joinstyle="miter"/>
                  <v:imagedata r:id="rId23" o:title=""/>
                  <o:lock v:ext="edit" aspectratio="t"/>
                  <w10:wrap type="none"/>
                  <w10:anchorlock/>
                </v:shape>
                <o:OLEObject Type="Embed" ProgID="Unknown" ShapeID="_x0000_i1032" DrawAspect="Content" ObjectID="_1468075732" r:id="rId22">
                  <o:LockedField>false</o:LockedField>
                </o:OLEObject>
              </w:object>
            </w:r>
          </w:p>
        </w:tc>
        <w:tc>
          <w:tcPr>
            <w:tcW w:w="708" w:type="dxa"/>
          </w:tcPr>
          <w:p>
            <w:pPr>
              <w:pStyle w:val="2"/>
              <w:spacing w:after="0" w:line="440" w:lineRule="exact"/>
              <w:ind w:left="0" w:leftChars="0" w:firstLine="0" w:firstLineChars="0"/>
              <w:rPr>
                <w:sz w:val="24"/>
              </w:rPr>
            </w:pPr>
            <w:r>
              <w:rPr>
                <w:sz w:val="24"/>
              </w:rPr>
              <w:t>——</w:t>
            </w:r>
          </w:p>
        </w:tc>
        <w:tc>
          <w:tcPr>
            <w:tcW w:w="5812" w:type="dxa"/>
          </w:tcPr>
          <w:p>
            <w:pPr>
              <w:pStyle w:val="2"/>
              <w:spacing w:after="0" w:line="440" w:lineRule="exact"/>
              <w:ind w:left="0" w:leftChars="0" w:firstLine="0" w:firstLineChars="0"/>
              <w:rPr>
                <w:sz w:val="24"/>
              </w:rPr>
            </w:pPr>
            <w:r>
              <w:rPr>
                <w:sz w:val="24"/>
              </w:rPr>
              <w:t>分别为混凝土面积和空心部分面积（mm</w:t>
            </w:r>
            <w:r>
              <w:rPr>
                <w:sz w:val="24"/>
                <w:vertAlign w:val="superscript"/>
              </w:rPr>
              <w:t>2</w:t>
            </w:r>
            <w:r>
              <w:rPr>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0" w:type="dxa"/>
          </w:tcPr>
          <w:p>
            <w:pPr>
              <w:pStyle w:val="2"/>
              <w:spacing w:after="0" w:line="440" w:lineRule="exact"/>
              <w:ind w:left="0" w:leftChars="0" w:firstLine="0" w:firstLineChars="0"/>
              <w:rPr>
                <w:sz w:val="24"/>
              </w:rPr>
            </w:pPr>
          </w:p>
        </w:tc>
        <w:tc>
          <w:tcPr>
            <w:tcW w:w="1087" w:type="dxa"/>
          </w:tcPr>
          <w:p>
            <w:pPr>
              <w:pStyle w:val="2"/>
              <w:spacing w:after="0" w:line="440" w:lineRule="exact"/>
              <w:ind w:left="0" w:leftChars="0" w:firstLine="0" w:firstLineChars="0"/>
              <w:jc w:val="right"/>
              <w:rPr>
                <w:i/>
                <w:iCs/>
                <w:sz w:val="24"/>
              </w:rPr>
            </w:pPr>
            <w:r>
              <w:rPr>
                <w:i/>
                <w:iCs/>
                <w:sz w:val="24"/>
              </w:rPr>
              <w:t>f</w:t>
            </w:r>
            <w:r>
              <w:rPr>
                <w:i/>
                <w:iCs/>
                <w:sz w:val="24"/>
                <w:vertAlign w:val="subscript"/>
              </w:rPr>
              <w:t>sv</w:t>
            </w:r>
          </w:p>
        </w:tc>
        <w:tc>
          <w:tcPr>
            <w:tcW w:w="708" w:type="dxa"/>
          </w:tcPr>
          <w:p>
            <w:pPr>
              <w:pStyle w:val="2"/>
              <w:spacing w:after="0" w:line="440" w:lineRule="exact"/>
              <w:ind w:left="0" w:leftChars="0" w:firstLine="0" w:firstLineChars="0"/>
              <w:rPr>
                <w:sz w:val="24"/>
              </w:rPr>
            </w:pPr>
            <w:r>
              <w:rPr>
                <w:sz w:val="24"/>
              </w:rPr>
              <w:t>——</w:t>
            </w:r>
          </w:p>
        </w:tc>
        <w:tc>
          <w:tcPr>
            <w:tcW w:w="5812" w:type="dxa"/>
          </w:tcPr>
          <w:p>
            <w:pPr>
              <w:pStyle w:val="2"/>
              <w:spacing w:after="0" w:line="440" w:lineRule="exact"/>
              <w:ind w:left="0" w:leftChars="0" w:firstLine="0" w:firstLineChars="0"/>
              <w:rPr>
                <w:sz w:val="24"/>
              </w:rPr>
            </w:pPr>
            <w:r>
              <w:rPr>
                <w:sz w:val="24"/>
              </w:rPr>
              <w:t>钢管混凝土受剪强度设计值（MPa）；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0" w:type="dxa"/>
          </w:tcPr>
          <w:p>
            <w:pPr>
              <w:pStyle w:val="2"/>
              <w:spacing w:after="0" w:line="440" w:lineRule="exact"/>
              <w:ind w:left="0" w:leftChars="0" w:firstLine="0" w:firstLineChars="0"/>
              <w:rPr>
                <w:sz w:val="24"/>
              </w:rPr>
            </w:pPr>
          </w:p>
        </w:tc>
        <w:tc>
          <w:tcPr>
            <w:tcW w:w="1087" w:type="dxa"/>
          </w:tcPr>
          <w:p>
            <w:pPr>
              <w:pStyle w:val="2"/>
              <w:spacing w:after="0" w:line="440" w:lineRule="exact"/>
              <w:ind w:left="0" w:leftChars="0" w:firstLine="0" w:firstLineChars="0"/>
              <w:jc w:val="right"/>
              <w:rPr>
                <w:i/>
                <w:iCs/>
                <w:sz w:val="24"/>
              </w:rPr>
            </w:pPr>
            <w:r>
              <w:t xml:space="preserve"> </w:t>
            </w:r>
            <w:r>
              <w:object>
                <v:shape id="_x0000_i1033" o:spt="75" type="#_x0000_t75" style="height:18pt;width:17.15pt;" o:ole="t" filled="f" o:preferrelative="t" stroked="f" coordsize="21600,21600">
                  <v:path/>
                  <v:fill on="f" focussize="0,0"/>
                  <v:stroke on="f" joinstyle="miter"/>
                  <v:imagedata r:id="rId25" o:title=""/>
                  <o:lock v:ext="edit" aspectratio="t"/>
                  <w10:wrap type="none"/>
                  <w10:anchorlock/>
                </v:shape>
                <o:OLEObject Type="Embed" ProgID="Unknown" ShapeID="_x0000_i1033" DrawAspect="Content" ObjectID="_1468075733" r:id="rId24">
                  <o:LockedField>false</o:LockedField>
                </o:OLEObject>
              </w:object>
            </w:r>
          </w:p>
        </w:tc>
        <w:tc>
          <w:tcPr>
            <w:tcW w:w="708" w:type="dxa"/>
          </w:tcPr>
          <w:p>
            <w:pPr>
              <w:pStyle w:val="2"/>
              <w:spacing w:after="0" w:line="440" w:lineRule="exact"/>
              <w:ind w:left="0" w:leftChars="0" w:firstLine="0" w:firstLineChars="0"/>
              <w:rPr>
                <w:sz w:val="24"/>
              </w:rPr>
            </w:pPr>
            <w:r>
              <w:rPr>
                <w:sz w:val="24"/>
              </w:rPr>
              <w:t>——</w:t>
            </w:r>
          </w:p>
        </w:tc>
        <w:tc>
          <w:tcPr>
            <w:tcW w:w="5812" w:type="dxa"/>
          </w:tcPr>
          <w:p>
            <w:pPr>
              <w:pStyle w:val="2"/>
              <w:spacing w:after="0" w:line="440" w:lineRule="exact"/>
              <w:ind w:left="0" w:leftChars="0" w:firstLine="0" w:firstLineChars="0"/>
              <w:rPr>
                <w:sz w:val="24"/>
              </w:rPr>
            </w:pPr>
            <w:r>
              <w:rPr>
                <w:sz w:val="24"/>
              </w:rPr>
              <w:t>钢管混凝土构件的含钢率。</w:t>
            </w:r>
          </w:p>
        </w:tc>
      </w:tr>
    </w:tbl>
    <w:p>
      <w:pPr>
        <w:pStyle w:val="2"/>
        <w:spacing w:after="0" w:line="440" w:lineRule="exact"/>
        <w:ind w:left="0" w:leftChars="0" w:firstLine="361" w:firstLineChars="150"/>
        <w:rPr>
          <w:sz w:val="24"/>
        </w:rPr>
      </w:pPr>
      <w:r>
        <w:rPr>
          <w:b/>
          <w:bCs/>
          <w:sz w:val="24"/>
        </w:rPr>
        <w:t xml:space="preserve">4.8.10  </w:t>
      </w:r>
      <w:r>
        <w:rPr>
          <w:sz w:val="24"/>
        </w:rPr>
        <w:t>钢管混凝土构件的受弯承载力设计值应按下列公式计算:</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7"/>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07" w:type="dxa"/>
            <w:vAlign w:val="center"/>
          </w:tcPr>
          <w:p>
            <w:pPr>
              <w:pStyle w:val="2"/>
              <w:spacing w:after="0"/>
              <w:ind w:left="0" w:leftChars="0" w:firstLine="0" w:firstLineChars="0"/>
              <w:jc w:val="center"/>
            </w:pPr>
            <w:r>
              <w:object>
                <v:shape id="_x0000_i1034" o:spt="75" type="#_x0000_t75" style="height:21.45pt;width:147.45pt;" o:ole="t" filled="f" o:preferrelative="t" stroked="f" coordsize="21600,21600">
                  <v:path/>
                  <v:fill on="f" focussize="0,0"/>
                  <v:stroke on="f" joinstyle="miter"/>
                  <v:imagedata r:id="rId27" o:title=""/>
                  <o:lock v:ext="edit" aspectratio="t"/>
                  <w10:wrap type="none"/>
                  <w10:anchorlock/>
                </v:shape>
                <o:OLEObject Type="Embed" ProgID="Unknown" ShapeID="_x0000_i1034" DrawAspect="Content" ObjectID="_1468075734" r:id="rId26">
                  <o:LockedField>false</o:LockedField>
                </o:OLEObject>
              </w:object>
            </w:r>
          </w:p>
        </w:tc>
        <w:tc>
          <w:tcPr>
            <w:tcW w:w="1725" w:type="dxa"/>
            <w:vAlign w:val="center"/>
          </w:tcPr>
          <w:p>
            <w:pPr>
              <w:pStyle w:val="2"/>
              <w:spacing w:after="0"/>
              <w:ind w:left="0" w:leftChars="0" w:firstLine="0" w:firstLineChars="0"/>
              <w:jc w:val="center"/>
              <w:rPr>
                <w:sz w:val="28"/>
                <w:vertAlign w:val="subscript"/>
              </w:rPr>
            </w:pPr>
            <w:r>
              <w:rPr>
                <w:kern w:val="0"/>
                <w:sz w:val="24"/>
              </w:rPr>
              <w:t>（4.8.10-1）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07" w:type="dxa"/>
            <w:vAlign w:val="center"/>
          </w:tcPr>
          <w:p>
            <w:pPr>
              <w:pStyle w:val="2"/>
              <w:spacing w:after="0"/>
              <w:ind w:left="0" w:leftChars="0" w:firstLine="0" w:firstLineChars="0"/>
              <w:jc w:val="center"/>
            </w:pPr>
            <w:r>
              <w:object>
                <v:shape id="_x0000_i1035" o:spt="75" type="#_x0000_t75" style="height:38.55pt;width:57.45pt;" o:ole="t" filled="f" o:preferrelative="t" stroked="f" coordsize="21600,21600">
                  <v:path/>
                  <v:fill on="f" focussize="0,0"/>
                  <v:stroke on="f" joinstyle="miter"/>
                  <v:imagedata r:id="rId29" o:title=""/>
                  <o:lock v:ext="edit" aspectratio="t"/>
                  <w10:wrap type="none"/>
                  <w10:anchorlock/>
                </v:shape>
                <o:OLEObject Type="Embed" ProgID="Unknown" ShapeID="_x0000_i1035" DrawAspect="Content" ObjectID="_1468075735" r:id="rId28">
                  <o:LockedField>false</o:LockedField>
                </o:OLEObject>
              </w:object>
            </w:r>
          </w:p>
        </w:tc>
        <w:tc>
          <w:tcPr>
            <w:tcW w:w="1725" w:type="dxa"/>
            <w:vAlign w:val="center"/>
          </w:tcPr>
          <w:p>
            <w:pPr>
              <w:pStyle w:val="2"/>
              <w:spacing w:after="0"/>
              <w:ind w:left="0" w:leftChars="0" w:firstLine="0" w:firstLineChars="0"/>
              <w:jc w:val="center"/>
            </w:pPr>
            <w:r>
              <w:rPr>
                <w:kern w:val="0"/>
                <w:sz w:val="24"/>
              </w:rPr>
              <w:t>（4.8.10-2）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07" w:type="dxa"/>
            <w:vAlign w:val="center"/>
          </w:tcPr>
          <w:p>
            <w:pPr>
              <w:pStyle w:val="2"/>
              <w:spacing w:after="0"/>
              <w:ind w:left="0" w:leftChars="0" w:firstLine="0" w:firstLineChars="0"/>
              <w:jc w:val="center"/>
            </w:pPr>
            <w:r>
              <w:object>
                <v:shape id="_x0000_i1036" o:spt="75" type="#_x0000_t75" style="height:41.15pt;width:92.55pt;" o:ole="t" filled="f" o:preferrelative="t" stroked="f" coordsize="21600,21600">
                  <v:path/>
                  <v:fill on="f" focussize="0,0"/>
                  <v:stroke on="f" joinstyle="miter"/>
                  <v:imagedata r:id="rId31" o:title=""/>
                  <o:lock v:ext="edit" aspectratio="t"/>
                  <w10:wrap type="none"/>
                  <w10:anchorlock/>
                </v:shape>
                <o:OLEObject Type="Embed" ProgID="Unknown" ShapeID="_x0000_i1036" DrawAspect="Content" ObjectID="_1468075736" r:id="rId30">
                  <o:LockedField>false</o:LockedField>
                </o:OLEObject>
              </w:object>
            </w:r>
          </w:p>
        </w:tc>
        <w:tc>
          <w:tcPr>
            <w:tcW w:w="1725" w:type="dxa"/>
            <w:vAlign w:val="center"/>
          </w:tcPr>
          <w:p>
            <w:pPr>
              <w:pStyle w:val="2"/>
              <w:spacing w:after="0"/>
              <w:ind w:left="0" w:leftChars="0" w:firstLine="0" w:firstLineChars="0"/>
              <w:jc w:val="center"/>
            </w:pPr>
            <w:r>
              <w:rPr>
                <w:kern w:val="0"/>
                <w:sz w:val="24"/>
              </w:rPr>
              <w:t>（4.8.10-3）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07" w:type="dxa"/>
            <w:vAlign w:val="center"/>
          </w:tcPr>
          <w:p>
            <w:pPr>
              <w:pStyle w:val="2"/>
              <w:spacing w:after="0"/>
              <w:ind w:left="0" w:leftChars="0" w:firstLine="0" w:firstLineChars="0"/>
              <w:jc w:val="center"/>
            </w:pPr>
            <w:r>
              <w:object>
                <v:shape id="_x0000_i1037" o:spt="75" type="#_x0000_t75" style="height:23.15pt;width:197.15pt;" o:ole="t" filled="f" o:preferrelative="t" stroked="f" coordsize="21600,21600">
                  <v:path/>
                  <v:fill on="f" focussize="0,0"/>
                  <v:stroke on="f" joinstyle="miter"/>
                  <v:imagedata r:id="rId33" o:title=""/>
                  <o:lock v:ext="edit" aspectratio="t"/>
                  <w10:wrap type="none"/>
                  <w10:anchorlock/>
                </v:shape>
                <o:OLEObject Type="Embed" ProgID="Unknown" ShapeID="_x0000_i1037" DrawAspect="Content" ObjectID="_1468075737" r:id="rId32">
                  <o:LockedField>false</o:LockedField>
                </o:OLEObject>
              </w:object>
            </w:r>
          </w:p>
        </w:tc>
        <w:tc>
          <w:tcPr>
            <w:tcW w:w="1725" w:type="dxa"/>
            <w:vAlign w:val="center"/>
          </w:tcPr>
          <w:p>
            <w:pPr>
              <w:pStyle w:val="2"/>
              <w:spacing w:after="0"/>
              <w:ind w:left="0" w:leftChars="0" w:firstLine="0" w:firstLineChars="0"/>
              <w:jc w:val="center"/>
              <w:rPr>
                <w:kern w:val="0"/>
                <w:sz w:val="24"/>
              </w:rPr>
            </w:pPr>
            <w:r>
              <w:rPr>
                <w:kern w:val="0"/>
                <w:sz w:val="24"/>
              </w:rPr>
              <w:t>（4.8.10-4）</w:t>
            </w:r>
          </w:p>
        </w:tc>
      </w:tr>
    </w:tbl>
    <w:p>
      <w:pPr>
        <w:pStyle w:val="2"/>
        <w:spacing w:after="0" w:line="100" w:lineRule="exact"/>
        <w:ind w:left="0" w:leftChars="0" w:firstLine="1200" w:firstLineChars="500"/>
        <w:rPr>
          <w:sz w:val="24"/>
        </w:rPr>
      </w:pPr>
    </w:p>
    <w:tbl>
      <w:tblPr>
        <w:tblStyle w:val="19"/>
        <w:tblW w:w="8226"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0"/>
        <w:gridCol w:w="856"/>
        <w:gridCol w:w="708"/>
        <w:gridCol w:w="5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vAlign w:val="center"/>
          </w:tcPr>
          <w:p>
            <w:pPr>
              <w:pStyle w:val="2"/>
              <w:spacing w:after="0" w:line="440" w:lineRule="exact"/>
              <w:ind w:left="0" w:leftChars="0" w:firstLine="0" w:firstLineChars="0"/>
              <w:rPr>
                <w:sz w:val="24"/>
              </w:rPr>
            </w:pPr>
            <w:r>
              <w:rPr>
                <w:sz w:val="24"/>
              </w:rPr>
              <w:t>式中：</w:t>
            </w:r>
          </w:p>
        </w:tc>
        <w:tc>
          <w:tcPr>
            <w:tcW w:w="856" w:type="dxa"/>
          </w:tcPr>
          <w:p>
            <w:pPr>
              <w:pStyle w:val="2"/>
              <w:spacing w:after="0" w:line="440" w:lineRule="exact"/>
              <w:ind w:left="0" w:leftChars="0" w:firstLine="0" w:firstLineChars="0"/>
              <w:jc w:val="right"/>
              <w:rPr>
                <w:i/>
                <w:iCs/>
                <w:sz w:val="24"/>
              </w:rPr>
            </w:pPr>
            <w:r>
              <w:rPr>
                <w:i/>
                <w:iCs/>
                <w:sz w:val="24"/>
              </w:rPr>
              <w:t>f</w:t>
            </w:r>
            <w:r>
              <w:rPr>
                <w:i/>
                <w:iCs/>
                <w:sz w:val="24"/>
                <w:vertAlign w:val="subscript"/>
              </w:rPr>
              <w:t>sc</w:t>
            </w:r>
          </w:p>
        </w:tc>
        <w:tc>
          <w:tcPr>
            <w:tcW w:w="708" w:type="dxa"/>
          </w:tcPr>
          <w:p>
            <w:pPr>
              <w:pStyle w:val="2"/>
              <w:spacing w:after="0" w:line="440" w:lineRule="exact"/>
              <w:ind w:left="0" w:leftChars="0" w:firstLine="0" w:firstLineChars="0"/>
              <w:rPr>
                <w:sz w:val="24"/>
              </w:rPr>
            </w:pPr>
            <w:r>
              <w:rPr>
                <w:sz w:val="24"/>
              </w:rPr>
              <w:t>——</w:t>
            </w:r>
          </w:p>
        </w:tc>
        <w:tc>
          <w:tcPr>
            <w:tcW w:w="5812" w:type="dxa"/>
            <w:vAlign w:val="center"/>
          </w:tcPr>
          <w:p>
            <w:pPr>
              <w:pStyle w:val="2"/>
              <w:spacing w:after="0" w:line="440" w:lineRule="exact"/>
              <w:ind w:left="0" w:leftChars="0" w:firstLine="0" w:firstLineChars="0"/>
              <w:rPr>
                <w:sz w:val="24"/>
              </w:rPr>
            </w:pPr>
            <w:r>
              <w:rPr>
                <w:sz w:val="24"/>
              </w:rPr>
              <w:t>实心或空心钢管混凝土抗压强度设计值（MPa）；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vAlign w:val="center"/>
          </w:tcPr>
          <w:p>
            <w:pPr>
              <w:pStyle w:val="2"/>
              <w:spacing w:after="0" w:line="440" w:lineRule="exact"/>
              <w:ind w:left="0" w:leftChars="0" w:firstLine="0" w:firstLineChars="0"/>
              <w:rPr>
                <w:sz w:val="24"/>
              </w:rPr>
            </w:pPr>
          </w:p>
        </w:tc>
        <w:tc>
          <w:tcPr>
            <w:tcW w:w="856" w:type="dxa"/>
          </w:tcPr>
          <w:p>
            <w:pPr>
              <w:pStyle w:val="2"/>
              <w:spacing w:after="0" w:line="440" w:lineRule="exact"/>
              <w:ind w:left="0" w:leftChars="0" w:firstLine="0" w:firstLineChars="0"/>
              <w:jc w:val="right"/>
              <w:rPr>
                <w:i/>
                <w:sz w:val="24"/>
              </w:rPr>
            </w:pPr>
            <m:oMath>
              <m:r>
                <m:rPr/>
                <w:rPr>
                  <w:rFonts w:ascii="Cambria Math" w:hAnsi="Cambria Math"/>
                  <w:sz w:val="24"/>
                </w:rPr>
                <m:t>γ</m:t>
              </m:r>
            </m:oMath>
            <w:r>
              <w:rPr>
                <w:i/>
                <w:sz w:val="24"/>
                <w:vertAlign w:val="subscript"/>
              </w:rPr>
              <w:t>m</w:t>
            </w:r>
          </w:p>
        </w:tc>
        <w:tc>
          <w:tcPr>
            <w:tcW w:w="708" w:type="dxa"/>
          </w:tcPr>
          <w:p>
            <w:pPr>
              <w:pStyle w:val="2"/>
              <w:spacing w:after="0" w:line="440" w:lineRule="exact"/>
              <w:ind w:left="0" w:leftChars="0" w:firstLine="0" w:firstLineChars="0"/>
              <w:rPr>
                <w:sz w:val="24"/>
              </w:rPr>
            </w:pPr>
            <w:r>
              <w:rPr>
                <w:sz w:val="24"/>
              </w:rPr>
              <w:t>——</w:t>
            </w:r>
          </w:p>
        </w:tc>
        <w:tc>
          <w:tcPr>
            <w:tcW w:w="5812" w:type="dxa"/>
            <w:vAlign w:val="center"/>
          </w:tcPr>
          <w:p>
            <w:pPr>
              <w:pStyle w:val="2"/>
              <w:spacing w:after="0" w:line="440" w:lineRule="exact"/>
              <w:ind w:left="0" w:leftChars="0" w:firstLine="0" w:firstLineChars="0"/>
              <w:rPr>
                <w:sz w:val="24"/>
              </w:rPr>
            </w:pPr>
            <w:r>
              <w:rPr>
                <w:sz w:val="24"/>
              </w:rPr>
              <w:t>塑性发展系数。对实心圆形截面取1.2；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vAlign w:val="center"/>
          </w:tcPr>
          <w:p>
            <w:pPr>
              <w:pStyle w:val="2"/>
              <w:spacing w:after="0" w:line="440" w:lineRule="exact"/>
              <w:ind w:left="0" w:leftChars="0" w:firstLine="0" w:firstLineChars="0"/>
              <w:rPr>
                <w:sz w:val="24"/>
              </w:rPr>
            </w:pPr>
          </w:p>
        </w:tc>
        <w:tc>
          <w:tcPr>
            <w:tcW w:w="856" w:type="dxa"/>
          </w:tcPr>
          <w:p>
            <w:pPr>
              <w:pStyle w:val="2"/>
              <w:spacing w:after="0" w:line="440" w:lineRule="exact"/>
              <w:ind w:left="0" w:leftChars="0" w:firstLine="0" w:firstLineChars="0"/>
              <w:jc w:val="right"/>
              <w:rPr>
                <w:i/>
                <w:iCs/>
                <w:sz w:val="24"/>
              </w:rPr>
            </w:pPr>
            <w:r>
              <w:object>
                <v:shape id="_x0000_i1038" o:spt="75" type="#_x0000_t75" style="height:18pt;width:18pt;" o:ole="t" filled="f" o:preferrelative="t" stroked="f" coordsize="21600,21600">
                  <v:path/>
                  <v:fill on="f" focussize="0,0"/>
                  <v:stroke on="f" joinstyle="miter"/>
                  <v:imagedata r:id="rId35" o:title=""/>
                  <o:lock v:ext="edit" aspectratio="t"/>
                  <w10:wrap type="none"/>
                  <w10:anchorlock/>
                </v:shape>
                <o:OLEObject Type="Embed" ProgID="Unknown" ShapeID="_x0000_i1038" DrawAspect="Content" ObjectID="_1468075738" r:id="rId34">
                  <o:LockedField>false</o:LockedField>
                </o:OLEObject>
              </w:object>
            </w:r>
          </w:p>
        </w:tc>
        <w:tc>
          <w:tcPr>
            <w:tcW w:w="708" w:type="dxa"/>
          </w:tcPr>
          <w:p>
            <w:pPr>
              <w:pStyle w:val="2"/>
              <w:spacing w:after="0" w:line="440" w:lineRule="exact"/>
              <w:ind w:left="0" w:leftChars="0" w:firstLine="0" w:firstLineChars="0"/>
              <w:rPr>
                <w:sz w:val="24"/>
              </w:rPr>
            </w:pPr>
            <w:r>
              <w:rPr>
                <w:sz w:val="24"/>
              </w:rPr>
              <w:t>——</w:t>
            </w:r>
          </w:p>
        </w:tc>
        <w:tc>
          <w:tcPr>
            <w:tcW w:w="5812" w:type="dxa"/>
            <w:vAlign w:val="center"/>
          </w:tcPr>
          <w:p>
            <w:pPr>
              <w:pStyle w:val="2"/>
              <w:spacing w:after="0" w:line="440" w:lineRule="exact"/>
              <w:ind w:left="0" w:leftChars="0" w:firstLine="0" w:firstLineChars="0"/>
              <w:rPr>
                <w:sz w:val="24"/>
              </w:rPr>
            </w:pPr>
            <w:r>
              <w:rPr>
                <w:sz w:val="24"/>
              </w:rPr>
              <w:t>受弯构件的截面模量（mm3）；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vAlign w:val="center"/>
          </w:tcPr>
          <w:p>
            <w:pPr>
              <w:pStyle w:val="2"/>
              <w:spacing w:after="0" w:line="440" w:lineRule="exact"/>
              <w:ind w:left="0" w:leftChars="0" w:firstLine="0" w:firstLineChars="0"/>
              <w:rPr>
                <w:sz w:val="24"/>
              </w:rPr>
            </w:pPr>
          </w:p>
        </w:tc>
        <w:tc>
          <w:tcPr>
            <w:tcW w:w="856" w:type="dxa"/>
          </w:tcPr>
          <w:p>
            <w:pPr>
              <w:pStyle w:val="2"/>
              <w:spacing w:after="0" w:line="440" w:lineRule="exact"/>
              <w:ind w:left="0" w:leftChars="0" w:firstLine="0" w:firstLineChars="0"/>
              <w:jc w:val="right"/>
              <w:rPr>
                <w:i/>
                <w:iCs/>
                <w:sz w:val="24"/>
              </w:rPr>
            </w:pPr>
            <w:r>
              <w:rPr>
                <w:i/>
                <w:iCs/>
                <w:sz w:val="24"/>
              </w:rPr>
              <w:t>r</w:t>
            </w:r>
            <w:r>
              <w:rPr>
                <w:sz w:val="24"/>
                <w:vertAlign w:val="subscript"/>
              </w:rPr>
              <w:t>0</w:t>
            </w:r>
          </w:p>
        </w:tc>
        <w:tc>
          <w:tcPr>
            <w:tcW w:w="708" w:type="dxa"/>
          </w:tcPr>
          <w:p>
            <w:pPr>
              <w:pStyle w:val="2"/>
              <w:spacing w:after="0" w:line="440" w:lineRule="exact"/>
              <w:ind w:left="0" w:leftChars="0" w:firstLine="0" w:firstLineChars="0"/>
              <w:rPr>
                <w:sz w:val="24"/>
              </w:rPr>
            </w:pPr>
            <w:r>
              <w:rPr>
                <w:sz w:val="24"/>
              </w:rPr>
              <w:t>——</w:t>
            </w:r>
          </w:p>
        </w:tc>
        <w:tc>
          <w:tcPr>
            <w:tcW w:w="5812" w:type="dxa"/>
            <w:vAlign w:val="center"/>
          </w:tcPr>
          <w:p>
            <w:pPr>
              <w:pStyle w:val="2"/>
              <w:spacing w:after="0" w:line="440" w:lineRule="exact"/>
              <w:ind w:left="0" w:leftChars="0" w:firstLine="0" w:firstLineChars="0"/>
              <w:rPr>
                <w:sz w:val="24"/>
              </w:rPr>
            </w:pPr>
            <w:r>
              <w:rPr>
                <w:sz w:val="24"/>
              </w:rPr>
              <w:t>等效圆半径（mm）。圆形截面为半径，非圆形截面为按面积相等等效成圆形的半径；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vAlign w:val="center"/>
          </w:tcPr>
          <w:p>
            <w:pPr>
              <w:pStyle w:val="2"/>
              <w:spacing w:after="0" w:line="440" w:lineRule="exact"/>
              <w:ind w:left="0" w:leftChars="0" w:firstLine="0" w:firstLineChars="0"/>
              <w:rPr>
                <w:sz w:val="24"/>
              </w:rPr>
            </w:pPr>
          </w:p>
        </w:tc>
        <w:tc>
          <w:tcPr>
            <w:tcW w:w="856" w:type="dxa"/>
          </w:tcPr>
          <w:p>
            <w:pPr>
              <w:pStyle w:val="2"/>
              <w:spacing w:after="0" w:line="440" w:lineRule="exact"/>
              <w:ind w:left="0" w:leftChars="0" w:firstLine="0" w:firstLineChars="0"/>
              <w:jc w:val="right"/>
              <w:rPr>
                <w:i/>
                <w:iCs/>
                <w:sz w:val="24"/>
              </w:rPr>
            </w:pPr>
            <w:r>
              <w:rPr>
                <w:i/>
                <w:iCs/>
                <w:sz w:val="24"/>
              </w:rPr>
              <w:t>r</w:t>
            </w:r>
            <w:r>
              <w:rPr>
                <w:i/>
                <w:iCs/>
                <w:sz w:val="24"/>
                <w:vertAlign w:val="subscript"/>
              </w:rPr>
              <w:t>ci</w:t>
            </w:r>
          </w:p>
        </w:tc>
        <w:tc>
          <w:tcPr>
            <w:tcW w:w="708" w:type="dxa"/>
          </w:tcPr>
          <w:p>
            <w:pPr>
              <w:pStyle w:val="2"/>
              <w:spacing w:after="0" w:line="440" w:lineRule="exact"/>
              <w:ind w:left="0" w:leftChars="0" w:firstLine="0" w:firstLineChars="0"/>
              <w:rPr>
                <w:sz w:val="24"/>
              </w:rPr>
            </w:pPr>
            <w:r>
              <w:rPr>
                <w:sz w:val="24"/>
              </w:rPr>
              <w:t>——</w:t>
            </w:r>
          </w:p>
        </w:tc>
        <w:tc>
          <w:tcPr>
            <w:tcW w:w="5812" w:type="dxa"/>
            <w:vAlign w:val="center"/>
          </w:tcPr>
          <w:p>
            <w:pPr>
              <w:pStyle w:val="2"/>
              <w:spacing w:after="0" w:line="440" w:lineRule="exact"/>
              <w:ind w:left="0" w:leftChars="0" w:firstLine="0" w:firstLineChars="0"/>
              <w:rPr>
                <w:sz w:val="24"/>
              </w:rPr>
            </w:pPr>
            <w:r>
              <w:rPr>
                <w:sz w:val="24"/>
              </w:rPr>
              <w:t>空心半径（mm），对实心构件取0；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vAlign w:val="center"/>
          </w:tcPr>
          <w:p>
            <w:pPr>
              <w:pStyle w:val="2"/>
              <w:spacing w:after="0" w:line="440" w:lineRule="exact"/>
              <w:ind w:left="0" w:leftChars="0" w:firstLine="0" w:firstLineChars="0"/>
              <w:rPr>
                <w:sz w:val="24"/>
              </w:rPr>
            </w:pPr>
          </w:p>
        </w:tc>
        <w:tc>
          <w:tcPr>
            <w:tcW w:w="856" w:type="dxa"/>
          </w:tcPr>
          <w:p>
            <w:pPr>
              <w:pStyle w:val="2"/>
              <w:spacing w:after="0" w:line="440" w:lineRule="exact"/>
              <w:ind w:left="0" w:leftChars="0" w:firstLine="0" w:firstLineChars="0"/>
              <w:jc w:val="right"/>
              <w:rPr>
                <w:i/>
                <w:iCs/>
                <w:sz w:val="24"/>
              </w:rPr>
            </w:pPr>
            <w:r>
              <w:rPr>
                <w:i/>
                <w:iCs/>
                <w:sz w:val="24"/>
              </w:rPr>
              <w:t>θ</w:t>
            </w:r>
          </w:p>
        </w:tc>
        <w:tc>
          <w:tcPr>
            <w:tcW w:w="708" w:type="dxa"/>
          </w:tcPr>
          <w:p>
            <w:pPr>
              <w:pStyle w:val="2"/>
              <w:spacing w:after="0" w:line="440" w:lineRule="exact"/>
              <w:ind w:left="0" w:leftChars="0" w:firstLine="0" w:firstLineChars="0"/>
              <w:rPr>
                <w:sz w:val="24"/>
              </w:rPr>
            </w:pPr>
            <w:r>
              <w:rPr>
                <w:sz w:val="24"/>
              </w:rPr>
              <w:t>——</w:t>
            </w:r>
          </w:p>
        </w:tc>
        <w:tc>
          <w:tcPr>
            <w:tcW w:w="5812" w:type="dxa"/>
            <w:vAlign w:val="center"/>
          </w:tcPr>
          <w:p>
            <w:pPr>
              <w:pStyle w:val="2"/>
              <w:spacing w:after="0" w:line="440" w:lineRule="exact"/>
              <w:ind w:left="0" w:leftChars="0" w:firstLine="0" w:firstLineChars="0"/>
              <w:rPr>
                <w:sz w:val="24"/>
              </w:rPr>
            </w:pPr>
            <w:r>
              <w:rPr>
                <w:sz w:val="24"/>
              </w:rPr>
              <w:t>实心或空心钢管混凝土构件的套箍系数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vAlign w:val="center"/>
          </w:tcPr>
          <w:p>
            <w:pPr>
              <w:pStyle w:val="2"/>
              <w:spacing w:after="0" w:line="440" w:lineRule="exact"/>
              <w:ind w:left="0" w:leftChars="0" w:firstLine="0" w:firstLineChars="0"/>
              <w:rPr>
                <w:sz w:val="24"/>
              </w:rPr>
            </w:pPr>
          </w:p>
        </w:tc>
        <w:tc>
          <w:tcPr>
            <w:tcW w:w="856" w:type="dxa"/>
          </w:tcPr>
          <w:p>
            <w:pPr>
              <w:pStyle w:val="2"/>
              <w:spacing w:after="0" w:line="440" w:lineRule="exact"/>
              <w:ind w:left="0" w:leftChars="0" w:firstLine="0" w:firstLineChars="0"/>
              <w:jc w:val="right"/>
              <w:rPr>
                <w:i/>
                <w:iCs/>
              </w:rPr>
            </w:pPr>
            <w:r>
              <w:rPr>
                <w:i/>
                <w:iCs/>
                <w:sz w:val="24"/>
              </w:rPr>
              <w:t>f</w:t>
            </w:r>
          </w:p>
        </w:tc>
        <w:tc>
          <w:tcPr>
            <w:tcW w:w="708" w:type="dxa"/>
          </w:tcPr>
          <w:p>
            <w:pPr>
              <w:pStyle w:val="2"/>
              <w:spacing w:after="0" w:line="440" w:lineRule="exact"/>
              <w:ind w:left="0" w:leftChars="0" w:firstLine="0" w:firstLineChars="0"/>
              <w:rPr>
                <w:sz w:val="24"/>
              </w:rPr>
            </w:pPr>
            <w:r>
              <w:rPr>
                <w:sz w:val="24"/>
              </w:rPr>
              <w:t>——</w:t>
            </w:r>
          </w:p>
        </w:tc>
        <w:tc>
          <w:tcPr>
            <w:tcW w:w="5812" w:type="dxa"/>
            <w:vAlign w:val="center"/>
          </w:tcPr>
          <w:p>
            <w:pPr>
              <w:pStyle w:val="2"/>
              <w:spacing w:after="0" w:line="440" w:lineRule="exact"/>
              <w:ind w:left="0" w:leftChars="0" w:firstLine="0" w:firstLineChars="0"/>
              <w:rPr>
                <w:sz w:val="24"/>
              </w:rPr>
            </w:pPr>
            <w:r>
              <w:rPr>
                <w:sz w:val="24"/>
              </w:rPr>
              <w:t>钢材的抗压强度设计值（MPa）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vAlign w:val="center"/>
          </w:tcPr>
          <w:p>
            <w:pPr>
              <w:pStyle w:val="2"/>
              <w:spacing w:after="0" w:line="440" w:lineRule="exact"/>
              <w:ind w:left="0" w:leftChars="0" w:firstLine="0" w:firstLineChars="0"/>
              <w:rPr>
                <w:sz w:val="24"/>
              </w:rPr>
            </w:pPr>
          </w:p>
        </w:tc>
        <w:tc>
          <w:tcPr>
            <w:tcW w:w="856" w:type="dxa"/>
          </w:tcPr>
          <w:p>
            <w:pPr>
              <w:pStyle w:val="2"/>
              <w:spacing w:after="0" w:line="440" w:lineRule="exact"/>
              <w:ind w:left="0" w:leftChars="0" w:firstLine="0" w:firstLineChars="0"/>
              <w:jc w:val="right"/>
              <w:rPr>
                <w:i/>
                <w:iCs/>
              </w:rPr>
            </w:pPr>
            <w:r>
              <w:rPr>
                <w:i/>
                <w:iCs/>
                <w:sz w:val="24"/>
              </w:rPr>
              <w:t>f</w:t>
            </w:r>
            <w:r>
              <w:rPr>
                <w:i/>
                <w:iCs/>
                <w:sz w:val="24"/>
                <w:vertAlign w:val="subscript"/>
              </w:rPr>
              <w:t>c</w:t>
            </w:r>
          </w:p>
        </w:tc>
        <w:tc>
          <w:tcPr>
            <w:tcW w:w="708" w:type="dxa"/>
          </w:tcPr>
          <w:p>
            <w:pPr>
              <w:pStyle w:val="2"/>
              <w:spacing w:after="0" w:line="440" w:lineRule="exact"/>
              <w:ind w:left="0" w:leftChars="0" w:firstLine="0" w:firstLineChars="0"/>
              <w:rPr>
                <w:sz w:val="24"/>
              </w:rPr>
            </w:pPr>
            <w:r>
              <w:rPr>
                <w:sz w:val="24"/>
              </w:rPr>
              <w:t>——</w:t>
            </w:r>
          </w:p>
        </w:tc>
        <w:tc>
          <w:tcPr>
            <w:tcW w:w="5812" w:type="dxa"/>
            <w:vAlign w:val="center"/>
          </w:tcPr>
          <w:p>
            <w:pPr>
              <w:pStyle w:val="2"/>
              <w:spacing w:after="0" w:line="440" w:lineRule="exact"/>
              <w:ind w:left="0" w:leftChars="0" w:firstLine="0" w:firstLineChars="0"/>
              <w:rPr>
                <w:sz w:val="24"/>
              </w:rPr>
            </w:pPr>
            <w:r>
              <w:rPr>
                <w:sz w:val="24"/>
              </w:rPr>
              <w:t>混凝土的抗压强度设计值（MPa）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vAlign w:val="center"/>
          </w:tcPr>
          <w:p>
            <w:pPr>
              <w:pStyle w:val="2"/>
              <w:spacing w:after="0" w:line="440" w:lineRule="exact"/>
              <w:ind w:left="0" w:leftChars="0" w:firstLine="0" w:firstLineChars="0"/>
              <w:rPr>
                <w:sz w:val="24"/>
              </w:rPr>
            </w:pPr>
          </w:p>
        </w:tc>
        <w:tc>
          <w:tcPr>
            <w:tcW w:w="856" w:type="dxa"/>
          </w:tcPr>
          <w:p>
            <w:pPr>
              <w:pStyle w:val="2"/>
              <w:spacing w:after="0" w:line="440" w:lineRule="exact"/>
              <w:ind w:left="0" w:leftChars="0" w:firstLine="0" w:firstLineChars="0"/>
              <w:jc w:val="right"/>
              <w:rPr>
                <w:i/>
                <w:iCs/>
              </w:rPr>
            </w:pPr>
            <w:r>
              <w:rPr>
                <w:i/>
                <w:iCs/>
                <w:sz w:val="24"/>
              </w:rPr>
              <w:t>B、C</w:t>
            </w:r>
          </w:p>
        </w:tc>
        <w:tc>
          <w:tcPr>
            <w:tcW w:w="708" w:type="dxa"/>
          </w:tcPr>
          <w:p>
            <w:pPr>
              <w:pStyle w:val="2"/>
              <w:spacing w:after="0" w:line="440" w:lineRule="exact"/>
              <w:ind w:left="0" w:leftChars="0" w:firstLine="0" w:firstLineChars="0"/>
              <w:rPr>
                <w:sz w:val="24"/>
              </w:rPr>
            </w:pPr>
            <w:r>
              <w:rPr>
                <w:sz w:val="24"/>
              </w:rPr>
              <w:t>——</w:t>
            </w:r>
          </w:p>
        </w:tc>
        <w:tc>
          <w:tcPr>
            <w:tcW w:w="5812" w:type="dxa"/>
            <w:vAlign w:val="center"/>
          </w:tcPr>
          <w:p>
            <w:pPr>
              <w:pStyle w:val="2"/>
              <w:spacing w:after="0" w:line="440" w:lineRule="exact"/>
              <w:ind w:left="0" w:leftChars="0" w:firstLine="0" w:firstLineChars="0"/>
              <w:rPr>
                <w:sz w:val="24"/>
              </w:rPr>
            </w:pPr>
            <w:r>
              <w:rPr>
                <w:sz w:val="24"/>
              </w:rPr>
              <w:t>截面形状对套箍效应的影响系数，应按表4.8.10取值。</w:t>
            </w:r>
          </w:p>
        </w:tc>
      </w:tr>
    </w:tbl>
    <w:p>
      <w:pPr>
        <w:spacing w:before="156" w:beforeLines="50" w:line="360" w:lineRule="auto"/>
        <w:ind w:firstLine="735" w:firstLineChars="350"/>
        <w:jc w:val="center"/>
      </w:pPr>
      <w:r>
        <w:t>表4.8.10截面形状对套箍效应的影响系数取值表</w:t>
      </w:r>
    </w:p>
    <w:tbl>
      <w:tblPr>
        <w:tblStyle w:val="19"/>
        <w:tblW w:w="0" w:type="auto"/>
        <w:jc w:val="righ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64"/>
        <w:gridCol w:w="2292"/>
        <w:gridCol w:w="2551"/>
        <w:gridCol w:w="23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right"/>
        </w:trPr>
        <w:tc>
          <w:tcPr>
            <w:tcW w:w="3256" w:type="dxa"/>
            <w:gridSpan w:val="2"/>
            <w:vAlign w:val="center"/>
          </w:tcPr>
          <w:p>
            <w:pPr>
              <w:pStyle w:val="2"/>
              <w:spacing w:after="0" w:line="440" w:lineRule="exact"/>
              <w:ind w:left="0" w:leftChars="0" w:firstLine="0" w:firstLineChars="0"/>
              <w:jc w:val="center"/>
              <w:rPr>
                <w:sz w:val="22"/>
                <w:szCs w:val="22"/>
              </w:rPr>
            </w:pPr>
            <w:r>
              <w:rPr>
                <w:sz w:val="22"/>
                <w:szCs w:val="22"/>
              </w:rPr>
              <w:t>截面形式</w:t>
            </w:r>
          </w:p>
        </w:tc>
        <w:tc>
          <w:tcPr>
            <w:tcW w:w="2551" w:type="dxa"/>
            <w:vAlign w:val="center"/>
          </w:tcPr>
          <w:p>
            <w:pPr>
              <w:pStyle w:val="2"/>
              <w:spacing w:after="0" w:line="440" w:lineRule="exact"/>
              <w:ind w:left="0" w:leftChars="0" w:firstLine="0" w:firstLineChars="0"/>
              <w:jc w:val="center"/>
              <w:rPr>
                <w:i/>
                <w:iCs/>
                <w:sz w:val="22"/>
                <w:szCs w:val="22"/>
              </w:rPr>
            </w:pPr>
            <w:r>
              <w:rPr>
                <w:i/>
                <w:iCs/>
                <w:sz w:val="22"/>
                <w:szCs w:val="22"/>
              </w:rPr>
              <w:t>B</w:t>
            </w:r>
          </w:p>
        </w:tc>
        <w:tc>
          <w:tcPr>
            <w:tcW w:w="2301" w:type="dxa"/>
            <w:vAlign w:val="center"/>
          </w:tcPr>
          <w:p>
            <w:pPr>
              <w:pStyle w:val="2"/>
              <w:spacing w:after="0" w:line="440" w:lineRule="exact"/>
              <w:ind w:left="0" w:leftChars="0" w:firstLine="0" w:firstLineChars="0"/>
              <w:jc w:val="center"/>
              <w:rPr>
                <w:i/>
                <w:iCs/>
                <w:sz w:val="22"/>
                <w:szCs w:val="22"/>
              </w:rPr>
            </w:pPr>
            <w:r>
              <w:rPr>
                <w:i/>
                <w:iCs/>
                <w:sz w:val="22"/>
                <w:szCs w:val="22"/>
              </w:rPr>
              <w:t>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right"/>
        </w:trPr>
        <w:tc>
          <w:tcPr>
            <w:tcW w:w="964" w:type="dxa"/>
            <w:vMerge w:val="restart"/>
            <w:vAlign w:val="center"/>
          </w:tcPr>
          <w:p>
            <w:pPr>
              <w:pStyle w:val="2"/>
              <w:spacing w:after="0" w:line="440" w:lineRule="exact"/>
              <w:ind w:left="0" w:leftChars="0" w:firstLine="0" w:firstLineChars="0"/>
              <w:jc w:val="center"/>
              <w:rPr>
                <w:sz w:val="22"/>
                <w:szCs w:val="22"/>
              </w:rPr>
            </w:pPr>
            <w:r>
              <w:rPr>
                <w:sz w:val="22"/>
                <w:szCs w:val="22"/>
              </w:rPr>
              <w:t>实心</w:t>
            </w:r>
          </w:p>
        </w:tc>
        <w:tc>
          <w:tcPr>
            <w:tcW w:w="2292" w:type="dxa"/>
            <w:vAlign w:val="center"/>
          </w:tcPr>
          <w:p>
            <w:pPr>
              <w:pStyle w:val="2"/>
              <w:spacing w:after="0" w:line="440" w:lineRule="exact"/>
              <w:ind w:left="0" w:leftChars="0" w:firstLine="0" w:firstLineChars="0"/>
              <w:jc w:val="center"/>
              <w:rPr>
                <w:sz w:val="22"/>
                <w:szCs w:val="22"/>
              </w:rPr>
            </w:pPr>
            <w:r>
              <w:rPr>
                <w:sz w:val="22"/>
                <w:szCs w:val="22"/>
              </w:rPr>
              <w:t>圆形和正十六边形</w:t>
            </w:r>
          </w:p>
        </w:tc>
        <w:tc>
          <w:tcPr>
            <w:tcW w:w="2551" w:type="dxa"/>
            <w:vAlign w:val="center"/>
          </w:tcPr>
          <w:p>
            <w:pPr>
              <w:pStyle w:val="2"/>
              <w:spacing w:after="0" w:line="440" w:lineRule="exact"/>
              <w:ind w:left="0" w:leftChars="0" w:firstLine="0" w:firstLineChars="0"/>
              <w:jc w:val="center"/>
              <w:rPr>
                <w:i/>
                <w:iCs/>
                <w:sz w:val="22"/>
                <w:szCs w:val="22"/>
              </w:rPr>
            </w:pPr>
            <w:r>
              <w:rPr>
                <w:i/>
                <w:iCs/>
                <w:sz w:val="22"/>
                <w:szCs w:val="22"/>
              </w:rPr>
              <w:t>0.176f/213+0.974</w:t>
            </w:r>
          </w:p>
        </w:tc>
        <w:tc>
          <w:tcPr>
            <w:tcW w:w="2301" w:type="dxa"/>
            <w:vAlign w:val="center"/>
          </w:tcPr>
          <w:p>
            <w:pPr>
              <w:pStyle w:val="2"/>
              <w:spacing w:after="0" w:line="440" w:lineRule="exact"/>
              <w:ind w:left="0" w:leftChars="0" w:firstLine="0" w:firstLineChars="0"/>
              <w:jc w:val="center"/>
              <w:rPr>
                <w:i/>
                <w:iCs/>
                <w:sz w:val="22"/>
                <w:szCs w:val="22"/>
              </w:rPr>
            </w:pPr>
            <w:r>
              <w:rPr>
                <w:i/>
                <w:iCs/>
                <w:sz w:val="22"/>
                <w:szCs w:val="22"/>
              </w:rPr>
              <w:t>-0.104fc/14.4+0.031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right"/>
        </w:trPr>
        <w:tc>
          <w:tcPr>
            <w:tcW w:w="964" w:type="dxa"/>
            <w:vMerge w:val="continue"/>
            <w:vAlign w:val="center"/>
          </w:tcPr>
          <w:p>
            <w:pPr>
              <w:pStyle w:val="2"/>
              <w:spacing w:after="0" w:line="440" w:lineRule="exact"/>
              <w:ind w:left="0" w:leftChars="0" w:firstLine="0" w:firstLineChars="0"/>
              <w:jc w:val="center"/>
              <w:rPr>
                <w:sz w:val="22"/>
                <w:szCs w:val="22"/>
              </w:rPr>
            </w:pPr>
          </w:p>
        </w:tc>
        <w:tc>
          <w:tcPr>
            <w:tcW w:w="2292" w:type="dxa"/>
            <w:vAlign w:val="center"/>
          </w:tcPr>
          <w:p>
            <w:pPr>
              <w:pStyle w:val="2"/>
              <w:spacing w:after="0" w:line="440" w:lineRule="exact"/>
              <w:ind w:left="0" w:leftChars="0" w:firstLine="0" w:firstLineChars="0"/>
              <w:jc w:val="center"/>
              <w:rPr>
                <w:sz w:val="22"/>
                <w:szCs w:val="22"/>
              </w:rPr>
            </w:pPr>
            <w:r>
              <w:rPr>
                <w:sz w:val="22"/>
                <w:szCs w:val="22"/>
              </w:rPr>
              <w:t>正八边形</w:t>
            </w:r>
          </w:p>
        </w:tc>
        <w:tc>
          <w:tcPr>
            <w:tcW w:w="2551" w:type="dxa"/>
            <w:vAlign w:val="center"/>
          </w:tcPr>
          <w:p>
            <w:pPr>
              <w:pStyle w:val="2"/>
              <w:spacing w:after="0" w:line="440" w:lineRule="exact"/>
              <w:ind w:left="0" w:leftChars="0" w:firstLine="0" w:firstLineChars="0"/>
              <w:jc w:val="center"/>
              <w:rPr>
                <w:i/>
                <w:iCs/>
                <w:sz w:val="22"/>
                <w:szCs w:val="22"/>
              </w:rPr>
            </w:pPr>
            <w:r>
              <w:rPr>
                <w:i/>
                <w:iCs/>
                <w:sz w:val="22"/>
                <w:szCs w:val="22"/>
              </w:rPr>
              <w:t>0.140f/213+0.778</w:t>
            </w:r>
          </w:p>
        </w:tc>
        <w:tc>
          <w:tcPr>
            <w:tcW w:w="2301" w:type="dxa"/>
            <w:vAlign w:val="center"/>
          </w:tcPr>
          <w:p>
            <w:pPr>
              <w:pStyle w:val="2"/>
              <w:spacing w:after="0" w:line="440" w:lineRule="exact"/>
              <w:ind w:left="0" w:leftChars="0" w:firstLine="0" w:firstLineChars="0"/>
              <w:jc w:val="center"/>
              <w:rPr>
                <w:i/>
                <w:iCs/>
                <w:sz w:val="22"/>
                <w:szCs w:val="22"/>
              </w:rPr>
            </w:pPr>
            <w:r>
              <w:rPr>
                <w:i/>
                <w:iCs/>
                <w:sz w:val="22"/>
                <w:szCs w:val="22"/>
              </w:rPr>
              <w:t>-0.070fc/14.4+0.026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right"/>
        </w:trPr>
        <w:tc>
          <w:tcPr>
            <w:tcW w:w="964" w:type="dxa"/>
            <w:vMerge w:val="continue"/>
            <w:vAlign w:val="center"/>
          </w:tcPr>
          <w:p>
            <w:pPr>
              <w:pStyle w:val="2"/>
              <w:spacing w:after="0" w:line="440" w:lineRule="exact"/>
              <w:ind w:left="0" w:leftChars="0" w:firstLine="0" w:firstLineChars="0"/>
              <w:jc w:val="center"/>
              <w:rPr>
                <w:sz w:val="22"/>
                <w:szCs w:val="22"/>
              </w:rPr>
            </w:pPr>
          </w:p>
        </w:tc>
        <w:tc>
          <w:tcPr>
            <w:tcW w:w="2292" w:type="dxa"/>
            <w:vAlign w:val="center"/>
          </w:tcPr>
          <w:p>
            <w:pPr>
              <w:pStyle w:val="2"/>
              <w:spacing w:after="0" w:line="440" w:lineRule="exact"/>
              <w:ind w:left="0" w:leftChars="0" w:firstLine="0" w:firstLineChars="0"/>
              <w:jc w:val="center"/>
              <w:rPr>
                <w:sz w:val="22"/>
                <w:szCs w:val="22"/>
              </w:rPr>
            </w:pPr>
            <w:r>
              <w:rPr>
                <w:sz w:val="22"/>
                <w:szCs w:val="22"/>
              </w:rPr>
              <w:t>正方形</w:t>
            </w:r>
          </w:p>
        </w:tc>
        <w:tc>
          <w:tcPr>
            <w:tcW w:w="2551" w:type="dxa"/>
            <w:vAlign w:val="center"/>
          </w:tcPr>
          <w:p>
            <w:pPr>
              <w:pStyle w:val="2"/>
              <w:spacing w:after="0" w:line="440" w:lineRule="exact"/>
              <w:ind w:left="0" w:leftChars="0" w:firstLine="0" w:firstLineChars="0"/>
              <w:jc w:val="center"/>
              <w:rPr>
                <w:i/>
                <w:iCs/>
                <w:sz w:val="22"/>
                <w:szCs w:val="22"/>
              </w:rPr>
            </w:pPr>
            <w:r>
              <w:rPr>
                <w:i/>
                <w:iCs/>
                <w:sz w:val="22"/>
                <w:szCs w:val="22"/>
              </w:rPr>
              <w:t>0.131f/213+0.723</w:t>
            </w:r>
          </w:p>
        </w:tc>
        <w:tc>
          <w:tcPr>
            <w:tcW w:w="2301" w:type="dxa"/>
            <w:vAlign w:val="center"/>
          </w:tcPr>
          <w:p>
            <w:pPr>
              <w:pStyle w:val="2"/>
              <w:spacing w:after="0" w:line="440" w:lineRule="exact"/>
              <w:ind w:left="0" w:leftChars="0" w:firstLine="0" w:firstLineChars="0"/>
              <w:jc w:val="center"/>
              <w:rPr>
                <w:i/>
                <w:iCs/>
                <w:sz w:val="22"/>
                <w:szCs w:val="22"/>
              </w:rPr>
            </w:pPr>
            <w:r>
              <w:rPr>
                <w:i/>
                <w:iCs/>
                <w:sz w:val="22"/>
                <w:szCs w:val="22"/>
              </w:rPr>
              <w:t>-0.070fc/14.4+0.026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right"/>
        </w:trPr>
        <w:tc>
          <w:tcPr>
            <w:tcW w:w="964" w:type="dxa"/>
            <w:vMerge w:val="restart"/>
            <w:vAlign w:val="center"/>
          </w:tcPr>
          <w:p>
            <w:pPr>
              <w:pStyle w:val="2"/>
              <w:spacing w:after="0" w:line="440" w:lineRule="exact"/>
              <w:ind w:left="0" w:leftChars="0" w:firstLine="0" w:firstLineChars="0"/>
              <w:jc w:val="center"/>
              <w:rPr>
                <w:sz w:val="22"/>
                <w:szCs w:val="22"/>
              </w:rPr>
            </w:pPr>
            <w:r>
              <w:rPr>
                <w:sz w:val="22"/>
                <w:szCs w:val="22"/>
              </w:rPr>
              <w:t>空心</w:t>
            </w:r>
          </w:p>
        </w:tc>
        <w:tc>
          <w:tcPr>
            <w:tcW w:w="2292" w:type="dxa"/>
            <w:vAlign w:val="center"/>
          </w:tcPr>
          <w:p>
            <w:pPr>
              <w:pStyle w:val="2"/>
              <w:spacing w:after="0" w:line="440" w:lineRule="exact"/>
              <w:ind w:left="0" w:leftChars="0" w:firstLine="0" w:firstLineChars="0"/>
              <w:jc w:val="center"/>
              <w:rPr>
                <w:sz w:val="22"/>
                <w:szCs w:val="22"/>
              </w:rPr>
            </w:pPr>
            <w:r>
              <w:rPr>
                <w:sz w:val="22"/>
                <w:szCs w:val="22"/>
              </w:rPr>
              <w:t>圆形和正十六边形</w:t>
            </w:r>
          </w:p>
        </w:tc>
        <w:tc>
          <w:tcPr>
            <w:tcW w:w="2551" w:type="dxa"/>
            <w:vAlign w:val="center"/>
          </w:tcPr>
          <w:p>
            <w:pPr>
              <w:pStyle w:val="2"/>
              <w:spacing w:after="0" w:line="440" w:lineRule="exact"/>
              <w:ind w:left="0" w:leftChars="0" w:firstLine="0" w:firstLineChars="0"/>
              <w:jc w:val="center"/>
              <w:rPr>
                <w:i/>
                <w:iCs/>
                <w:sz w:val="22"/>
                <w:szCs w:val="22"/>
              </w:rPr>
            </w:pPr>
            <w:r>
              <w:rPr>
                <w:i/>
                <w:iCs/>
                <w:sz w:val="22"/>
                <w:szCs w:val="22"/>
              </w:rPr>
              <w:t>0.106f/213+0.584</w:t>
            </w:r>
          </w:p>
        </w:tc>
        <w:tc>
          <w:tcPr>
            <w:tcW w:w="2301" w:type="dxa"/>
            <w:vAlign w:val="center"/>
          </w:tcPr>
          <w:p>
            <w:pPr>
              <w:pStyle w:val="2"/>
              <w:spacing w:after="0" w:line="440" w:lineRule="exact"/>
              <w:ind w:left="0" w:leftChars="0" w:firstLine="0" w:firstLineChars="0"/>
              <w:jc w:val="center"/>
              <w:rPr>
                <w:i/>
                <w:iCs/>
                <w:sz w:val="22"/>
                <w:szCs w:val="22"/>
              </w:rPr>
            </w:pPr>
            <w:r>
              <w:rPr>
                <w:i/>
                <w:iCs/>
                <w:sz w:val="22"/>
                <w:szCs w:val="22"/>
              </w:rPr>
              <w:t>-0.037fc/14.4+0.011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right"/>
        </w:trPr>
        <w:tc>
          <w:tcPr>
            <w:tcW w:w="964" w:type="dxa"/>
            <w:vMerge w:val="continue"/>
            <w:vAlign w:val="center"/>
          </w:tcPr>
          <w:p>
            <w:pPr>
              <w:pStyle w:val="2"/>
              <w:spacing w:after="0" w:line="440" w:lineRule="exact"/>
              <w:ind w:left="0" w:leftChars="0" w:firstLine="0" w:firstLineChars="0"/>
              <w:jc w:val="center"/>
              <w:rPr>
                <w:sz w:val="24"/>
              </w:rPr>
            </w:pPr>
          </w:p>
        </w:tc>
        <w:tc>
          <w:tcPr>
            <w:tcW w:w="2292" w:type="dxa"/>
            <w:vAlign w:val="center"/>
          </w:tcPr>
          <w:p>
            <w:pPr>
              <w:pStyle w:val="2"/>
              <w:spacing w:after="0" w:line="440" w:lineRule="exact"/>
              <w:ind w:left="0" w:leftChars="0" w:firstLine="0" w:firstLineChars="0"/>
              <w:jc w:val="center"/>
              <w:rPr>
                <w:sz w:val="22"/>
                <w:szCs w:val="22"/>
              </w:rPr>
            </w:pPr>
            <w:r>
              <w:rPr>
                <w:sz w:val="22"/>
                <w:szCs w:val="22"/>
              </w:rPr>
              <w:t>正八边形</w:t>
            </w:r>
          </w:p>
        </w:tc>
        <w:tc>
          <w:tcPr>
            <w:tcW w:w="2551" w:type="dxa"/>
            <w:vAlign w:val="center"/>
          </w:tcPr>
          <w:p>
            <w:pPr>
              <w:pStyle w:val="2"/>
              <w:spacing w:after="0" w:line="440" w:lineRule="exact"/>
              <w:ind w:left="0" w:leftChars="0" w:firstLine="0" w:firstLineChars="0"/>
              <w:jc w:val="center"/>
              <w:rPr>
                <w:i/>
                <w:iCs/>
                <w:sz w:val="22"/>
                <w:szCs w:val="22"/>
              </w:rPr>
            </w:pPr>
            <w:r>
              <w:rPr>
                <w:i/>
                <w:iCs/>
                <w:sz w:val="22"/>
                <w:szCs w:val="22"/>
              </w:rPr>
              <w:t>0.056f/213+0.311</w:t>
            </w:r>
          </w:p>
        </w:tc>
        <w:tc>
          <w:tcPr>
            <w:tcW w:w="2301" w:type="dxa"/>
            <w:vAlign w:val="center"/>
          </w:tcPr>
          <w:p>
            <w:pPr>
              <w:pStyle w:val="2"/>
              <w:spacing w:after="0" w:line="440" w:lineRule="exact"/>
              <w:ind w:left="0" w:leftChars="0" w:firstLine="0" w:firstLineChars="0"/>
              <w:jc w:val="center"/>
              <w:rPr>
                <w:i/>
                <w:iCs/>
                <w:sz w:val="22"/>
                <w:szCs w:val="22"/>
              </w:rPr>
            </w:pPr>
            <w:r>
              <w:rPr>
                <w:i/>
                <w:iCs/>
                <w:sz w:val="22"/>
                <w:szCs w:val="22"/>
              </w:rPr>
              <w:t>-0.011fc/14.4+0.004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right"/>
        </w:trPr>
        <w:tc>
          <w:tcPr>
            <w:tcW w:w="964" w:type="dxa"/>
            <w:vMerge w:val="continue"/>
            <w:vAlign w:val="center"/>
          </w:tcPr>
          <w:p>
            <w:pPr>
              <w:pStyle w:val="2"/>
              <w:spacing w:after="0" w:line="440" w:lineRule="exact"/>
              <w:ind w:left="0" w:leftChars="0" w:firstLine="0" w:firstLineChars="0"/>
              <w:jc w:val="center"/>
              <w:rPr>
                <w:sz w:val="24"/>
              </w:rPr>
            </w:pPr>
          </w:p>
        </w:tc>
        <w:tc>
          <w:tcPr>
            <w:tcW w:w="2292" w:type="dxa"/>
            <w:vAlign w:val="center"/>
          </w:tcPr>
          <w:p>
            <w:pPr>
              <w:pStyle w:val="2"/>
              <w:spacing w:after="0" w:line="440" w:lineRule="exact"/>
              <w:ind w:left="0" w:leftChars="0" w:firstLine="0" w:firstLineChars="0"/>
              <w:jc w:val="center"/>
              <w:rPr>
                <w:sz w:val="22"/>
                <w:szCs w:val="22"/>
              </w:rPr>
            </w:pPr>
            <w:r>
              <w:rPr>
                <w:sz w:val="22"/>
                <w:szCs w:val="22"/>
              </w:rPr>
              <w:t>正方形</w:t>
            </w:r>
          </w:p>
        </w:tc>
        <w:tc>
          <w:tcPr>
            <w:tcW w:w="2551" w:type="dxa"/>
            <w:vAlign w:val="center"/>
          </w:tcPr>
          <w:p>
            <w:pPr>
              <w:pStyle w:val="2"/>
              <w:spacing w:after="0" w:line="440" w:lineRule="exact"/>
              <w:ind w:left="0" w:leftChars="0" w:firstLine="0" w:firstLineChars="0"/>
              <w:jc w:val="center"/>
              <w:rPr>
                <w:i/>
                <w:iCs/>
                <w:sz w:val="22"/>
                <w:szCs w:val="22"/>
              </w:rPr>
            </w:pPr>
            <w:r>
              <w:rPr>
                <w:i/>
                <w:iCs/>
                <w:sz w:val="22"/>
                <w:szCs w:val="22"/>
              </w:rPr>
              <w:t>0.039f/213+0.217</w:t>
            </w:r>
          </w:p>
        </w:tc>
        <w:tc>
          <w:tcPr>
            <w:tcW w:w="2301" w:type="dxa"/>
            <w:vAlign w:val="center"/>
          </w:tcPr>
          <w:p>
            <w:pPr>
              <w:pStyle w:val="2"/>
              <w:spacing w:after="0" w:line="440" w:lineRule="exact"/>
              <w:ind w:left="0" w:leftChars="0" w:firstLine="0" w:firstLineChars="0"/>
              <w:jc w:val="center"/>
              <w:rPr>
                <w:i/>
                <w:iCs/>
                <w:sz w:val="22"/>
                <w:szCs w:val="22"/>
              </w:rPr>
            </w:pPr>
            <w:r>
              <w:rPr>
                <w:i/>
                <w:iCs/>
                <w:sz w:val="22"/>
                <w:szCs w:val="22"/>
              </w:rPr>
              <w:t>-0.006fc/14.4+0.002</w:t>
            </w:r>
          </w:p>
        </w:tc>
      </w:tr>
    </w:tbl>
    <w:p>
      <w:pPr>
        <w:ind w:firstLine="210" w:firstLineChars="100"/>
      </w:pPr>
      <w:r>
        <w:rPr>
          <w:lang w:val="zh-CN"/>
        </w:rPr>
        <w:t>注：矩形截面应换算成等效正方形截面进行计算，等效正方形的边长为矩形截面的长短边边长的乘积的平方根。</w:t>
      </w:r>
    </w:p>
    <w:p>
      <w:pPr>
        <w:spacing w:line="440" w:lineRule="exact"/>
        <w:rPr>
          <w:b/>
          <w:bCs/>
          <w:sz w:val="24"/>
        </w:rPr>
      </w:pPr>
      <w:r>
        <w:rPr>
          <w:b/>
          <w:bCs/>
          <w:sz w:val="24"/>
        </w:rPr>
        <w:t xml:space="preserve">4.8.11 </w:t>
      </w:r>
      <w:r>
        <w:rPr>
          <w:sz w:val="24"/>
        </w:rPr>
        <w:t>当不考虑管幕构件填充材料作用，承载力设计值可简化计算，</w:t>
      </w:r>
      <w:r>
        <w:rPr>
          <w:rFonts w:hint="eastAsia"/>
          <w:sz w:val="24"/>
        </w:rPr>
        <w:t>应符合</w:t>
      </w:r>
      <w:r>
        <w:rPr>
          <w:sz w:val="24"/>
        </w:rPr>
        <w:t>现行国家标准《钢结构设计</w:t>
      </w:r>
      <w:r>
        <w:rPr>
          <w:rFonts w:hint="eastAsia"/>
          <w:sz w:val="24"/>
        </w:rPr>
        <w:t>标准</w:t>
      </w:r>
      <w:r>
        <w:rPr>
          <w:sz w:val="24"/>
        </w:rPr>
        <w:t>》GB 50017</w:t>
      </w:r>
      <w:r>
        <w:rPr>
          <w:rFonts w:hint="eastAsia"/>
          <w:sz w:val="24"/>
        </w:rPr>
        <w:t>的规定</w:t>
      </w:r>
      <w:r>
        <w:rPr>
          <w:sz w:val="24"/>
        </w:rPr>
        <w:t>。</w:t>
      </w:r>
    </w:p>
    <w:p>
      <w:pPr>
        <w:spacing w:before="156" w:beforeLines="50" w:after="156" w:afterLines="50" w:line="440" w:lineRule="exact"/>
        <w:jc w:val="center"/>
        <w:outlineLvl w:val="1"/>
        <w:rPr>
          <w:rFonts w:eastAsia="黑体"/>
          <w:sz w:val="24"/>
        </w:rPr>
      </w:pPr>
      <w:bookmarkStart w:id="42" w:name="_Toc6487"/>
      <w:bookmarkStart w:id="43" w:name="_Toc16041"/>
      <w:r>
        <w:rPr>
          <w:rFonts w:eastAsia="黑体"/>
          <w:sz w:val="24"/>
        </w:rPr>
        <w:t>4.9  管幕构造设计</w:t>
      </w:r>
      <w:bookmarkEnd w:id="42"/>
      <w:bookmarkEnd w:id="43"/>
    </w:p>
    <w:p>
      <w:pPr>
        <w:spacing w:line="440" w:lineRule="exact"/>
        <w:rPr>
          <w:sz w:val="24"/>
        </w:rPr>
      </w:pPr>
      <w:r>
        <w:rPr>
          <w:b/>
          <w:bCs/>
          <w:sz w:val="24"/>
        </w:rPr>
        <w:t xml:space="preserve">4.9.1 </w:t>
      </w:r>
      <w:r>
        <w:rPr>
          <w:sz w:val="24"/>
        </w:rPr>
        <w:t>管幕</w:t>
      </w:r>
      <w:r>
        <w:rPr>
          <w:rFonts w:hint="eastAsia"/>
          <w:sz w:val="24"/>
        </w:rPr>
        <w:t>钢管结构宜</w:t>
      </w:r>
      <w:r>
        <w:rPr>
          <w:sz w:val="24"/>
        </w:rPr>
        <w:t>设置末端悬挑，悬挑长度应根据计算确定。</w:t>
      </w:r>
    </w:p>
    <w:p>
      <w:pPr>
        <w:spacing w:line="440" w:lineRule="exact"/>
        <w:rPr>
          <w:sz w:val="24"/>
        </w:rPr>
      </w:pPr>
      <w:r>
        <w:rPr>
          <w:b/>
          <w:bCs/>
          <w:sz w:val="24"/>
        </w:rPr>
        <w:t xml:space="preserve">4.9.2 </w:t>
      </w:r>
      <w:r>
        <w:rPr>
          <w:rFonts w:hint="eastAsia"/>
          <w:sz w:val="24"/>
        </w:rPr>
        <w:t>锁扣结构与钢管间应采用加强钢板帮焊，确保锁扣抗变形能力</w:t>
      </w:r>
      <w:r>
        <w:rPr>
          <w:sz w:val="24"/>
        </w:rPr>
        <w:t>。</w:t>
      </w:r>
    </w:p>
    <w:p>
      <w:pPr>
        <w:rPr>
          <w:rFonts w:ascii="黑体" w:eastAsia="黑体"/>
          <w:sz w:val="44"/>
        </w:rPr>
      </w:pPr>
      <w:r>
        <w:rPr>
          <w:rFonts w:hint="eastAsia" w:ascii="黑体" w:eastAsia="黑体"/>
          <w:sz w:val="44"/>
        </w:rPr>
        <w:br w:type="page"/>
      </w:r>
    </w:p>
    <w:p>
      <w:pPr>
        <w:spacing w:before="156" w:beforeLines="50" w:after="156" w:afterLines="50"/>
        <w:jc w:val="center"/>
        <w:outlineLvl w:val="0"/>
        <w:rPr>
          <w:sz w:val="44"/>
        </w:rPr>
      </w:pPr>
      <w:bookmarkStart w:id="44" w:name="_Toc19902"/>
      <w:bookmarkStart w:id="45" w:name="_Toc3754"/>
      <w:r>
        <w:rPr>
          <w:rFonts w:hint="eastAsia"/>
          <w:sz w:val="32"/>
          <w:szCs w:val="20"/>
        </w:rPr>
        <w:t>5  施 工 准 备</w:t>
      </w:r>
      <w:bookmarkEnd w:id="44"/>
      <w:bookmarkEnd w:id="45"/>
    </w:p>
    <w:p>
      <w:pPr>
        <w:spacing w:before="156" w:beforeLines="50" w:after="156" w:afterLines="50" w:line="440" w:lineRule="exact"/>
        <w:jc w:val="center"/>
        <w:outlineLvl w:val="1"/>
        <w:rPr>
          <w:rFonts w:eastAsia="黑体"/>
          <w:sz w:val="24"/>
        </w:rPr>
      </w:pPr>
      <w:bookmarkStart w:id="46" w:name="_Toc20036"/>
      <w:bookmarkStart w:id="47" w:name="_Toc18253"/>
      <w:r>
        <w:rPr>
          <w:rFonts w:hint="eastAsia" w:eastAsia="黑体"/>
          <w:sz w:val="24"/>
        </w:rPr>
        <w:t>5.1  一 般 规 定</w:t>
      </w:r>
      <w:bookmarkEnd w:id="46"/>
      <w:bookmarkEnd w:id="47"/>
    </w:p>
    <w:p>
      <w:pPr>
        <w:spacing w:line="440" w:lineRule="exact"/>
        <w:rPr>
          <w:sz w:val="24"/>
        </w:rPr>
      </w:pPr>
      <w:r>
        <w:rPr>
          <w:rFonts w:hint="eastAsia"/>
          <w:b/>
          <w:bCs/>
          <w:sz w:val="24"/>
        </w:rPr>
        <w:t>5.1.1</w:t>
      </w:r>
      <w:r>
        <w:rPr>
          <w:rFonts w:hint="eastAsia"/>
          <w:sz w:val="24"/>
        </w:rPr>
        <w:t xml:space="preserve">  施工前应由设计单位进行设计交底。</w:t>
      </w:r>
    </w:p>
    <w:p>
      <w:pPr>
        <w:spacing w:line="440" w:lineRule="exact"/>
        <w:rPr>
          <w:b/>
          <w:bCs/>
          <w:sz w:val="24"/>
        </w:rPr>
      </w:pPr>
      <w:r>
        <w:rPr>
          <w:b/>
          <w:bCs/>
          <w:sz w:val="24"/>
        </w:rPr>
        <w:t xml:space="preserve">5.1.2  </w:t>
      </w:r>
      <w:r>
        <w:rPr>
          <w:rFonts w:hint="eastAsia"/>
          <w:sz w:val="24"/>
        </w:rPr>
        <w:t>施工前应对施工地段的工程地质和水文地质情况进行调查，必要时应补充地质勘察；</w:t>
      </w:r>
    </w:p>
    <w:p>
      <w:pPr>
        <w:spacing w:line="440" w:lineRule="exact"/>
        <w:rPr>
          <w:b/>
          <w:bCs/>
          <w:sz w:val="24"/>
        </w:rPr>
      </w:pPr>
      <w:r>
        <w:rPr>
          <w:b/>
          <w:bCs/>
          <w:sz w:val="24"/>
        </w:rPr>
        <w:t xml:space="preserve">5.1.3  </w:t>
      </w:r>
      <w:r>
        <w:rPr>
          <w:rFonts w:hint="eastAsia"/>
          <w:sz w:val="24"/>
        </w:rPr>
        <w:t>根据工程所在地的环境保护要求，应进行工程环境调查。</w:t>
      </w:r>
    </w:p>
    <w:p>
      <w:pPr>
        <w:spacing w:line="440" w:lineRule="exact"/>
        <w:rPr>
          <w:sz w:val="24"/>
        </w:rPr>
      </w:pPr>
      <w:r>
        <w:rPr>
          <w:rFonts w:hint="eastAsia"/>
          <w:b/>
          <w:bCs/>
          <w:sz w:val="24"/>
        </w:rPr>
        <w:t>5.1.</w:t>
      </w:r>
      <w:r>
        <w:rPr>
          <w:b/>
          <w:bCs/>
          <w:sz w:val="24"/>
        </w:rPr>
        <w:t>4</w:t>
      </w:r>
      <w:r>
        <w:rPr>
          <w:rFonts w:hint="eastAsia"/>
          <w:sz w:val="24"/>
        </w:rPr>
        <w:t xml:space="preserve">  施工前施工单位应进行施工现场调查与核实，对工程影响范围内的地下障碍物、地下构筑物及地下管线等应进行调查，必要时应进行探查；当实际条件与设计不符时，应提请设计单位校核或调整设计方案。</w:t>
      </w:r>
    </w:p>
    <w:p>
      <w:pPr>
        <w:spacing w:line="440" w:lineRule="exact"/>
        <w:ind w:firstLine="480" w:firstLineChars="200"/>
        <w:rPr>
          <w:sz w:val="24"/>
        </w:rPr>
      </w:pPr>
      <w:r>
        <w:rPr>
          <w:rFonts w:hint="eastAsia"/>
          <w:sz w:val="24"/>
        </w:rPr>
        <w:t>对工程影响范围内的地面建（构）筑物应进行现场踏勘和调查，对需加固或基础托换的建（构）筑物应进行详细调查，必要时应进行鉴定，并应提前做好施工方案。</w:t>
      </w:r>
    </w:p>
    <w:p>
      <w:pPr>
        <w:spacing w:line="440" w:lineRule="exact"/>
        <w:rPr>
          <w:sz w:val="24"/>
        </w:rPr>
      </w:pPr>
      <w:r>
        <w:rPr>
          <w:rFonts w:hint="eastAsia"/>
          <w:b/>
          <w:bCs/>
          <w:sz w:val="24"/>
        </w:rPr>
        <w:t>5.1.</w:t>
      </w:r>
      <w:r>
        <w:rPr>
          <w:b/>
          <w:bCs/>
          <w:sz w:val="24"/>
        </w:rPr>
        <w:t>5</w:t>
      </w:r>
      <w:r>
        <w:rPr>
          <w:rFonts w:hint="eastAsia"/>
          <w:sz w:val="24"/>
        </w:rPr>
        <w:t xml:space="preserve">  施工单位应根据相关技术资料进行风险辨识和评估，针对现场安全风险制定应急预案，并进行交底。</w:t>
      </w:r>
    </w:p>
    <w:p>
      <w:pPr>
        <w:spacing w:line="440" w:lineRule="exact"/>
        <w:rPr>
          <w:sz w:val="24"/>
        </w:rPr>
      </w:pPr>
      <w:r>
        <w:rPr>
          <w:rFonts w:hint="eastAsia"/>
          <w:b/>
          <w:bCs/>
          <w:sz w:val="24"/>
        </w:rPr>
        <w:t>5.1.</w:t>
      </w:r>
      <w:r>
        <w:rPr>
          <w:b/>
          <w:bCs/>
          <w:sz w:val="24"/>
        </w:rPr>
        <w:t>6</w:t>
      </w:r>
      <w:r>
        <w:rPr>
          <w:rFonts w:hint="eastAsia"/>
          <w:sz w:val="24"/>
        </w:rPr>
        <w:t xml:space="preserve">  施工前应编制施工监测专项方案，合理布置监测点，对施工影响区域内地面沉降、建（构）筑物变形等进行重点监控，保证工程自身、周边建筑、地下管线等设施的安全。</w:t>
      </w:r>
    </w:p>
    <w:p>
      <w:pPr>
        <w:spacing w:line="440" w:lineRule="exact"/>
        <w:rPr>
          <w:sz w:val="24"/>
        </w:rPr>
      </w:pPr>
      <w:r>
        <w:rPr>
          <w:rFonts w:hint="eastAsia"/>
          <w:b/>
          <w:bCs/>
          <w:sz w:val="24"/>
        </w:rPr>
        <w:t>5.1.</w:t>
      </w:r>
      <w:r>
        <w:rPr>
          <w:b/>
          <w:bCs/>
          <w:sz w:val="24"/>
        </w:rPr>
        <w:t xml:space="preserve">7 </w:t>
      </w:r>
      <w:r>
        <w:rPr>
          <w:rFonts w:hint="eastAsia"/>
          <w:sz w:val="24"/>
        </w:rPr>
        <w:t xml:space="preserve"> 施工用管幕设备及作业平台应在场外安装调试并预作业验收合格后进场。</w:t>
      </w:r>
    </w:p>
    <w:p>
      <w:pPr>
        <w:spacing w:line="440" w:lineRule="exact"/>
        <w:rPr>
          <w:sz w:val="24"/>
        </w:rPr>
      </w:pPr>
      <w:r>
        <w:rPr>
          <w:rFonts w:hint="eastAsia"/>
          <w:b/>
          <w:bCs/>
          <w:sz w:val="24"/>
        </w:rPr>
        <w:t>5.1.</w:t>
      </w:r>
      <w:r>
        <w:rPr>
          <w:b/>
          <w:bCs/>
          <w:sz w:val="24"/>
        </w:rPr>
        <w:t>8</w:t>
      </w:r>
      <w:r>
        <w:rPr>
          <w:rFonts w:hint="eastAsia"/>
          <w:sz w:val="24"/>
        </w:rPr>
        <w:t xml:space="preserve">  管幕施工前、施工过程中、施工后均应进行施工范围内的有害气体检测。</w:t>
      </w:r>
    </w:p>
    <w:p>
      <w:pPr>
        <w:spacing w:before="156" w:beforeLines="50" w:after="156" w:afterLines="50" w:line="440" w:lineRule="exact"/>
        <w:jc w:val="center"/>
        <w:outlineLvl w:val="1"/>
        <w:rPr>
          <w:rFonts w:eastAsia="黑体"/>
          <w:sz w:val="24"/>
        </w:rPr>
      </w:pPr>
      <w:bookmarkStart w:id="48" w:name="_Toc18098"/>
      <w:bookmarkStart w:id="49" w:name="_Toc31965"/>
      <w:r>
        <w:rPr>
          <w:rFonts w:hint="eastAsia" w:eastAsia="黑体"/>
          <w:sz w:val="24"/>
        </w:rPr>
        <w:t>5.2  技 术 准 备</w:t>
      </w:r>
      <w:bookmarkEnd w:id="48"/>
      <w:bookmarkEnd w:id="49"/>
    </w:p>
    <w:p>
      <w:pPr>
        <w:spacing w:line="440" w:lineRule="exact"/>
        <w:rPr>
          <w:sz w:val="28"/>
          <w:szCs w:val="28"/>
        </w:rPr>
      </w:pPr>
      <w:r>
        <w:rPr>
          <w:rFonts w:hint="eastAsia"/>
          <w:b/>
          <w:bCs/>
          <w:sz w:val="24"/>
        </w:rPr>
        <w:t>5.</w:t>
      </w:r>
      <w:r>
        <w:rPr>
          <w:b/>
          <w:bCs/>
          <w:sz w:val="24"/>
        </w:rPr>
        <w:t>2</w:t>
      </w:r>
      <w:r>
        <w:rPr>
          <w:rFonts w:hint="eastAsia"/>
          <w:b/>
          <w:bCs/>
          <w:sz w:val="24"/>
        </w:rPr>
        <w:t>.1</w:t>
      </w:r>
      <w:r>
        <w:rPr>
          <w:rFonts w:hint="eastAsia"/>
          <w:sz w:val="24"/>
        </w:rPr>
        <w:t xml:space="preserve">  管幕施工前，应具备下列资料：</w:t>
      </w:r>
    </w:p>
    <w:p>
      <w:pPr>
        <w:spacing w:line="440" w:lineRule="exact"/>
        <w:ind w:firstLine="361" w:firstLineChars="150"/>
        <w:rPr>
          <w:sz w:val="24"/>
        </w:rPr>
      </w:pPr>
      <w:r>
        <w:rPr>
          <w:rFonts w:hint="eastAsia"/>
          <w:b/>
          <w:bCs/>
          <w:sz w:val="24"/>
        </w:rPr>
        <w:t>1</w:t>
      </w:r>
      <w:r>
        <w:rPr>
          <w:rFonts w:hint="eastAsia"/>
          <w:sz w:val="24"/>
        </w:rPr>
        <w:t xml:space="preserve">  工程地质和水文地质勘察报告；</w:t>
      </w:r>
    </w:p>
    <w:p>
      <w:pPr>
        <w:spacing w:line="440" w:lineRule="exact"/>
        <w:ind w:firstLine="361" w:firstLineChars="150"/>
        <w:rPr>
          <w:sz w:val="24"/>
        </w:rPr>
      </w:pPr>
      <w:r>
        <w:rPr>
          <w:rFonts w:hint="eastAsia"/>
          <w:b/>
          <w:bCs/>
          <w:sz w:val="24"/>
        </w:rPr>
        <w:t>2</w:t>
      </w:r>
      <w:r>
        <w:rPr>
          <w:rFonts w:hint="eastAsia"/>
          <w:sz w:val="24"/>
        </w:rPr>
        <w:t xml:space="preserve">  管幕范围环境、地下环境和障碍物等的调查报告；</w:t>
      </w:r>
    </w:p>
    <w:p>
      <w:pPr>
        <w:spacing w:line="440" w:lineRule="exact"/>
        <w:ind w:firstLine="361" w:firstLineChars="150"/>
        <w:rPr>
          <w:sz w:val="24"/>
        </w:rPr>
      </w:pPr>
      <w:r>
        <w:rPr>
          <w:rFonts w:hint="eastAsia"/>
          <w:b/>
          <w:bCs/>
          <w:sz w:val="24"/>
        </w:rPr>
        <w:t>3</w:t>
      </w:r>
      <w:r>
        <w:rPr>
          <w:rFonts w:hint="eastAsia"/>
          <w:sz w:val="24"/>
        </w:rPr>
        <w:t xml:space="preserve">  施工所需的设计图纸资料和工程技术要求文件；</w:t>
      </w:r>
    </w:p>
    <w:p>
      <w:pPr>
        <w:spacing w:line="440" w:lineRule="exact"/>
        <w:ind w:firstLine="361" w:firstLineChars="150"/>
        <w:rPr>
          <w:sz w:val="24"/>
        </w:rPr>
      </w:pPr>
      <w:r>
        <w:rPr>
          <w:rFonts w:hint="eastAsia"/>
          <w:b/>
          <w:bCs/>
          <w:sz w:val="24"/>
        </w:rPr>
        <w:t>4</w:t>
      </w:r>
      <w:r>
        <w:rPr>
          <w:rFonts w:hint="eastAsia"/>
          <w:sz w:val="24"/>
        </w:rPr>
        <w:t xml:space="preserve">  工程施工有关合同文件；</w:t>
      </w:r>
    </w:p>
    <w:p>
      <w:pPr>
        <w:spacing w:line="440" w:lineRule="exact"/>
        <w:ind w:firstLine="361" w:firstLineChars="150"/>
        <w:rPr>
          <w:sz w:val="24"/>
        </w:rPr>
      </w:pPr>
      <w:r>
        <w:rPr>
          <w:rFonts w:hint="eastAsia"/>
          <w:b/>
          <w:bCs/>
          <w:sz w:val="24"/>
        </w:rPr>
        <w:t>5</w:t>
      </w:r>
      <w:r>
        <w:rPr>
          <w:rFonts w:hint="eastAsia"/>
          <w:sz w:val="24"/>
        </w:rPr>
        <w:t xml:space="preserve">  专项施工方案；</w:t>
      </w:r>
    </w:p>
    <w:p>
      <w:pPr>
        <w:spacing w:line="440" w:lineRule="exact"/>
        <w:ind w:firstLine="361" w:firstLineChars="150"/>
        <w:rPr>
          <w:sz w:val="24"/>
        </w:rPr>
      </w:pPr>
      <w:r>
        <w:rPr>
          <w:rFonts w:hint="eastAsia"/>
          <w:b/>
          <w:bCs/>
          <w:sz w:val="24"/>
        </w:rPr>
        <w:t>6</w:t>
      </w:r>
      <w:r>
        <w:rPr>
          <w:rFonts w:hint="eastAsia"/>
          <w:sz w:val="24"/>
        </w:rPr>
        <w:t xml:space="preserve">  拟使用管幕设备的相关资料。</w:t>
      </w:r>
    </w:p>
    <w:p>
      <w:pPr>
        <w:spacing w:line="440" w:lineRule="exact"/>
        <w:rPr>
          <w:sz w:val="24"/>
        </w:rPr>
      </w:pPr>
      <w:r>
        <w:rPr>
          <w:rFonts w:hint="eastAsia"/>
          <w:b/>
          <w:bCs/>
          <w:sz w:val="24"/>
        </w:rPr>
        <w:t>5.</w:t>
      </w:r>
      <w:r>
        <w:rPr>
          <w:b/>
          <w:bCs/>
          <w:sz w:val="24"/>
        </w:rPr>
        <w:t>2</w:t>
      </w:r>
      <w:r>
        <w:rPr>
          <w:rFonts w:hint="eastAsia"/>
          <w:b/>
          <w:bCs/>
          <w:sz w:val="24"/>
        </w:rPr>
        <w:t>.2</w:t>
      </w:r>
      <w:r>
        <w:rPr>
          <w:rFonts w:hint="eastAsia"/>
          <w:sz w:val="24"/>
        </w:rPr>
        <w:t xml:space="preserve">  管幕施工前，应完成下列工作：</w:t>
      </w:r>
    </w:p>
    <w:p>
      <w:pPr>
        <w:spacing w:line="440" w:lineRule="exact"/>
        <w:ind w:firstLine="361" w:firstLineChars="150"/>
        <w:rPr>
          <w:sz w:val="24"/>
        </w:rPr>
      </w:pPr>
      <w:r>
        <w:rPr>
          <w:rFonts w:hint="eastAsia"/>
          <w:b/>
          <w:bCs/>
          <w:sz w:val="24"/>
        </w:rPr>
        <w:t>1</w:t>
      </w:r>
      <w:r>
        <w:rPr>
          <w:rFonts w:hint="eastAsia"/>
          <w:sz w:val="24"/>
        </w:rPr>
        <w:t xml:space="preserve">  复核各工作井及洞室里程及坐标、管幕钢管定位孔精度；</w:t>
      </w:r>
    </w:p>
    <w:p>
      <w:pPr>
        <w:spacing w:line="440" w:lineRule="exact"/>
        <w:ind w:firstLine="361" w:firstLineChars="150"/>
        <w:rPr>
          <w:sz w:val="24"/>
        </w:rPr>
      </w:pPr>
      <w:r>
        <w:rPr>
          <w:rFonts w:hint="eastAsia"/>
          <w:b/>
          <w:bCs/>
          <w:sz w:val="24"/>
        </w:rPr>
        <w:t>2</w:t>
      </w:r>
      <w:r>
        <w:rPr>
          <w:rFonts w:hint="eastAsia"/>
          <w:sz w:val="24"/>
        </w:rPr>
        <w:t xml:space="preserve">  设备台架、基座等设施及定向测量数据的检查验收；</w:t>
      </w:r>
    </w:p>
    <w:p>
      <w:pPr>
        <w:spacing w:line="440" w:lineRule="exact"/>
        <w:ind w:firstLine="361" w:firstLineChars="150"/>
        <w:rPr>
          <w:sz w:val="24"/>
        </w:rPr>
      </w:pPr>
      <w:r>
        <w:rPr>
          <w:rFonts w:hint="eastAsia"/>
          <w:b/>
          <w:bCs/>
          <w:sz w:val="24"/>
        </w:rPr>
        <w:t>3</w:t>
      </w:r>
      <w:r>
        <w:rPr>
          <w:rFonts w:hint="eastAsia"/>
          <w:sz w:val="24"/>
        </w:rPr>
        <w:t xml:space="preserve">  施工基面检查验收；</w:t>
      </w:r>
    </w:p>
    <w:p>
      <w:pPr>
        <w:spacing w:line="440" w:lineRule="exact"/>
        <w:ind w:firstLine="361" w:firstLineChars="150"/>
        <w:rPr>
          <w:sz w:val="24"/>
        </w:rPr>
      </w:pPr>
      <w:r>
        <w:rPr>
          <w:rFonts w:hint="eastAsia"/>
          <w:b/>
          <w:bCs/>
          <w:sz w:val="24"/>
        </w:rPr>
        <w:t>4</w:t>
      </w:r>
      <w:r>
        <w:rPr>
          <w:rFonts w:hint="eastAsia"/>
          <w:sz w:val="24"/>
        </w:rPr>
        <w:t xml:space="preserve">  施工材料储备；</w:t>
      </w:r>
    </w:p>
    <w:p>
      <w:pPr>
        <w:spacing w:line="440" w:lineRule="exact"/>
        <w:ind w:firstLine="361" w:firstLineChars="150"/>
        <w:rPr>
          <w:sz w:val="24"/>
        </w:rPr>
      </w:pPr>
      <w:r>
        <w:rPr>
          <w:rFonts w:hint="eastAsia"/>
          <w:b/>
          <w:bCs/>
          <w:sz w:val="24"/>
        </w:rPr>
        <w:t>5</w:t>
      </w:r>
      <w:r>
        <w:rPr>
          <w:rFonts w:hint="eastAsia"/>
          <w:sz w:val="24"/>
        </w:rPr>
        <w:t xml:space="preserve">  施工的各类报表。</w:t>
      </w:r>
    </w:p>
    <w:p>
      <w:pPr>
        <w:spacing w:line="440" w:lineRule="exact"/>
        <w:rPr>
          <w:sz w:val="24"/>
        </w:rPr>
      </w:pPr>
      <w:r>
        <w:rPr>
          <w:rFonts w:hint="eastAsia"/>
          <w:b/>
          <w:bCs/>
          <w:sz w:val="24"/>
        </w:rPr>
        <w:t>5.</w:t>
      </w:r>
      <w:r>
        <w:rPr>
          <w:b/>
          <w:bCs/>
          <w:sz w:val="24"/>
        </w:rPr>
        <w:t>2</w:t>
      </w:r>
      <w:r>
        <w:rPr>
          <w:rFonts w:hint="eastAsia"/>
          <w:b/>
          <w:bCs/>
          <w:sz w:val="24"/>
        </w:rPr>
        <w:t>.</w:t>
      </w:r>
      <w:r>
        <w:rPr>
          <w:b/>
          <w:bCs/>
          <w:sz w:val="24"/>
        </w:rPr>
        <w:t>3</w:t>
      </w:r>
      <w:r>
        <w:rPr>
          <w:rFonts w:hint="eastAsia"/>
          <w:sz w:val="24"/>
        </w:rPr>
        <w:t xml:space="preserve">  施工前应根据工程特点和环境条件，完成测量、检测和监测的准备工作。</w:t>
      </w:r>
    </w:p>
    <w:p>
      <w:pPr>
        <w:spacing w:before="156" w:beforeLines="50" w:after="156" w:afterLines="50" w:line="440" w:lineRule="exact"/>
        <w:jc w:val="center"/>
        <w:outlineLvl w:val="1"/>
        <w:rPr>
          <w:rFonts w:eastAsia="黑体"/>
          <w:sz w:val="24"/>
        </w:rPr>
      </w:pPr>
      <w:bookmarkStart w:id="50" w:name="_Toc13785"/>
      <w:bookmarkStart w:id="51" w:name="_Toc29043"/>
      <w:r>
        <w:rPr>
          <w:rFonts w:hint="eastAsia" w:eastAsia="黑体"/>
          <w:sz w:val="24"/>
        </w:rPr>
        <w:t>5.</w:t>
      </w:r>
      <w:r>
        <w:rPr>
          <w:rFonts w:eastAsia="黑体"/>
          <w:sz w:val="24"/>
        </w:rPr>
        <w:t>3</w:t>
      </w:r>
      <w:r>
        <w:rPr>
          <w:rFonts w:hint="eastAsia" w:eastAsia="黑体"/>
          <w:sz w:val="24"/>
        </w:rPr>
        <w:t xml:space="preserve">  设备选型与配置</w:t>
      </w:r>
      <w:bookmarkEnd w:id="50"/>
      <w:bookmarkEnd w:id="51"/>
    </w:p>
    <w:p>
      <w:pPr>
        <w:spacing w:line="440" w:lineRule="exact"/>
        <w:rPr>
          <w:sz w:val="24"/>
        </w:rPr>
      </w:pPr>
      <w:r>
        <w:rPr>
          <w:rFonts w:hint="eastAsia"/>
          <w:b/>
          <w:bCs/>
          <w:sz w:val="24"/>
        </w:rPr>
        <w:t>5.</w:t>
      </w:r>
      <w:r>
        <w:rPr>
          <w:b/>
          <w:bCs/>
          <w:sz w:val="24"/>
        </w:rPr>
        <w:t>3</w:t>
      </w:r>
      <w:r>
        <w:rPr>
          <w:rFonts w:hint="eastAsia"/>
          <w:b/>
          <w:bCs/>
          <w:sz w:val="24"/>
        </w:rPr>
        <w:t>.1</w:t>
      </w:r>
      <w:r>
        <w:rPr>
          <w:rFonts w:hint="eastAsia"/>
          <w:sz w:val="24"/>
        </w:rPr>
        <w:t xml:space="preserve">  拉管法施工设备选型与配置应符合下列规定：</w:t>
      </w:r>
    </w:p>
    <w:p>
      <w:pPr>
        <w:pStyle w:val="2"/>
        <w:spacing w:after="0" w:line="440" w:lineRule="exact"/>
        <w:ind w:left="0" w:leftChars="0" w:firstLine="0" w:firstLineChars="0"/>
        <w:rPr>
          <w:sz w:val="24"/>
        </w:rPr>
      </w:pPr>
      <w:r>
        <w:rPr>
          <w:rFonts w:hint="eastAsia"/>
          <w:b/>
          <w:bCs/>
          <w:sz w:val="24"/>
        </w:rPr>
        <w:t xml:space="preserve">   1  </w:t>
      </w:r>
      <w:r>
        <w:rPr>
          <w:rFonts w:hint="eastAsia"/>
          <w:sz w:val="24"/>
        </w:rPr>
        <w:t>拉管法施工主要适用地层为粉土、粘土、密实砂土等稳定均质地层，也可用于埋藏浅的卵石、中等硬度的岩石等地层施工；</w:t>
      </w:r>
    </w:p>
    <w:p>
      <w:pPr>
        <w:spacing w:line="440" w:lineRule="exact"/>
        <w:ind w:firstLine="361" w:firstLineChars="150"/>
        <w:rPr>
          <w:sz w:val="24"/>
        </w:rPr>
      </w:pPr>
      <w:r>
        <w:rPr>
          <w:b/>
          <w:bCs/>
          <w:sz w:val="24"/>
        </w:rPr>
        <w:t>2</w:t>
      </w:r>
      <w:r>
        <w:rPr>
          <w:rFonts w:hint="eastAsia"/>
          <w:sz w:val="24"/>
        </w:rPr>
        <w:t xml:space="preserve">  钻机回拖力的计算和钻机的选择应符合下列规定：</w:t>
      </w:r>
    </w:p>
    <w:p>
      <w:pPr>
        <w:spacing w:line="440" w:lineRule="exact"/>
        <w:ind w:firstLine="482" w:firstLineChars="200"/>
        <w:rPr>
          <w:sz w:val="24"/>
        </w:rPr>
      </w:pPr>
      <w:r>
        <w:rPr>
          <w:rFonts w:hint="eastAsia"/>
          <w:b/>
          <w:bCs/>
          <w:sz w:val="24"/>
        </w:rPr>
        <w:t>1）</w:t>
      </w:r>
      <w:r>
        <w:rPr>
          <w:rFonts w:hint="eastAsia"/>
          <w:sz w:val="24"/>
        </w:rPr>
        <w:t>钻机回拖时的回拖力宜按下式计算：</w:t>
      </w:r>
    </w:p>
    <w:p>
      <w:pPr>
        <w:ind w:firstLine="960" w:firstLineChars="400"/>
        <w:rPr>
          <w:sz w:val="24"/>
        </w:rPr>
      </w:pPr>
      <m:oMath>
        <m:r>
          <m:rPr/>
          <w:rPr>
            <w:rFonts w:ascii="Cambria Math" w:hAnsi="Cambria Math"/>
            <w:sz w:val="24"/>
          </w:rPr>
          <m:t>F=</m:t>
        </m:r>
        <m:r>
          <m:rPr/>
          <w:rPr>
            <w:rFonts w:hint="eastAsia" w:ascii="Cambria Math" w:hAnsi="Cambria Math"/>
            <w:sz w:val="24"/>
          </w:rPr>
          <m:t>π</m:t>
        </m:r>
        <m:r>
          <m:rPr/>
          <w:rPr>
            <w:rFonts w:ascii="Cambria Math" w:hAnsi="Cambria Math"/>
            <w:sz w:val="24"/>
          </w:rPr>
          <m:t>Lf</m:t>
        </m:r>
        <m:d>
          <m:dPr>
            <m:begChr m:val="["/>
            <m:endChr m:val="]"/>
            <m:ctrlPr>
              <w:rPr>
                <w:rFonts w:ascii="Cambria Math" w:hAnsi="Cambria Math"/>
                <w:i/>
                <w:sz w:val="24"/>
              </w:rPr>
            </m:ctrlPr>
          </m:dPr>
          <m:e>
            <m:f>
              <m:fPr>
                <m:ctrlPr>
                  <w:rPr>
                    <w:rFonts w:ascii="Cambria Math" w:hAnsi="Cambria Math"/>
                    <w:i/>
                    <w:sz w:val="24"/>
                  </w:rPr>
                </m:ctrlPr>
              </m:fPr>
              <m:num>
                <m:sSup>
                  <m:sSupPr>
                    <m:ctrlPr>
                      <w:rPr>
                        <w:rFonts w:ascii="Cambria Math" w:hAnsi="Cambria Math"/>
                        <w:i/>
                        <w:sz w:val="24"/>
                      </w:rPr>
                    </m:ctrlPr>
                  </m:sSupPr>
                  <m:e>
                    <m:r>
                      <m:rPr/>
                      <w:rPr>
                        <w:rFonts w:ascii="Cambria Math" w:hAnsi="Cambria Math"/>
                        <w:sz w:val="24"/>
                      </w:rPr>
                      <m:t>D</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sSub>
                  <m:sSubPr>
                    <m:ctrlPr>
                      <w:rPr>
                        <w:rFonts w:ascii="Cambria Math" w:hAnsi="Cambria Math"/>
                        <w:i/>
                        <w:sz w:val="24"/>
                      </w:rPr>
                    </m:ctrlPr>
                  </m:sSubPr>
                  <m:e>
                    <m:r>
                      <m:rPr/>
                      <w:rPr>
                        <w:rFonts w:hint="eastAsia" w:ascii="Cambria Math" w:hAnsi="Cambria Math"/>
                        <w:sz w:val="24"/>
                      </w:rPr>
                      <m:t>γ</m:t>
                    </m:r>
                    <m:ctrlPr>
                      <w:rPr>
                        <w:rFonts w:ascii="Cambria Math" w:hAnsi="Cambria Math"/>
                        <w:i/>
                        <w:sz w:val="24"/>
                      </w:rPr>
                    </m:ctrlPr>
                  </m:e>
                  <m:sub>
                    <m:r>
                      <m:rPr/>
                      <w:rPr>
                        <w:rFonts w:ascii="Cambria Math" w:hAnsi="Cambria Math"/>
                        <w:sz w:val="24"/>
                      </w:rPr>
                      <m:t>1</m:t>
                    </m:r>
                    <m:ctrlPr>
                      <w:rPr>
                        <w:rFonts w:ascii="Cambria Math" w:hAnsi="Cambria Math"/>
                        <w:i/>
                        <w:sz w:val="24"/>
                      </w:rPr>
                    </m:ctrlPr>
                  </m:sub>
                </m:sSub>
                <m:ctrlPr>
                  <w:rPr>
                    <w:rFonts w:ascii="Cambria Math" w:hAnsi="Cambria Math"/>
                    <w:i/>
                    <w:sz w:val="24"/>
                  </w:rPr>
                </m:ctrlPr>
              </m:num>
              <m:den>
                <m:r>
                  <m:rPr/>
                  <w:rPr>
                    <w:rFonts w:ascii="Cambria Math" w:hAnsi="Cambria Math"/>
                    <w:sz w:val="24"/>
                  </w:rPr>
                  <m:t>4</m:t>
                </m:r>
                <m:ctrlPr>
                  <w:rPr>
                    <w:rFonts w:ascii="Cambria Math" w:hAnsi="Cambria Math"/>
                    <w:i/>
                    <w:sz w:val="24"/>
                  </w:rPr>
                </m:ctrlPr>
              </m:den>
            </m:f>
            <m:r>
              <m:rPr/>
              <w:rPr>
                <w:rFonts w:ascii="Cambria Math" w:hAnsi="Cambria Math"/>
                <w:sz w:val="24"/>
              </w:rPr>
              <m:t>−</m:t>
            </m:r>
            <m:d>
              <m:dPr>
                <m:ctrlPr>
                  <w:rPr>
                    <w:rFonts w:ascii="Cambria Math" w:hAnsi="Cambria Math"/>
                    <w:i/>
                    <w:sz w:val="24"/>
                  </w:rPr>
                </m:ctrlPr>
              </m:dPr>
              <m:e>
                <m:f>
                  <m:fPr>
                    <m:ctrlPr>
                      <w:rPr>
                        <w:rFonts w:ascii="Cambria Math" w:hAnsi="Cambria Math"/>
                        <w:i/>
                        <w:sz w:val="24"/>
                      </w:rPr>
                    </m:ctrlPr>
                  </m:fPr>
                  <m:num>
                    <m:sSub>
                      <m:sSubPr>
                        <m:ctrlPr>
                          <w:rPr>
                            <w:rFonts w:ascii="Cambria Math" w:hAnsi="Cambria Math"/>
                            <w:i/>
                            <w:sz w:val="24"/>
                          </w:rPr>
                        </m:ctrlPr>
                      </m:sSubPr>
                      <m:e>
                        <m:r>
                          <m:rPr/>
                          <w:rPr>
                            <w:rFonts w:ascii="Cambria Math" w:hAnsi="Cambria Math"/>
                            <w:sz w:val="24"/>
                          </w:rPr>
                          <m:t>D</m:t>
                        </m:r>
                        <m:ctrlPr>
                          <w:rPr>
                            <w:rFonts w:ascii="Cambria Math" w:hAnsi="Cambria Math"/>
                            <w:i/>
                            <w:sz w:val="24"/>
                          </w:rPr>
                        </m:ctrlPr>
                      </m:e>
                      <m:sub>
                        <m:r>
                          <m:rPr/>
                          <w:rPr>
                            <w:rFonts w:ascii="Cambria Math" w:hAnsi="Cambria Math"/>
                            <w:sz w:val="24"/>
                          </w:rPr>
                          <m:t>s</m:t>
                        </m:r>
                        <m:ctrlPr>
                          <w:rPr>
                            <w:rFonts w:ascii="Cambria Math" w:hAnsi="Cambria Math"/>
                            <w:i/>
                            <w:sz w:val="24"/>
                          </w:rPr>
                        </m:ctrlPr>
                      </m:sub>
                    </m:sSub>
                    <m:r>
                      <m:rPr/>
                      <w:rPr>
                        <w:rFonts w:ascii="Cambria Math" w:hAnsi="Cambria Math"/>
                        <w:sz w:val="24"/>
                      </w:rPr>
                      <m:t>+</m:t>
                    </m:r>
                    <m:sSub>
                      <m:sSubPr>
                        <m:ctrlPr>
                          <w:rPr>
                            <w:rFonts w:ascii="Cambria Math" w:hAnsi="Cambria Math"/>
                            <w:i/>
                            <w:sz w:val="24"/>
                          </w:rPr>
                        </m:ctrlPr>
                      </m:sSubPr>
                      <m:e>
                        <m:r>
                          <m:rPr/>
                          <w:rPr>
                            <w:rFonts w:ascii="Cambria Math" w:hAnsi="Cambria Math"/>
                            <w:sz w:val="24"/>
                          </w:rPr>
                          <m:t>d</m:t>
                        </m:r>
                        <m:ctrlPr>
                          <w:rPr>
                            <w:rFonts w:ascii="Cambria Math" w:hAnsi="Cambria Math"/>
                            <w:i/>
                            <w:sz w:val="24"/>
                          </w:rPr>
                        </m:ctrlPr>
                      </m:e>
                      <m:sub>
                        <m:r>
                          <m:rPr/>
                          <w:rPr>
                            <w:rFonts w:ascii="Cambria Math" w:hAnsi="Cambria Math"/>
                            <w:sz w:val="24"/>
                          </w:rPr>
                          <m:t>s</m:t>
                        </m:r>
                        <m:ctrlPr>
                          <w:rPr>
                            <w:rFonts w:ascii="Cambria Math" w:hAnsi="Cambria Math"/>
                            <w:i/>
                            <w:sz w:val="24"/>
                          </w:rPr>
                        </m:ctrlPr>
                      </m:sub>
                    </m:sSub>
                    <m:ctrlPr>
                      <w:rPr>
                        <w:rFonts w:ascii="Cambria Math" w:hAnsi="Cambria Math"/>
                        <w:i/>
                        <w:sz w:val="24"/>
                      </w:rPr>
                    </m:ctrlPr>
                  </m:num>
                  <m:den>
                    <m:r>
                      <m:rPr/>
                      <w:rPr>
                        <w:rFonts w:ascii="Cambria Math" w:hAnsi="Cambria Math"/>
                        <w:sz w:val="24"/>
                      </w:rPr>
                      <m:t>2</m:t>
                    </m:r>
                    <m:ctrlPr>
                      <w:rPr>
                        <w:rFonts w:ascii="Cambria Math" w:hAnsi="Cambria Math"/>
                        <w:i/>
                        <w:sz w:val="24"/>
                      </w:rPr>
                    </m:ctrlPr>
                  </m:den>
                </m:f>
                <m:ctrlPr>
                  <w:rPr>
                    <w:rFonts w:ascii="Cambria Math" w:hAnsi="Cambria Math"/>
                    <w:i/>
                    <w:sz w:val="24"/>
                  </w:rPr>
                </m:ctrlPr>
              </m:e>
            </m:d>
            <m:r>
              <m:rPr/>
              <w:rPr>
                <w:rFonts w:hint="eastAsia" w:ascii="Cambria Math" w:hAnsi="Cambria Math"/>
                <w:sz w:val="24"/>
              </w:rPr>
              <m:t>δ</m:t>
            </m:r>
            <m:sSub>
              <m:sSubPr>
                <m:ctrlPr>
                  <w:rPr>
                    <w:rFonts w:ascii="Cambria Math" w:hAnsi="Cambria Math"/>
                    <w:i/>
                    <w:sz w:val="24"/>
                  </w:rPr>
                </m:ctrlPr>
              </m:sSubPr>
              <m:e>
                <m:r>
                  <m:rPr/>
                  <w:rPr>
                    <w:rFonts w:hint="eastAsia" w:ascii="Cambria Math" w:hAnsi="Cambria Math"/>
                    <w:sz w:val="24"/>
                  </w:rPr>
                  <m:t>γ</m:t>
                </m:r>
                <m:ctrlPr>
                  <w:rPr>
                    <w:rFonts w:ascii="Cambria Math" w:hAnsi="Cambria Math"/>
                    <w:i/>
                    <w:sz w:val="24"/>
                  </w:rPr>
                </m:ctrlPr>
              </m:e>
              <m:sub>
                <m:r>
                  <m:rPr/>
                  <w:rPr>
                    <w:rFonts w:ascii="Cambria Math" w:hAnsi="Cambria Math"/>
                    <w:sz w:val="24"/>
                  </w:rPr>
                  <m:t>s</m:t>
                </m:r>
                <m:ctrlPr>
                  <w:rPr>
                    <w:rFonts w:ascii="Cambria Math" w:hAnsi="Cambria Math"/>
                    <w:i/>
                    <w:sz w:val="24"/>
                  </w:rPr>
                </m:ctrlPr>
              </m:sub>
            </m:sSub>
            <m:r>
              <m:rPr>
                <m:sty m:val="p"/>
              </m:rPr>
              <w:rPr>
                <w:rFonts w:ascii="Cambria Math" w:hAnsi="Cambria Math"/>
                <w:sz w:val="24"/>
              </w:rPr>
              <w:softHyphen/>
            </m:r>
            <m:r>
              <m:rPr>
                <m:sty m:val="p"/>
              </m:rPr>
              <w:rPr>
                <w:rFonts w:ascii="Cambria Math" w:hAnsi="Cambria Math"/>
                <w:sz w:val="24"/>
              </w:rPr>
              <w:softHyphen/>
            </m:r>
            <m:ctrlPr>
              <w:rPr>
                <w:rFonts w:ascii="Cambria Math" w:hAnsi="Cambria Math"/>
                <w:i/>
                <w:sz w:val="24"/>
              </w:rPr>
            </m:ctrlPr>
          </m:e>
        </m:d>
        <m:r>
          <m:rPr/>
          <w:rPr>
            <w:rFonts w:ascii="Cambria Math" w:hAnsi="Cambria Math"/>
            <w:sz w:val="24"/>
          </w:rPr>
          <m:t>+</m:t>
        </m:r>
        <m:r>
          <m:rPr/>
          <w:rPr>
            <w:rFonts w:hint="eastAsia" w:ascii="Cambria Math" w:hAnsi="Cambria Math"/>
            <w:sz w:val="24"/>
          </w:rPr>
          <m:t>π</m:t>
        </m:r>
        <m:r>
          <m:rPr/>
          <w:rPr>
            <w:rFonts w:ascii="Cambria Math" w:hAnsi="Cambria Math"/>
            <w:sz w:val="24"/>
          </w:rPr>
          <m:t>DLK</m:t>
        </m:r>
      </m:oMath>
      <w:r>
        <w:rPr>
          <w:rFonts w:hint="eastAsia"/>
          <w:sz w:val="24"/>
        </w:rPr>
        <w:t xml:space="preserve">                        （5.</w:t>
      </w:r>
      <w:r>
        <w:rPr>
          <w:sz w:val="24"/>
        </w:rPr>
        <w:t>3</w:t>
      </w:r>
      <w:r>
        <w:rPr>
          <w:rFonts w:hint="eastAsia"/>
          <w:sz w:val="24"/>
        </w:rPr>
        <w:t>.1）</w:t>
      </w:r>
    </w:p>
    <w:p>
      <w:pPr>
        <w:autoSpaceDE w:val="0"/>
        <w:autoSpaceDN w:val="0"/>
        <w:adjustRightInd w:val="0"/>
        <w:spacing w:line="440" w:lineRule="exact"/>
        <w:jc w:val="left"/>
        <w:rPr>
          <w:rFonts w:cs="宋体"/>
          <w:kern w:val="0"/>
          <w:sz w:val="24"/>
        </w:rPr>
      </w:pPr>
      <w:r>
        <w:rPr>
          <w:rFonts w:hint="eastAsia" w:cs="宋体"/>
          <w:kern w:val="0"/>
          <w:sz w:val="24"/>
        </w:rPr>
        <w:t>式中：</w:t>
      </w:r>
      <w:r>
        <w:rPr>
          <w:kern w:val="0"/>
          <w:sz w:val="24"/>
        </w:rPr>
        <w:t>F——穿越管段回拖力</w:t>
      </w:r>
      <w:r>
        <w:rPr>
          <w:rFonts w:hint="eastAsia"/>
          <w:kern w:val="0"/>
          <w:sz w:val="24"/>
        </w:rPr>
        <w:t>（kN）</w:t>
      </w:r>
      <w:r>
        <w:rPr>
          <w:kern w:val="0"/>
          <w:sz w:val="24"/>
        </w:rPr>
        <w:t>；</w:t>
      </w:r>
    </w:p>
    <w:p>
      <w:pPr>
        <w:autoSpaceDE w:val="0"/>
        <w:autoSpaceDN w:val="0"/>
        <w:adjustRightInd w:val="0"/>
        <w:spacing w:line="440" w:lineRule="exact"/>
        <w:ind w:firstLine="720" w:firstLineChars="300"/>
        <w:jc w:val="left"/>
        <w:rPr>
          <w:kern w:val="0"/>
          <w:sz w:val="24"/>
        </w:rPr>
      </w:pPr>
      <w:r>
        <w:rPr>
          <w:kern w:val="0"/>
          <w:sz w:val="24"/>
        </w:rPr>
        <w:t>L——穿越管段长度(m)；</w:t>
      </w:r>
    </w:p>
    <w:p>
      <w:pPr>
        <w:autoSpaceDE w:val="0"/>
        <w:autoSpaceDN w:val="0"/>
        <w:adjustRightInd w:val="0"/>
        <w:spacing w:line="440" w:lineRule="exact"/>
        <w:ind w:firstLine="720" w:firstLineChars="300"/>
        <w:jc w:val="left"/>
        <w:rPr>
          <w:kern w:val="0"/>
          <w:sz w:val="24"/>
        </w:rPr>
      </w:pPr>
      <w:r>
        <w:rPr>
          <w:kern w:val="0"/>
          <w:sz w:val="24"/>
        </w:rPr>
        <w:t>F——摩擦系数，一般取0.1</w:t>
      </w:r>
      <w:r>
        <w:rPr>
          <w:rFonts w:hint="eastAsia"/>
          <w:kern w:val="0"/>
          <w:sz w:val="24"/>
        </w:rPr>
        <w:t>～</w:t>
      </w:r>
      <w:r>
        <w:rPr>
          <w:kern w:val="0"/>
          <w:sz w:val="24"/>
        </w:rPr>
        <w:t>0.3；</w:t>
      </w:r>
    </w:p>
    <w:p>
      <w:pPr>
        <w:autoSpaceDE w:val="0"/>
        <w:autoSpaceDN w:val="0"/>
        <w:adjustRightInd w:val="0"/>
        <w:spacing w:line="440" w:lineRule="exact"/>
        <w:ind w:firstLine="720" w:firstLineChars="300"/>
        <w:jc w:val="left"/>
        <w:rPr>
          <w:kern w:val="0"/>
          <w:sz w:val="24"/>
        </w:rPr>
      </w:pPr>
      <w:r>
        <w:rPr>
          <w:kern w:val="0"/>
          <w:sz w:val="24"/>
        </w:rPr>
        <w:t>D——穿越管段的管身外径</w:t>
      </w:r>
      <w:r>
        <w:rPr>
          <w:rFonts w:hint="eastAsia"/>
          <w:kern w:val="0"/>
          <w:sz w:val="24"/>
        </w:rPr>
        <w:t>（</w:t>
      </w:r>
      <w:r>
        <w:rPr>
          <w:kern w:val="0"/>
          <w:sz w:val="24"/>
        </w:rPr>
        <w:t>m</w:t>
      </w:r>
      <w:r>
        <w:rPr>
          <w:rFonts w:hint="eastAsia"/>
          <w:kern w:val="0"/>
          <w:sz w:val="24"/>
        </w:rPr>
        <w:t>）</w:t>
      </w:r>
      <w:r>
        <w:rPr>
          <w:kern w:val="0"/>
          <w:sz w:val="24"/>
        </w:rPr>
        <w:t>；</w:t>
      </w:r>
    </w:p>
    <w:p>
      <w:pPr>
        <w:autoSpaceDE w:val="0"/>
        <w:autoSpaceDN w:val="0"/>
        <w:adjustRightInd w:val="0"/>
        <w:spacing w:line="440" w:lineRule="exact"/>
        <w:ind w:firstLine="720" w:firstLineChars="300"/>
        <w:jc w:val="left"/>
        <w:rPr>
          <w:kern w:val="0"/>
          <w:sz w:val="24"/>
        </w:rPr>
      </w:pPr>
      <w:r>
        <w:rPr>
          <w:kern w:val="0"/>
          <w:sz w:val="24"/>
        </w:rPr>
        <w:t>D</w:t>
      </w:r>
      <w:r>
        <w:rPr>
          <w:kern w:val="0"/>
          <w:sz w:val="24"/>
          <w:vertAlign w:val="subscript"/>
        </w:rPr>
        <w:t>s</w:t>
      </w:r>
      <w:r>
        <w:rPr>
          <w:kern w:val="0"/>
          <w:sz w:val="24"/>
        </w:rPr>
        <w:t>——穿越管段的钢管外径</w:t>
      </w:r>
      <w:r>
        <w:rPr>
          <w:rFonts w:hint="eastAsia"/>
          <w:kern w:val="0"/>
          <w:sz w:val="24"/>
        </w:rPr>
        <w:t>（</w:t>
      </w:r>
      <w:r>
        <w:rPr>
          <w:kern w:val="0"/>
          <w:sz w:val="24"/>
        </w:rPr>
        <w:t>m</w:t>
      </w:r>
      <w:r>
        <w:rPr>
          <w:rFonts w:hint="eastAsia"/>
          <w:kern w:val="0"/>
          <w:sz w:val="24"/>
        </w:rPr>
        <w:t>）</w:t>
      </w:r>
      <w:r>
        <w:rPr>
          <w:kern w:val="0"/>
          <w:sz w:val="24"/>
        </w:rPr>
        <w:t>；</w:t>
      </w:r>
    </w:p>
    <w:p>
      <w:pPr>
        <w:autoSpaceDE w:val="0"/>
        <w:autoSpaceDN w:val="0"/>
        <w:adjustRightInd w:val="0"/>
        <w:spacing w:line="440" w:lineRule="exact"/>
        <w:ind w:firstLine="720" w:firstLineChars="300"/>
        <w:jc w:val="left"/>
        <w:rPr>
          <w:kern w:val="0"/>
          <w:sz w:val="24"/>
        </w:rPr>
      </w:pPr>
      <w:r>
        <w:rPr>
          <w:kern w:val="0"/>
          <w:sz w:val="24"/>
        </w:rPr>
        <w:t>d</w:t>
      </w:r>
      <w:r>
        <w:rPr>
          <w:kern w:val="0"/>
          <w:sz w:val="24"/>
          <w:vertAlign w:val="subscript"/>
        </w:rPr>
        <w:t>s</w:t>
      </w:r>
      <w:r>
        <w:rPr>
          <w:kern w:val="0"/>
          <w:sz w:val="24"/>
        </w:rPr>
        <w:t>——穿越管段的钢管内径</w:t>
      </w:r>
      <w:r>
        <w:rPr>
          <w:rFonts w:hint="eastAsia"/>
          <w:kern w:val="0"/>
          <w:sz w:val="24"/>
        </w:rPr>
        <w:t>（</w:t>
      </w:r>
      <w:r>
        <w:rPr>
          <w:kern w:val="0"/>
          <w:sz w:val="24"/>
        </w:rPr>
        <w:t>m</w:t>
      </w:r>
      <w:r>
        <w:rPr>
          <w:rFonts w:hint="eastAsia"/>
          <w:kern w:val="0"/>
          <w:sz w:val="24"/>
        </w:rPr>
        <w:t>）</w:t>
      </w:r>
      <w:r>
        <w:rPr>
          <w:kern w:val="0"/>
          <w:sz w:val="24"/>
        </w:rPr>
        <w:t>；</w:t>
      </w:r>
    </w:p>
    <w:p>
      <w:pPr>
        <w:autoSpaceDE w:val="0"/>
        <w:autoSpaceDN w:val="0"/>
        <w:adjustRightInd w:val="0"/>
        <w:spacing w:line="440" w:lineRule="exact"/>
        <w:ind w:firstLine="720" w:firstLineChars="300"/>
        <w:jc w:val="left"/>
        <w:rPr>
          <w:i/>
          <w:kern w:val="0"/>
          <w:sz w:val="24"/>
          <w:vertAlign w:val="subscript"/>
        </w:rPr>
      </w:pPr>
      <w:r>
        <w:rPr>
          <w:i/>
          <w:kern w:val="0"/>
          <w:sz w:val="24"/>
        </w:rPr>
        <w:t>γ</w:t>
      </w:r>
      <w:r>
        <w:rPr>
          <w:i/>
          <w:kern w:val="0"/>
          <w:sz w:val="24"/>
          <w:vertAlign w:val="subscript"/>
        </w:rPr>
        <w:t>1</w:t>
      </w:r>
      <w:r>
        <w:rPr>
          <w:rFonts w:hint="eastAsia"/>
          <w:i/>
          <w:kern w:val="0"/>
          <w:sz w:val="24"/>
          <w:vertAlign w:val="subscript"/>
        </w:rPr>
        <w:t xml:space="preserve"> </w:t>
      </w:r>
      <w:r>
        <w:rPr>
          <w:kern w:val="0"/>
          <w:sz w:val="24"/>
        </w:rPr>
        <w:t>——泥浆密度，一般为1.15</w:t>
      </w:r>
      <w:r>
        <w:rPr>
          <w:rFonts w:hint="eastAsia"/>
          <w:kern w:val="0"/>
          <w:sz w:val="24"/>
        </w:rPr>
        <w:t>～</w:t>
      </w:r>
      <w:r>
        <w:rPr>
          <w:kern w:val="0"/>
          <w:sz w:val="24"/>
        </w:rPr>
        <w:t>1.2；</w:t>
      </w:r>
    </w:p>
    <w:p>
      <w:pPr>
        <w:autoSpaceDE w:val="0"/>
        <w:autoSpaceDN w:val="0"/>
        <w:adjustRightInd w:val="0"/>
        <w:spacing w:line="440" w:lineRule="exact"/>
        <w:ind w:firstLine="720" w:firstLineChars="300"/>
        <w:jc w:val="left"/>
        <w:rPr>
          <w:i/>
          <w:kern w:val="0"/>
          <w:sz w:val="24"/>
        </w:rPr>
      </w:pPr>
      <w:r>
        <w:rPr>
          <w:i/>
          <w:kern w:val="0"/>
          <w:sz w:val="24"/>
        </w:rPr>
        <w:t>γ</w:t>
      </w:r>
      <w:r>
        <w:rPr>
          <w:i/>
          <w:kern w:val="0"/>
          <w:sz w:val="24"/>
          <w:vertAlign w:val="subscript"/>
        </w:rPr>
        <w:t>s</w:t>
      </w:r>
      <w:r>
        <w:rPr>
          <w:rFonts w:hint="eastAsia"/>
          <w:i/>
          <w:kern w:val="0"/>
          <w:sz w:val="24"/>
          <w:vertAlign w:val="subscript"/>
        </w:rPr>
        <w:t xml:space="preserve"> </w:t>
      </w:r>
      <w:r>
        <w:rPr>
          <w:kern w:val="0"/>
          <w:sz w:val="24"/>
        </w:rPr>
        <w:t>——钢材密度，78kN/m</w:t>
      </w:r>
      <w:r>
        <w:rPr>
          <w:kern w:val="0"/>
          <w:sz w:val="24"/>
        </w:rPr>
        <w:softHyphen/>
      </w:r>
      <w:r>
        <w:rPr>
          <w:kern w:val="0"/>
          <w:sz w:val="24"/>
        </w:rPr>
        <w:softHyphen/>
      </w:r>
      <w:r>
        <w:rPr>
          <w:kern w:val="0"/>
          <w:sz w:val="24"/>
        </w:rPr>
        <w:softHyphen/>
      </w:r>
      <w:r>
        <w:rPr>
          <w:kern w:val="0"/>
          <w:sz w:val="24"/>
          <w:vertAlign w:val="superscript"/>
        </w:rPr>
        <w:t>3</w:t>
      </w:r>
      <w:r>
        <w:rPr>
          <w:kern w:val="0"/>
          <w:sz w:val="24"/>
        </w:rPr>
        <w:t>；</w:t>
      </w:r>
    </w:p>
    <w:p>
      <w:pPr>
        <w:spacing w:line="440" w:lineRule="exact"/>
        <w:ind w:firstLine="720" w:firstLineChars="300"/>
        <w:rPr>
          <w:kern w:val="0"/>
          <w:sz w:val="24"/>
        </w:rPr>
      </w:pPr>
      <w:r>
        <w:rPr>
          <w:i/>
          <w:kern w:val="0"/>
          <w:sz w:val="24"/>
        </w:rPr>
        <w:t>K</w:t>
      </w:r>
      <w:r>
        <w:rPr>
          <w:kern w:val="0"/>
          <w:sz w:val="24"/>
        </w:rPr>
        <w:t>——粘滞系数，一般取0.01</w:t>
      </w:r>
      <w:r>
        <w:rPr>
          <w:rFonts w:hint="eastAsia"/>
          <w:kern w:val="0"/>
          <w:sz w:val="24"/>
        </w:rPr>
        <w:t>～</w:t>
      </w:r>
      <w:r>
        <w:rPr>
          <w:kern w:val="0"/>
          <w:sz w:val="24"/>
        </w:rPr>
        <w:t>0.03。</w:t>
      </w:r>
    </w:p>
    <w:p>
      <w:pPr>
        <w:spacing w:line="440" w:lineRule="exact"/>
        <w:ind w:firstLine="720" w:firstLineChars="300"/>
        <w:rPr>
          <w:kern w:val="0"/>
          <w:sz w:val="24"/>
        </w:rPr>
      </w:pPr>
      <m:oMath>
        <m:r>
          <m:rPr/>
          <w:rPr>
            <w:rFonts w:hint="eastAsia" w:ascii="Cambria Math" w:hAnsi="Cambria Math"/>
            <w:sz w:val="24"/>
          </w:rPr>
          <m:t>δ</m:t>
        </m:r>
      </m:oMath>
      <w:r>
        <w:rPr>
          <w:kern w:val="0"/>
          <w:sz w:val="24"/>
        </w:rPr>
        <w:t>——钢管的壁厚</w:t>
      </w:r>
      <w:r>
        <w:rPr>
          <w:rFonts w:hint="eastAsia"/>
          <w:kern w:val="0"/>
          <w:sz w:val="24"/>
        </w:rPr>
        <w:t>（</w:t>
      </w:r>
      <w:r>
        <w:rPr>
          <w:kern w:val="0"/>
          <w:sz w:val="24"/>
        </w:rPr>
        <w:t>m</w:t>
      </w:r>
      <w:r>
        <w:rPr>
          <w:rFonts w:hint="eastAsia"/>
          <w:kern w:val="0"/>
          <w:sz w:val="24"/>
        </w:rPr>
        <w:t>）</w:t>
      </w:r>
    </w:p>
    <w:p>
      <w:pPr>
        <w:spacing w:line="440" w:lineRule="exact"/>
        <w:ind w:firstLine="482" w:firstLineChars="200"/>
        <w:rPr>
          <w:sz w:val="24"/>
        </w:rPr>
      </w:pPr>
      <w:r>
        <w:rPr>
          <w:rFonts w:hint="eastAsia"/>
          <w:b/>
          <w:bCs/>
          <w:sz w:val="24"/>
        </w:rPr>
        <w:t>2）</w:t>
      </w:r>
      <w:r>
        <w:rPr>
          <w:rFonts w:hint="eastAsia"/>
          <w:sz w:val="24"/>
        </w:rPr>
        <w:t>钻机回拖能力宜根据式5.</w:t>
      </w:r>
      <w:r>
        <w:rPr>
          <w:sz w:val="24"/>
        </w:rPr>
        <w:t>3</w:t>
      </w:r>
      <w:r>
        <w:rPr>
          <w:rFonts w:hint="eastAsia"/>
          <w:sz w:val="24"/>
        </w:rPr>
        <w:t>.1计算值的1.5～3倍来选择。</w:t>
      </w:r>
    </w:p>
    <w:p>
      <w:pPr>
        <w:spacing w:line="440" w:lineRule="exact"/>
        <w:ind w:firstLine="361" w:firstLineChars="150"/>
        <w:rPr>
          <w:sz w:val="24"/>
        </w:rPr>
      </w:pPr>
      <w:r>
        <w:rPr>
          <w:b/>
          <w:bCs/>
          <w:sz w:val="24"/>
        </w:rPr>
        <w:t>3</w:t>
      </w:r>
      <w:r>
        <w:rPr>
          <w:rFonts w:hint="eastAsia"/>
          <w:sz w:val="24"/>
        </w:rPr>
        <w:t xml:space="preserve">  拉管法施工应配置应符合下列规定：</w:t>
      </w:r>
    </w:p>
    <w:p>
      <w:pPr>
        <w:pStyle w:val="2"/>
        <w:spacing w:after="0" w:line="440" w:lineRule="exact"/>
        <w:ind w:left="0" w:leftChars="0" w:firstLine="723" w:firstLineChars="300"/>
        <w:rPr>
          <w:sz w:val="24"/>
        </w:rPr>
      </w:pPr>
      <w:r>
        <w:rPr>
          <w:rFonts w:hint="eastAsia"/>
          <w:b/>
          <w:bCs/>
          <w:sz w:val="24"/>
        </w:rPr>
        <w:t>1）</w:t>
      </w:r>
      <w:r>
        <w:rPr>
          <w:rFonts w:hint="eastAsia"/>
          <w:sz w:val="24"/>
        </w:rPr>
        <w:t>钻机应</w:t>
      </w:r>
      <w:r>
        <w:rPr>
          <w:sz w:val="24"/>
        </w:rPr>
        <w:t>根据计算所得最大</w:t>
      </w:r>
      <w:r>
        <w:rPr>
          <w:rFonts w:hint="eastAsia"/>
          <w:sz w:val="24"/>
        </w:rPr>
        <w:t>回拖</w:t>
      </w:r>
      <w:r>
        <w:rPr>
          <w:sz w:val="24"/>
        </w:rPr>
        <w:t>力选择</w:t>
      </w:r>
      <w:r>
        <w:rPr>
          <w:rFonts w:hint="eastAsia"/>
          <w:sz w:val="24"/>
        </w:rPr>
        <w:t>；</w:t>
      </w:r>
    </w:p>
    <w:p>
      <w:pPr>
        <w:pStyle w:val="2"/>
        <w:spacing w:after="0" w:line="440" w:lineRule="exact"/>
        <w:ind w:left="0" w:leftChars="0" w:firstLine="723" w:firstLineChars="300"/>
        <w:rPr>
          <w:sz w:val="24"/>
        </w:rPr>
      </w:pPr>
      <w:r>
        <w:rPr>
          <w:rFonts w:hint="eastAsia"/>
          <w:b/>
          <w:bCs/>
          <w:sz w:val="24"/>
        </w:rPr>
        <w:t>2）</w:t>
      </w:r>
      <w:r>
        <w:rPr>
          <w:rFonts w:hint="eastAsia"/>
          <w:sz w:val="24"/>
        </w:rPr>
        <w:t>泥浆泵</w:t>
      </w:r>
      <w:r>
        <w:rPr>
          <w:sz w:val="24"/>
        </w:rPr>
        <w:t>流量</w:t>
      </w:r>
      <w:r>
        <w:rPr>
          <w:rFonts w:hint="eastAsia"/>
          <w:sz w:val="24"/>
        </w:rPr>
        <w:t>应</w:t>
      </w:r>
      <w:r>
        <w:rPr>
          <w:sz w:val="24"/>
        </w:rPr>
        <w:t>根据所选钻机配合选用，通常在</w:t>
      </w:r>
      <w:r>
        <w:rPr>
          <w:rFonts w:hint="eastAsia"/>
          <w:sz w:val="24"/>
        </w:rPr>
        <w:t>100</w:t>
      </w:r>
      <w:r>
        <w:rPr>
          <w:sz w:val="24"/>
        </w:rPr>
        <w:t>-3000L/min</w:t>
      </w:r>
      <w:r>
        <w:rPr>
          <w:rFonts w:hint="eastAsia"/>
          <w:sz w:val="24"/>
        </w:rPr>
        <w:t>；</w:t>
      </w:r>
    </w:p>
    <w:p>
      <w:pPr>
        <w:spacing w:line="440" w:lineRule="exact"/>
        <w:ind w:firstLine="723" w:firstLineChars="300"/>
        <w:rPr>
          <w:sz w:val="24"/>
        </w:rPr>
      </w:pPr>
      <w:r>
        <w:rPr>
          <w:b/>
          <w:bCs/>
          <w:sz w:val="24"/>
        </w:rPr>
        <w:t>3</w:t>
      </w:r>
      <w:r>
        <w:rPr>
          <w:rFonts w:hint="eastAsia"/>
          <w:b/>
          <w:bCs/>
          <w:sz w:val="24"/>
        </w:rPr>
        <w:t>）</w:t>
      </w:r>
      <w:r>
        <w:rPr>
          <w:rFonts w:hint="eastAsia"/>
          <w:sz w:val="24"/>
        </w:rPr>
        <w:t>宜配套两个泥浆罐，每个应为</w:t>
      </w:r>
      <w:r>
        <w:rPr>
          <w:sz w:val="24"/>
        </w:rPr>
        <w:t>20~25方</w:t>
      </w:r>
      <w:r>
        <w:rPr>
          <w:rFonts w:hint="eastAsia"/>
          <w:sz w:val="24"/>
        </w:rPr>
        <w:t>；</w:t>
      </w:r>
    </w:p>
    <w:p>
      <w:pPr>
        <w:pStyle w:val="2"/>
        <w:spacing w:after="0" w:line="440" w:lineRule="exact"/>
        <w:ind w:left="0" w:leftChars="0" w:firstLine="723" w:firstLineChars="300"/>
        <w:rPr>
          <w:sz w:val="24"/>
        </w:rPr>
      </w:pPr>
      <w:r>
        <w:rPr>
          <w:b/>
          <w:bCs/>
          <w:sz w:val="24"/>
        </w:rPr>
        <w:t>4</w:t>
      </w:r>
      <w:r>
        <w:rPr>
          <w:rFonts w:hint="eastAsia"/>
          <w:b/>
          <w:bCs/>
          <w:sz w:val="24"/>
        </w:rPr>
        <w:t>）</w:t>
      </w:r>
      <w:r>
        <w:rPr>
          <w:rFonts w:hint="eastAsia"/>
          <w:sz w:val="24"/>
        </w:rPr>
        <w:t>施工时应根据泥浆含砂量、地层特点、泥浆泵送量等进行选配泥浆</w:t>
      </w:r>
      <w:r>
        <w:rPr>
          <w:sz w:val="24"/>
        </w:rPr>
        <w:t>净化装置</w:t>
      </w:r>
      <w:r>
        <w:rPr>
          <w:rFonts w:hint="eastAsia"/>
          <w:sz w:val="24"/>
        </w:rPr>
        <w:t>，泥浆净化设备的处理量不宜小于泥浆泵量60%。</w:t>
      </w:r>
    </w:p>
    <w:p>
      <w:pPr>
        <w:spacing w:line="440" w:lineRule="exact"/>
        <w:rPr>
          <w:sz w:val="24"/>
        </w:rPr>
      </w:pPr>
      <w:r>
        <w:rPr>
          <w:rFonts w:hint="eastAsia"/>
          <w:b/>
          <w:bCs/>
          <w:sz w:val="24"/>
        </w:rPr>
        <w:t>5.</w:t>
      </w:r>
      <w:r>
        <w:rPr>
          <w:b/>
          <w:bCs/>
          <w:sz w:val="24"/>
        </w:rPr>
        <w:t>3</w:t>
      </w:r>
      <w:r>
        <w:rPr>
          <w:rFonts w:hint="eastAsia"/>
          <w:b/>
          <w:bCs/>
          <w:sz w:val="24"/>
        </w:rPr>
        <w:t>.2</w:t>
      </w:r>
      <w:r>
        <w:rPr>
          <w:rFonts w:hint="eastAsia"/>
          <w:sz w:val="24"/>
        </w:rPr>
        <w:t xml:space="preserve">  夯管法施工设备选型与配置应符合下列规定：</w:t>
      </w:r>
    </w:p>
    <w:p>
      <w:pPr>
        <w:pStyle w:val="2"/>
        <w:spacing w:after="0" w:line="440" w:lineRule="exact"/>
        <w:ind w:left="0" w:leftChars="0" w:firstLine="361" w:firstLineChars="150"/>
      </w:pPr>
      <w:r>
        <w:rPr>
          <w:rFonts w:hint="eastAsia"/>
          <w:b/>
          <w:bCs/>
          <w:sz w:val="24"/>
        </w:rPr>
        <w:t>1</w:t>
      </w:r>
      <w:r>
        <w:rPr>
          <w:b/>
          <w:bCs/>
          <w:sz w:val="24"/>
        </w:rPr>
        <w:t xml:space="preserve">  </w:t>
      </w:r>
      <w:r>
        <w:rPr>
          <w:rFonts w:hint="eastAsia"/>
          <w:sz w:val="24"/>
        </w:rPr>
        <w:t>夯管施工适用于</w:t>
      </w:r>
      <w:r>
        <w:rPr>
          <w:sz w:val="24"/>
        </w:rPr>
        <w:t>各种</w:t>
      </w:r>
      <w:r>
        <w:rPr>
          <w:rFonts w:hint="eastAsia"/>
          <w:sz w:val="24"/>
        </w:rPr>
        <w:t>土层</w:t>
      </w:r>
      <w:r>
        <w:rPr>
          <w:sz w:val="24"/>
        </w:rPr>
        <w:t>施工</w:t>
      </w:r>
      <w:r>
        <w:rPr>
          <w:rFonts w:hint="eastAsia"/>
          <w:sz w:val="24"/>
        </w:rPr>
        <w:t>；</w:t>
      </w:r>
    </w:p>
    <w:p>
      <w:pPr>
        <w:spacing w:line="440" w:lineRule="exact"/>
        <w:ind w:firstLine="361" w:firstLineChars="150"/>
        <w:rPr>
          <w:sz w:val="24"/>
        </w:rPr>
      </w:pPr>
      <w:r>
        <w:rPr>
          <w:b/>
          <w:bCs/>
          <w:sz w:val="24"/>
        </w:rPr>
        <w:t>2</w:t>
      </w:r>
      <w:r>
        <w:rPr>
          <w:rFonts w:hint="eastAsia"/>
          <w:sz w:val="24"/>
        </w:rPr>
        <w:t xml:space="preserve">  钢管总阻力的计算和夯管锤的选择应符合下列规定：</w:t>
      </w:r>
    </w:p>
    <w:p>
      <w:pPr>
        <w:spacing w:line="440" w:lineRule="exact"/>
        <w:ind w:firstLine="482" w:firstLineChars="200"/>
        <w:rPr>
          <w:sz w:val="24"/>
        </w:rPr>
      </w:pPr>
      <w:r>
        <w:rPr>
          <w:rFonts w:hint="eastAsia"/>
          <w:b/>
          <w:bCs/>
          <w:sz w:val="24"/>
        </w:rPr>
        <w:t>1）</w:t>
      </w:r>
      <w:r>
        <w:rPr>
          <w:rFonts w:hint="eastAsia"/>
          <w:sz w:val="24"/>
        </w:rPr>
        <w:t>当无当地经验时，钢管总阻力可按下列公式计算：</w:t>
      </w:r>
    </w:p>
    <w:p>
      <w:pPr>
        <w:ind w:firstLine="960" w:firstLineChars="400"/>
        <w:rPr>
          <w:sz w:val="24"/>
        </w:rPr>
      </w:pPr>
      <m:oMath>
        <m:r>
          <m:rPr>
            <m:sty m:val="p"/>
          </m:rPr>
          <w:rPr>
            <w:rFonts w:ascii="Cambria Math" w:hAnsi="Cambria Math"/>
            <w:sz w:val="24"/>
          </w:rPr>
          <m:t>P=</m:t>
        </m:r>
        <m:r>
          <m:rPr/>
          <w:rPr>
            <w:rFonts w:ascii="Cambria Math" w:hAnsi="Cambria Math"/>
            <w:sz w:val="24"/>
          </w:rPr>
          <m:t>f</m:t>
        </m:r>
        <m:r>
          <m:rPr/>
          <w:rPr>
            <w:rFonts w:hint="eastAsia" w:ascii="Cambria Math" w:hAnsi="Cambria Math"/>
            <w:sz w:val="24"/>
          </w:rPr>
          <m:t>γ</m:t>
        </m:r>
        <m:sSub>
          <m:sSubPr>
            <m:ctrlPr>
              <w:rPr>
                <w:rFonts w:ascii="Cambria Math" w:hAnsi="Cambria Math"/>
                <w:i/>
                <w:sz w:val="24"/>
              </w:rPr>
            </m:ctrlPr>
          </m:sSubPr>
          <m:e>
            <m:r>
              <m:rPr/>
              <w:rPr>
                <w:rFonts w:ascii="Cambria Math" w:hAnsi="Cambria Math"/>
                <w:sz w:val="24"/>
              </w:rPr>
              <m:t>D</m:t>
            </m:r>
            <m:ctrlPr>
              <w:rPr>
                <w:rFonts w:ascii="Cambria Math" w:hAnsi="Cambria Math"/>
                <w:i/>
                <w:sz w:val="24"/>
              </w:rPr>
            </m:ctrlPr>
          </m:e>
          <m:sub>
            <m:r>
              <m:rPr/>
              <w:rPr>
                <w:rFonts w:ascii="Cambria Math" w:hAnsi="Cambria Math"/>
                <w:sz w:val="24"/>
              </w:rPr>
              <m:t>1</m:t>
            </m:r>
            <m:ctrlPr>
              <w:rPr>
                <w:rFonts w:ascii="Cambria Math" w:hAnsi="Cambria Math"/>
                <w:i/>
                <w:sz w:val="24"/>
              </w:rPr>
            </m:ctrlPr>
          </m:sub>
        </m:sSub>
        <m:r>
          <m:rPr/>
          <w:rPr>
            <w:rFonts w:ascii="Cambria Math" w:hAnsi="Cambria Math"/>
            <w:sz w:val="24"/>
          </w:rPr>
          <m:t>[2H+(2H+</m:t>
        </m:r>
        <m:sSub>
          <m:sSubPr>
            <m:ctrlPr>
              <w:rPr>
                <w:rFonts w:ascii="Cambria Math" w:hAnsi="Cambria Math"/>
                <w:i/>
                <w:sz w:val="24"/>
              </w:rPr>
            </m:ctrlPr>
          </m:sSubPr>
          <m:e>
            <m:r>
              <m:rPr/>
              <w:rPr>
                <w:rFonts w:ascii="Cambria Math" w:hAnsi="Cambria Math"/>
                <w:sz w:val="24"/>
              </w:rPr>
              <m:t>D</m:t>
            </m:r>
            <m:ctrlPr>
              <w:rPr>
                <w:rFonts w:ascii="Cambria Math" w:hAnsi="Cambria Math"/>
                <w:i/>
                <w:sz w:val="24"/>
              </w:rPr>
            </m:ctrlPr>
          </m:e>
          <m:sub>
            <m:r>
              <m:rPr/>
              <w:rPr>
                <w:rFonts w:ascii="Cambria Math" w:hAnsi="Cambria Math"/>
                <w:sz w:val="24"/>
              </w:rPr>
              <m:t>1</m:t>
            </m:r>
            <m:ctrlPr>
              <w:rPr>
                <w:rFonts w:ascii="Cambria Math" w:hAnsi="Cambria Math"/>
                <w:i/>
                <w:sz w:val="24"/>
              </w:rPr>
            </m:ctrlPr>
          </m:sub>
        </m:sSub>
        <m:r>
          <m:rPr/>
          <w:rPr>
            <w:rFonts w:ascii="Cambria Math" w:hAnsi="Cambria Math"/>
            <w:sz w:val="24"/>
          </w:rPr>
          <m:t>)</m:t>
        </m:r>
        <m:sSup>
          <m:sSupPr>
            <m:ctrlPr>
              <w:rPr>
                <w:rFonts w:ascii="Cambria Math" w:hAnsi="Cambria Math"/>
                <w:i/>
                <w:sz w:val="24"/>
              </w:rPr>
            </m:ctrlPr>
          </m:sSupPr>
          <m:e>
            <m:r>
              <m:rPr>
                <m:sty m:val="p"/>
              </m:rPr>
              <w:rPr>
                <w:rFonts w:ascii="Cambria Math" w:hAnsi="Cambria Math"/>
                <w:sz w:val="24"/>
              </w:rPr>
              <m:t>tan</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r>
          <m:rPr/>
          <w:rPr>
            <w:rFonts w:ascii="Cambria Math" w:hAnsi="Cambria Math"/>
            <w:sz w:val="24"/>
          </w:rPr>
          <m:t>(45</m:t>
        </m:r>
        <m:r>
          <m:rPr>
            <m:sty m:val="p"/>
          </m:rPr>
          <w:rPr>
            <w:rFonts w:ascii="Cambria Math" w:hAnsi="Cambria Math"/>
            <w:sz w:val="24"/>
          </w:rPr>
          <m:t>°−</m:t>
        </m:r>
        <m:f>
          <m:fPr>
            <m:ctrlPr>
              <w:rPr>
                <w:rFonts w:ascii="Cambria Math" w:hAnsi="Cambria Math"/>
                <w:sz w:val="24"/>
              </w:rPr>
            </m:ctrlPr>
          </m:fPr>
          <m:num>
            <m:r>
              <m:rPr/>
              <w:rPr>
                <w:rFonts w:ascii="Cambria Math" w:hAnsi="Cambria Math"/>
                <w:sz w:val="24"/>
              </w:rPr>
              <m:t>φ</m:t>
            </m:r>
            <m:ctrlPr>
              <w:rPr>
                <w:rFonts w:ascii="Cambria Math" w:hAnsi="Cambria Math"/>
                <w:sz w:val="24"/>
              </w:rPr>
            </m:ctrlPr>
          </m:num>
          <m:den>
            <m:r>
              <m:rPr/>
              <w:rPr>
                <w:rFonts w:ascii="Cambria Math" w:hAnsi="Cambria Math"/>
                <w:sz w:val="24"/>
              </w:rPr>
              <m:t>2</m:t>
            </m:r>
            <m:ctrlPr>
              <w:rPr>
                <w:rFonts w:ascii="Cambria Math" w:hAnsi="Cambria Math"/>
                <w:sz w:val="24"/>
              </w:rPr>
            </m:ctrlPr>
          </m:den>
        </m:f>
        <m:r>
          <m:rPr/>
          <w:rPr>
            <w:rFonts w:ascii="Cambria Math" w:hAnsi="Cambria Math"/>
            <w:sz w:val="24"/>
          </w:rPr>
          <m:t>)+</m:t>
        </m:r>
        <m:f>
          <m:fPr>
            <m:ctrlPr>
              <w:rPr>
                <w:rFonts w:ascii="Cambria Math" w:hAnsi="Cambria Math"/>
                <w:i/>
                <w:sz w:val="24"/>
              </w:rPr>
            </m:ctrlPr>
          </m:fPr>
          <m:num>
            <m:r>
              <m:rPr/>
              <w:rPr>
                <w:rFonts w:ascii="Cambria Math" w:hAnsi="Cambria Math"/>
                <w:sz w:val="24"/>
              </w:rPr>
              <m:t>ω</m:t>
            </m:r>
            <m:ctrlPr>
              <w:rPr>
                <w:rFonts w:ascii="Cambria Math" w:hAnsi="Cambria Math"/>
                <w:i/>
                <w:sz w:val="24"/>
              </w:rPr>
            </m:ctrlPr>
          </m:num>
          <m:den>
            <m:r>
              <m:rPr/>
              <w:rPr>
                <w:rFonts w:hint="eastAsia" w:ascii="Cambria Math" w:hAnsi="Cambria Math"/>
                <w:sz w:val="24"/>
              </w:rPr>
              <m:t>γ</m:t>
            </m:r>
            <m:sSub>
              <m:sSubPr>
                <m:ctrlPr>
                  <w:rPr>
                    <w:rFonts w:ascii="Cambria Math" w:hAnsi="Cambria Math"/>
                    <w:i/>
                    <w:sz w:val="24"/>
                  </w:rPr>
                </m:ctrlPr>
              </m:sSubPr>
              <m:e>
                <m:r>
                  <m:rPr/>
                  <w:rPr>
                    <w:rFonts w:ascii="Cambria Math" w:hAnsi="Cambria Math"/>
                    <w:sz w:val="24"/>
                  </w:rPr>
                  <m:t>D</m:t>
                </m:r>
                <m:ctrlPr>
                  <w:rPr>
                    <w:rFonts w:ascii="Cambria Math" w:hAnsi="Cambria Math"/>
                    <w:i/>
                    <w:sz w:val="24"/>
                  </w:rPr>
                </m:ctrlPr>
              </m:e>
              <m:sub>
                <m:r>
                  <m:rPr/>
                  <w:rPr>
                    <w:rFonts w:ascii="Cambria Math" w:hAnsi="Cambria Math"/>
                    <w:sz w:val="24"/>
                  </w:rPr>
                  <m:t>1</m:t>
                </m:r>
                <m:ctrlPr>
                  <w:rPr>
                    <w:rFonts w:ascii="Cambria Math" w:hAnsi="Cambria Math"/>
                    <w:i/>
                    <w:sz w:val="24"/>
                  </w:rPr>
                </m:ctrlPr>
              </m:sub>
            </m:sSub>
            <m:ctrlPr>
              <w:rPr>
                <w:rFonts w:ascii="Cambria Math" w:hAnsi="Cambria Math"/>
                <w:i/>
                <w:sz w:val="24"/>
              </w:rPr>
            </m:ctrlPr>
          </m:den>
        </m:f>
        <m:r>
          <m:rPr/>
          <w:rPr>
            <w:rFonts w:ascii="Cambria Math" w:hAnsi="Cambria Math"/>
            <w:sz w:val="24"/>
          </w:rPr>
          <m:t>]L+</m:t>
        </m:r>
        <m:sSub>
          <m:sSubPr>
            <m:ctrlPr>
              <w:rPr>
                <w:rFonts w:ascii="Cambria Math" w:hAnsi="Cambria Math"/>
                <w:i/>
                <w:sz w:val="24"/>
              </w:rPr>
            </m:ctrlPr>
          </m:sSubPr>
          <m:e>
            <m:r>
              <m:rPr/>
              <w:rPr>
                <w:rFonts w:ascii="Cambria Math" w:hAnsi="Cambria Math"/>
                <w:sz w:val="24"/>
              </w:rPr>
              <m:t>P</m:t>
            </m:r>
            <m:ctrlPr>
              <w:rPr>
                <w:rFonts w:ascii="Cambria Math" w:hAnsi="Cambria Math"/>
                <w:i/>
                <w:sz w:val="24"/>
              </w:rPr>
            </m:ctrlPr>
          </m:e>
          <m:sub>
            <m:r>
              <m:rPr/>
              <w:rPr>
                <w:rFonts w:ascii="Cambria Math" w:hAnsi="Cambria Math"/>
                <w:sz w:val="24"/>
              </w:rPr>
              <m:t>F</m:t>
            </m:r>
            <m:ctrlPr>
              <w:rPr>
                <w:rFonts w:ascii="Cambria Math" w:hAnsi="Cambria Math"/>
                <w:i/>
                <w:sz w:val="24"/>
              </w:rPr>
            </m:ctrlPr>
          </m:sub>
        </m:sSub>
      </m:oMath>
      <w:r>
        <w:rPr>
          <w:rFonts w:hint="eastAsia"/>
          <w:sz w:val="24"/>
        </w:rPr>
        <w:t xml:space="preserve">   （5.</w:t>
      </w:r>
      <w:r>
        <w:rPr>
          <w:sz w:val="24"/>
        </w:rPr>
        <w:t>3</w:t>
      </w:r>
      <w:r>
        <w:rPr>
          <w:rFonts w:hint="eastAsia"/>
          <w:sz w:val="24"/>
        </w:rPr>
        <w:t>.2</w:t>
      </w:r>
      <w:r>
        <w:rPr>
          <w:sz w:val="24"/>
        </w:rPr>
        <w:t>-1</w:t>
      </w:r>
      <w:r>
        <w:rPr>
          <w:rFonts w:hint="eastAsia"/>
          <w:sz w:val="24"/>
        </w:rPr>
        <w:t>）</w:t>
      </w:r>
    </w:p>
    <w:p>
      <w:pPr>
        <w:autoSpaceDE w:val="0"/>
        <w:autoSpaceDN w:val="0"/>
        <w:adjustRightInd w:val="0"/>
        <w:spacing w:line="440" w:lineRule="exact"/>
        <w:jc w:val="left"/>
        <w:rPr>
          <w:kern w:val="0"/>
          <w:sz w:val="24"/>
        </w:rPr>
      </w:pPr>
      <w:r>
        <w:rPr>
          <w:rFonts w:hint="eastAsia"/>
          <w:kern w:val="0"/>
          <w:sz w:val="24"/>
        </w:rPr>
        <w:t>式中：</w:t>
      </w:r>
      <m:oMath>
        <m:r>
          <m:rPr>
            <m:sty m:val="p"/>
          </m:rPr>
          <w:rPr>
            <w:rFonts w:hint="eastAsia" w:ascii="Cambria Math" w:hAnsi="Cambria Math"/>
            <w:kern w:val="0"/>
            <w:sz w:val="24"/>
          </w:rPr>
          <m:t>P</m:t>
        </m:r>
      </m:oMath>
      <w:r>
        <w:rPr>
          <w:rFonts w:hint="eastAsia"/>
          <w:kern w:val="0"/>
          <w:sz w:val="24"/>
        </w:rPr>
        <w:t>——计算的总顶力</w:t>
      </w:r>
      <w:r>
        <w:rPr>
          <w:kern w:val="0"/>
          <w:sz w:val="24"/>
        </w:rPr>
        <w:t>（</w:t>
      </w:r>
      <w:r>
        <w:rPr>
          <w:rFonts w:hint="eastAsia"/>
          <w:kern w:val="0"/>
          <w:sz w:val="24"/>
        </w:rPr>
        <w:t>kN</w:t>
      </w:r>
      <w:r>
        <w:rPr>
          <w:kern w:val="0"/>
          <w:sz w:val="24"/>
        </w:rPr>
        <w:t>）</w:t>
      </w:r>
      <w:r>
        <w:rPr>
          <w:rFonts w:hint="eastAsia"/>
          <w:kern w:val="0"/>
          <w:sz w:val="24"/>
        </w:rPr>
        <w:t>；</w:t>
      </w:r>
    </w:p>
    <w:p>
      <w:pPr>
        <w:autoSpaceDE w:val="0"/>
        <w:autoSpaceDN w:val="0"/>
        <w:adjustRightInd w:val="0"/>
        <w:spacing w:line="440" w:lineRule="exact"/>
        <w:ind w:firstLine="720" w:firstLineChars="300"/>
        <w:jc w:val="left"/>
        <w:rPr>
          <w:kern w:val="0"/>
          <w:sz w:val="24"/>
        </w:rPr>
      </w:pPr>
      <m:oMath>
        <m:r>
          <m:rPr>
            <m:sty m:val="p"/>
          </m:rPr>
          <w:rPr>
            <w:rFonts w:hint="eastAsia" w:ascii="Cambria Math" w:hAnsi="Cambria Math"/>
            <w:kern w:val="0"/>
            <w:sz w:val="24"/>
          </w:rPr>
          <m:t>γ</m:t>
        </m:r>
      </m:oMath>
      <w:r>
        <w:rPr>
          <w:rFonts w:hint="eastAsia" w:cs="微软雅黑"/>
          <w:kern w:val="0"/>
          <w:sz w:val="24"/>
        </w:rPr>
        <w:t>——</w:t>
      </w:r>
      <w:r>
        <w:rPr>
          <w:kern w:val="0"/>
          <w:sz w:val="24"/>
        </w:rPr>
        <w:t>管道所处</w:t>
      </w:r>
      <w:r>
        <w:rPr>
          <w:rFonts w:hint="eastAsia"/>
          <w:kern w:val="0"/>
          <w:sz w:val="24"/>
        </w:rPr>
        <w:t>地</w:t>
      </w:r>
      <w:r>
        <w:rPr>
          <w:kern w:val="0"/>
          <w:sz w:val="24"/>
        </w:rPr>
        <w:t>层的重力密度</w:t>
      </w:r>
      <w:r>
        <w:rPr>
          <w:rFonts w:hint="eastAsia"/>
          <w:kern w:val="0"/>
          <w:sz w:val="24"/>
        </w:rPr>
        <w:t>（kN/</w:t>
      </w:r>
      <m:oMath>
        <m:sSup>
          <m:sSupPr>
            <m:ctrlPr>
              <w:rPr>
                <w:rFonts w:ascii="Cambria Math" w:hAnsi="Cambria Math"/>
                <w:kern w:val="0"/>
                <w:sz w:val="24"/>
              </w:rPr>
            </m:ctrlPr>
          </m:sSupPr>
          <m:e>
            <m:r>
              <m:rPr>
                <m:sty m:val="p"/>
              </m:rPr>
              <w:rPr>
                <w:rFonts w:ascii="Cambria Math" w:hAnsi="Cambria Math"/>
                <w:kern w:val="0"/>
                <w:sz w:val="24"/>
              </w:rPr>
              <m:t>m</m:t>
            </m:r>
            <m:ctrlPr>
              <w:rPr>
                <w:rFonts w:ascii="Cambria Math" w:hAnsi="Cambria Math"/>
                <w:kern w:val="0"/>
                <w:sz w:val="24"/>
              </w:rPr>
            </m:ctrlPr>
          </m:e>
          <m:sup>
            <m:r>
              <m:rPr>
                <m:sty m:val="p"/>
              </m:rPr>
              <w:rPr>
                <w:rFonts w:ascii="Cambria Math" w:hAnsi="Cambria Math"/>
                <w:kern w:val="0"/>
                <w:sz w:val="24"/>
              </w:rPr>
              <m:t>3</m:t>
            </m:r>
            <m:ctrlPr>
              <w:rPr>
                <w:rFonts w:ascii="Cambria Math" w:hAnsi="Cambria Math"/>
                <w:kern w:val="0"/>
                <w:sz w:val="24"/>
              </w:rPr>
            </m:ctrlPr>
          </m:sup>
        </m:sSup>
      </m:oMath>
      <w:r>
        <w:rPr>
          <w:rFonts w:hint="eastAsia"/>
          <w:kern w:val="0"/>
          <w:sz w:val="24"/>
        </w:rPr>
        <w:t>）；</w:t>
      </w:r>
    </w:p>
    <w:p>
      <w:pPr>
        <w:autoSpaceDE w:val="0"/>
        <w:autoSpaceDN w:val="0"/>
        <w:adjustRightInd w:val="0"/>
        <w:spacing w:line="440" w:lineRule="exact"/>
        <w:ind w:firstLine="720" w:firstLineChars="300"/>
        <w:jc w:val="left"/>
        <w:rPr>
          <w:kern w:val="0"/>
          <w:sz w:val="24"/>
        </w:rPr>
      </w:pPr>
      <m:oMath>
        <m:sSub>
          <m:sSubPr>
            <m:ctrlPr>
              <w:rPr>
                <w:rFonts w:ascii="Cambria Math" w:hAnsi="Cambria Math"/>
                <w:kern w:val="0"/>
                <w:sz w:val="24"/>
              </w:rPr>
            </m:ctrlPr>
          </m:sSubPr>
          <m:e>
            <m:r>
              <m:rPr>
                <m:sty m:val="p"/>
              </m:rPr>
              <w:rPr>
                <w:rFonts w:ascii="Cambria Math" w:hAnsi="Cambria Math"/>
                <w:kern w:val="0"/>
                <w:sz w:val="24"/>
              </w:rPr>
              <m:t>D</m:t>
            </m:r>
            <m:ctrlPr>
              <w:rPr>
                <w:rFonts w:ascii="Cambria Math" w:hAnsi="Cambria Math"/>
                <w:kern w:val="0"/>
                <w:sz w:val="24"/>
              </w:rPr>
            </m:ctrlPr>
          </m:e>
          <m:sub>
            <m:r>
              <m:rPr>
                <m:sty m:val="p"/>
              </m:rPr>
              <w:rPr>
                <w:rFonts w:ascii="Cambria Math" w:hAnsi="Cambria Math"/>
                <w:kern w:val="0"/>
                <w:sz w:val="24"/>
              </w:rPr>
              <m:t>1</m:t>
            </m:r>
            <m:ctrlPr>
              <w:rPr>
                <w:rFonts w:ascii="Cambria Math" w:hAnsi="Cambria Math"/>
                <w:kern w:val="0"/>
                <w:sz w:val="24"/>
              </w:rPr>
            </m:ctrlPr>
          </m:sub>
        </m:sSub>
      </m:oMath>
      <w:r>
        <w:rPr>
          <w:rFonts w:hint="eastAsia" w:cs="微软雅黑"/>
          <w:kern w:val="0"/>
          <w:sz w:val="24"/>
        </w:rPr>
        <w:t>——</w:t>
      </w:r>
      <w:r>
        <w:rPr>
          <w:kern w:val="0"/>
          <w:sz w:val="24"/>
        </w:rPr>
        <w:t>管道的外径（</w:t>
      </w:r>
      <w:r>
        <w:rPr>
          <w:rFonts w:hint="eastAsia"/>
          <w:kern w:val="0"/>
          <w:sz w:val="24"/>
        </w:rPr>
        <w:t>m</w:t>
      </w:r>
      <w:r>
        <w:rPr>
          <w:kern w:val="0"/>
          <w:sz w:val="24"/>
        </w:rPr>
        <w:t>）</w:t>
      </w:r>
      <w:r>
        <w:rPr>
          <w:rFonts w:hint="eastAsia"/>
          <w:kern w:val="0"/>
          <w:sz w:val="24"/>
        </w:rPr>
        <w:t>；</w:t>
      </w:r>
    </w:p>
    <w:p>
      <w:pPr>
        <w:autoSpaceDE w:val="0"/>
        <w:autoSpaceDN w:val="0"/>
        <w:adjustRightInd w:val="0"/>
        <w:spacing w:line="440" w:lineRule="exact"/>
        <w:ind w:firstLine="720" w:firstLineChars="300"/>
        <w:jc w:val="left"/>
        <w:rPr>
          <w:kern w:val="0"/>
          <w:sz w:val="24"/>
        </w:rPr>
      </w:pPr>
      <m:oMath>
        <m:r>
          <m:rPr>
            <m:sty m:val="p"/>
          </m:rPr>
          <w:rPr>
            <w:rFonts w:ascii="Cambria Math" w:hAnsi="Cambria Math"/>
            <w:kern w:val="0"/>
            <w:sz w:val="24"/>
          </w:rPr>
          <m:t>H</m:t>
        </m:r>
      </m:oMath>
      <w:r>
        <w:rPr>
          <w:rFonts w:hint="eastAsia" w:cs="微软雅黑"/>
          <w:kern w:val="0"/>
          <w:sz w:val="24"/>
        </w:rPr>
        <w:t>——</w:t>
      </w:r>
      <w:r>
        <w:rPr>
          <w:kern w:val="0"/>
          <w:sz w:val="24"/>
        </w:rPr>
        <w:t>管道顶部以上覆盖</w:t>
      </w:r>
      <w:r>
        <w:rPr>
          <w:rFonts w:hint="eastAsia"/>
          <w:kern w:val="0"/>
          <w:sz w:val="24"/>
        </w:rPr>
        <w:t>地</w:t>
      </w:r>
      <w:r>
        <w:rPr>
          <w:kern w:val="0"/>
          <w:sz w:val="24"/>
        </w:rPr>
        <w:t>层的厚度</w:t>
      </w:r>
      <w:r>
        <w:rPr>
          <w:rFonts w:hint="eastAsia"/>
          <w:kern w:val="0"/>
          <w:sz w:val="24"/>
        </w:rPr>
        <w:t>（m）；</w:t>
      </w:r>
    </w:p>
    <w:p>
      <w:pPr>
        <w:autoSpaceDE w:val="0"/>
        <w:autoSpaceDN w:val="0"/>
        <w:adjustRightInd w:val="0"/>
        <w:spacing w:line="440" w:lineRule="exact"/>
        <w:ind w:firstLine="720" w:firstLineChars="300"/>
        <w:jc w:val="left"/>
        <w:rPr>
          <w:kern w:val="0"/>
          <w:sz w:val="24"/>
        </w:rPr>
      </w:pPr>
      <m:oMath>
        <m:r>
          <m:rPr>
            <m:sty m:val="p"/>
          </m:rPr>
          <w:rPr>
            <w:rFonts w:ascii="Cambria Math" w:hAnsi="Cambria Math"/>
            <w:kern w:val="0"/>
            <w:sz w:val="24"/>
          </w:rPr>
          <m:t>φ</m:t>
        </m:r>
      </m:oMath>
      <w:r>
        <w:rPr>
          <w:rFonts w:hint="eastAsia" w:cs="微软雅黑"/>
          <w:kern w:val="0"/>
          <w:sz w:val="24"/>
        </w:rPr>
        <w:t>——</w:t>
      </w:r>
      <w:r>
        <w:rPr>
          <w:kern w:val="0"/>
          <w:sz w:val="24"/>
        </w:rPr>
        <w:t>管道所处内摩擦角（</w:t>
      </w:r>
      <w:r>
        <w:rPr>
          <w:rFonts w:hint="eastAsia"/>
          <w:kern w:val="0"/>
          <w:sz w:val="24"/>
        </w:rPr>
        <w:t>°</w:t>
      </w:r>
      <w:r>
        <w:rPr>
          <w:kern w:val="0"/>
          <w:sz w:val="24"/>
        </w:rPr>
        <w:t>）</w:t>
      </w:r>
      <w:r>
        <w:rPr>
          <w:rFonts w:hint="eastAsia"/>
          <w:kern w:val="0"/>
          <w:sz w:val="24"/>
        </w:rPr>
        <w:t>；</w:t>
      </w:r>
    </w:p>
    <w:p>
      <w:pPr>
        <w:autoSpaceDE w:val="0"/>
        <w:autoSpaceDN w:val="0"/>
        <w:adjustRightInd w:val="0"/>
        <w:spacing w:line="440" w:lineRule="exact"/>
        <w:ind w:firstLine="720" w:firstLineChars="300"/>
        <w:jc w:val="left"/>
        <w:rPr>
          <w:kern w:val="0"/>
          <w:sz w:val="24"/>
        </w:rPr>
      </w:pPr>
      <m:oMath>
        <m:r>
          <m:rPr>
            <m:sty m:val="p"/>
          </m:rPr>
          <w:rPr>
            <w:rFonts w:ascii="Cambria Math" w:hAnsi="Cambria Math"/>
            <w:kern w:val="0"/>
            <w:sz w:val="24"/>
          </w:rPr>
          <m:t>ω</m:t>
        </m:r>
      </m:oMath>
      <w:r>
        <w:rPr>
          <w:rFonts w:hint="eastAsia" w:cs="微软雅黑"/>
          <w:kern w:val="0"/>
          <w:sz w:val="24"/>
        </w:rPr>
        <w:t>——</w:t>
      </w:r>
      <w:r>
        <w:rPr>
          <w:kern w:val="0"/>
          <w:sz w:val="24"/>
        </w:rPr>
        <w:t>管道单位长度的自重（</w:t>
      </w:r>
      <w:r>
        <w:rPr>
          <w:rFonts w:hint="eastAsia"/>
          <w:kern w:val="0"/>
          <w:sz w:val="24"/>
        </w:rPr>
        <w:t>kN/</w:t>
      </w:r>
      <w:r>
        <w:rPr>
          <w:kern w:val="0"/>
          <w:sz w:val="24"/>
        </w:rPr>
        <w:t>m）</w:t>
      </w:r>
      <w:r>
        <w:rPr>
          <w:rFonts w:hint="eastAsia"/>
          <w:kern w:val="0"/>
          <w:sz w:val="24"/>
        </w:rPr>
        <w:t>；</w:t>
      </w:r>
    </w:p>
    <w:p>
      <w:pPr>
        <w:autoSpaceDE w:val="0"/>
        <w:autoSpaceDN w:val="0"/>
        <w:adjustRightInd w:val="0"/>
        <w:spacing w:line="440" w:lineRule="exact"/>
        <w:ind w:firstLine="720" w:firstLineChars="300"/>
        <w:jc w:val="left"/>
        <w:rPr>
          <w:kern w:val="0"/>
          <w:sz w:val="24"/>
        </w:rPr>
      </w:pPr>
      <m:oMath>
        <m:r>
          <m:rPr>
            <m:sty m:val="p"/>
          </m:rPr>
          <w:rPr>
            <w:rFonts w:ascii="Cambria Math" w:hAnsi="Cambria Math"/>
            <w:kern w:val="0"/>
            <w:sz w:val="24"/>
          </w:rPr>
          <m:t>L</m:t>
        </m:r>
      </m:oMath>
      <w:r>
        <w:rPr>
          <w:rFonts w:hint="eastAsia" w:cs="微软雅黑"/>
          <w:kern w:val="0"/>
          <w:sz w:val="24"/>
        </w:rPr>
        <w:t>——</w:t>
      </w:r>
      <w:r>
        <w:rPr>
          <w:kern w:val="0"/>
          <w:sz w:val="24"/>
        </w:rPr>
        <w:t>管道的计算顶进长度（</w:t>
      </w:r>
      <w:r>
        <w:rPr>
          <w:rFonts w:hint="eastAsia"/>
          <w:kern w:val="0"/>
          <w:sz w:val="24"/>
        </w:rPr>
        <w:t>m</w:t>
      </w:r>
      <w:r>
        <w:rPr>
          <w:kern w:val="0"/>
          <w:sz w:val="24"/>
        </w:rPr>
        <w:t>）</w:t>
      </w:r>
      <w:r>
        <w:rPr>
          <w:rFonts w:hint="eastAsia"/>
          <w:kern w:val="0"/>
          <w:sz w:val="24"/>
        </w:rPr>
        <w:t>；</w:t>
      </w:r>
    </w:p>
    <w:p>
      <w:pPr>
        <w:autoSpaceDE w:val="0"/>
        <w:autoSpaceDN w:val="0"/>
        <w:adjustRightInd w:val="0"/>
        <w:spacing w:line="440" w:lineRule="exact"/>
        <w:ind w:firstLine="720" w:firstLineChars="300"/>
        <w:jc w:val="left"/>
        <w:rPr>
          <w:kern w:val="0"/>
          <w:sz w:val="24"/>
        </w:rPr>
      </w:pPr>
      <m:oMath>
        <m:r>
          <m:rPr>
            <m:sty m:val="p"/>
          </m:rPr>
          <w:rPr>
            <w:rFonts w:ascii="Cambria Math" w:hAnsi="Cambria Math"/>
            <w:kern w:val="0"/>
            <w:sz w:val="24"/>
          </w:rPr>
          <m:t>f</m:t>
        </m:r>
      </m:oMath>
      <w:r>
        <w:rPr>
          <w:rFonts w:hint="eastAsia" w:cs="微软雅黑"/>
          <w:kern w:val="0"/>
          <w:sz w:val="24"/>
        </w:rPr>
        <w:t>——</w:t>
      </w:r>
      <w:r>
        <w:rPr>
          <w:kern w:val="0"/>
          <w:sz w:val="24"/>
        </w:rPr>
        <w:t>顶进时，管道表面与周围土层之间的摩擦系数，其取值可按表</w:t>
      </w:r>
      <w:r>
        <w:rPr>
          <w:rFonts w:hint="eastAsia"/>
          <w:kern w:val="0"/>
          <w:sz w:val="24"/>
        </w:rPr>
        <w:t>5.</w:t>
      </w:r>
      <w:r>
        <w:rPr>
          <w:kern w:val="0"/>
          <w:sz w:val="24"/>
        </w:rPr>
        <w:t>3</w:t>
      </w:r>
      <w:r>
        <w:rPr>
          <w:rFonts w:hint="eastAsia"/>
          <w:kern w:val="0"/>
          <w:sz w:val="24"/>
        </w:rPr>
        <w:t>.</w:t>
      </w:r>
      <w:r>
        <w:rPr>
          <w:kern w:val="0"/>
          <w:sz w:val="24"/>
        </w:rPr>
        <w:t>2</w:t>
      </w:r>
      <w:r>
        <w:rPr>
          <w:rFonts w:hint="eastAsia"/>
          <w:kern w:val="0"/>
          <w:sz w:val="24"/>
        </w:rPr>
        <w:t>所列</w:t>
      </w:r>
      <w:r>
        <w:rPr>
          <w:kern w:val="0"/>
          <w:sz w:val="24"/>
        </w:rPr>
        <w:t>数据选用</w:t>
      </w:r>
      <w:r>
        <w:rPr>
          <w:rFonts w:hint="eastAsia"/>
          <w:kern w:val="0"/>
          <w:sz w:val="24"/>
        </w:rPr>
        <w:t>；</w:t>
      </w:r>
    </w:p>
    <w:p>
      <w:pPr>
        <w:autoSpaceDE w:val="0"/>
        <w:autoSpaceDN w:val="0"/>
        <w:adjustRightInd w:val="0"/>
        <w:spacing w:line="440" w:lineRule="exact"/>
        <w:ind w:firstLine="720" w:firstLineChars="300"/>
        <w:jc w:val="left"/>
        <w:rPr>
          <w:kern w:val="0"/>
          <w:sz w:val="24"/>
        </w:rPr>
      </w:pPr>
      <m:oMath>
        <m:sSub>
          <m:sSubPr>
            <m:ctrlPr>
              <w:rPr>
                <w:rFonts w:ascii="Cambria Math" w:hAnsi="Cambria Math"/>
                <w:kern w:val="0"/>
                <w:sz w:val="24"/>
              </w:rPr>
            </m:ctrlPr>
          </m:sSubPr>
          <m:e>
            <m:r>
              <m:rPr>
                <m:sty m:val="p"/>
              </m:rPr>
              <w:rPr>
                <w:rFonts w:ascii="Cambria Math" w:hAnsi="Cambria Math"/>
                <w:kern w:val="0"/>
                <w:sz w:val="24"/>
              </w:rPr>
              <m:t>P</m:t>
            </m:r>
            <m:ctrlPr>
              <w:rPr>
                <w:rFonts w:ascii="Cambria Math" w:hAnsi="Cambria Math"/>
                <w:kern w:val="0"/>
                <w:sz w:val="24"/>
              </w:rPr>
            </m:ctrlPr>
          </m:e>
          <m:sub>
            <m:r>
              <m:rPr>
                <m:sty m:val="p"/>
              </m:rPr>
              <w:rPr>
                <w:rFonts w:ascii="Cambria Math" w:hAnsi="Cambria Math"/>
                <w:kern w:val="0"/>
                <w:sz w:val="24"/>
              </w:rPr>
              <m:t>F</m:t>
            </m:r>
            <m:ctrlPr>
              <w:rPr>
                <w:rFonts w:ascii="Cambria Math" w:hAnsi="Cambria Math"/>
                <w:kern w:val="0"/>
                <w:sz w:val="24"/>
              </w:rPr>
            </m:ctrlPr>
          </m:sub>
        </m:sSub>
      </m:oMath>
      <w:r>
        <w:rPr>
          <w:rFonts w:hint="eastAsia" w:cs="微软雅黑"/>
          <w:kern w:val="0"/>
          <w:sz w:val="24"/>
        </w:rPr>
        <w:t>——</w:t>
      </w:r>
      <w:r>
        <w:rPr>
          <w:rFonts w:hint="eastAsia"/>
          <w:kern w:val="0"/>
          <w:sz w:val="24"/>
        </w:rPr>
        <w:t>顶进时</w:t>
      </w:r>
      <w:r>
        <w:rPr>
          <w:kern w:val="0"/>
          <w:sz w:val="24"/>
        </w:rPr>
        <w:t>，工具管的迎面阻力</w:t>
      </w:r>
      <w:r>
        <w:rPr>
          <w:rFonts w:hint="eastAsia"/>
          <w:kern w:val="0"/>
          <w:sz w:val="24"/>
        </w:rPr>
        <w:t>（kN），</w:t>
      </w:r>
      <w:r>
        <w:rPr>
          <w:kern w:val="0"/>
          <w:sz w:val="24"/>
        </w:rPr>
        <w:t>其取值</w:t>
      </w:r>
      <w:r>
        <w:rPr>
          <w:rFonts w:hint="eastAsia"/>
          <w:kern w:val="0"/>
          <w:sz w:val="24"/>
        </w:rPr>
        <w:t>可</w:t>
      </w:r>
      <w:r>
        <w:rPr>
          <w:kern w:val="0"/>
          <w:sz w:val="24"/>
        </w:rPr>
        <w:t>按</w:t>
      </w:r>
      <w:r>
        <w:rPr>
          <w:rFonts w:hint="eastAsia"/>
          <w:kern w:val="0"/>
          <w:sz w:val="24"/>
        </w:rPr>
        <w:t>式5.4.3所列公式</w:t>
      </w:r>
      <w:r>
        <w:rPr>
          <w:kern w:val="0"/>
          <w:sz w:val="24"/>
        </w:rPr>
        <w:t>计算</w:t>
      </w:r>
      <w:r>
        <w:rPr>
          <w:rFonts w:hint="eastAsia"/>
          <w:kern w:val="0"/>
          <w:sz w:val="24"/>
        </w:rPr>
        <w:t>。</w:t>
      </w:r>
    </w:p>
    <w:p>
      <w:pPr>
        <w:spacing w:before="156" w:beforeLines="50"/>
        <w:jc w:val="center"/>
        <w:rPr>
          <w:rFonts w:eastAsia="黑体"/>
          <w:bCs/>
          <w:kern w:val="0"/>
          <w:szCs w:val="21"/>
        </w:rPr>
      </w:pPr>
      <w:r>
        <w:rPr>
          <w:rFonts w:hint="eastAsia" w:eastAsia="黑体"/>
          <w:bCs/>
          <w:kern w:val="0"/>
          <w:szCs w:val="21"/>
        </w:rPr>
        <w:t>表</w:t>
      </w:r>
      <w:r>
        <w:rPr>
          <w:rFonts w:eastAsia="黑体"/>
          <w:bCs/>
          <w:kern w:val="0"/>
          <w:szCs w:val="21"/>
        </w:rPr>
        <w:t>5.3.2</w:t>
      </w:r>
      <w:r>
        <w:rPr>
          <w:rFonts w:hint="eastAsia" w:eastAsia="黑体"/>
          <w:bCs/>
          <w:kern w:val="0"/>
          <w:szCs w:val="21"/>
        </w:rPr>
        <w:t xml:space="preserve">  钢管幕外壁与土体接触面的平均摩阻力（kN /m</w:t>
      </w:r>
      <w:r>
        <w:rPr>
          <w:rFonts w:hint="eastAsia" w:eastAsia="黑体"/>
          <w:bCs/>
          <w:kern w:val="0"/>
          <w:szCs w:val="21"/>
          <w:vertAlign w:val="superscript"/>
        </w:rPr>
        <w:t>2</w:t>
      </w:r>
      <w:r>
        <w:rPr>
          <w:rFonts w:hint="eastAsia" w:eastAsia="黑体"/>
          <w:bCs/>
          <w:kern w:val="0"/>
          <w:szCs w:val="21"/>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Align w:val="center"/>
          </w:tcPr>
          <w:p>
            <w:pPr>
              <w:jc w:val="center"/>
              <w:rPr>
                <w:bCs/>
                <w:szCs w:val="20"/>
              </w:rPr>
            </w:pPr>
            <w:r>
              <w:rPr>
                <w:rFonts w:hint="eastAsia"/>
                <w:bCs/>
                <w:szCs w:val="20"/>
              </w:rPr>
              <w:t>类别</w:t>
            </w:r>
          </w:p>
        </w:tc>
        <w:tc>
          <w:tcPr>
            <w:tcW w:w="1701" w:type="dxa"/>
            <w:vAlign w:val="center"/>
          </w:tcPr>
          <w:p>
            <w:pPr>
              <w:jc w:val="center"/>
              <w:rPr>
                <w:bCs/>
                <w:szCs w:val="20"/>
              </w:rPr>
            </w:pPr>
            <w:r>
              <w:rPr>
                <w:rFonts w:hint="eastAsia"/>
                <w:bCs/>
                <w:szCs w:val="20"/>
              </w:rPr>
              <w:t>黏性土</w:t>
            </w:r>
          </w:p>
        </w:tc>
        <w:tc>
          <w:tcPr>
            <w:tcW w:w="1701" w:type="dxa"/>
            <w:vAlign w:val="center"/>
          </w:tcPr>
          <w:p>
            <w:pPr>
              <w:jc w:val="center"/>
              <w:rPr>
                <w:bCs/>
                <w:szCs w:val="20"/>
              </w:rPr>
            </w:pPr>
            <w:r>
              <w:rPr>
                <w:rFonts w:hint="eastAsia"/>
                <w:bCs/>
                <w:szCs w:val="20"/>
              </w:rPr>
              <w:t>粉土</w:t>
            </w:r>
          </w:p>
        </w:tc>
        <w:tc>
          <w:tcPr>
            <w:tcW w:w="1701" w:type="dxa"/>
            <w:vAlign w:val="center"/>
          </w:tcPr>
          <w:p>
            <w:pPr>
              <w:jc w:val="center"/>
              <w:rPr>
                <w:bCs/>
                <w:szCs w:val="20"/>
              </w:rPr>
            </w:pPr>
            <w:r>
              <w:rPr>
                <w:rFonts w:hint="eastAsia"/>
                <w:bCs/>
                <w:szCs w:val="20"/>
              </w:rPr>
              <w:t>粉、细砂土</w:t>
            </w:r>
          </w:p>
        </w:tc>
        <w:tc>
          <w:tcPr>
            <w:tcW w:w="1701" w:type="dxa"/>
            <w:vAlign w:val="center"/>
          </w:tcPr>
          <w:p>
            <w:pPr>
              <w:jc w:val="center"/>
              <w:rPr>
                <w:bCs/>
                <w:szCs w:val="20"/>
              </w:rPr>
            </w:pPr>
            <w:r>
              <w:rPr>
                <w:rFonts w:hint="eastAsia"/>
                <w:bCs/>
                <w:szCs w:val="20"/>
              </w:rPr>
              <w:t>中、粗砂土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Align w:val="center"/>
          </w:tcPr>
          <w:p>
            <w:pPr>
              <w:jc w:val="center"/>
              <w:rPr>
                <w:bCs/>
                <w:szCs w:val="20"/>
              </w:rPr>
            </w:pPr>
            <w:r>
              <w:rPr>
                <w:rFonts w:hint="eastAsia"/>
                <w:bCs/>
                <w:szCs w:val="20"/>
              </w:rPr>
              <w:t>钢管幕与土体</w:t>
            </w:r>
          </w:p>
        </w:tc>
        <w:tc>
          <w:tcPr>
            <w:tcW w:w="1701" w:type="dxa"/>
            <w:vAlign w:val="center"/>
          </w:tcPr>
          <w:p>
            <w:pPr>
              <w:jc w:val="center"/>
              <w:rPr>
                <w:bCs/>
                <w:szCs w:val="20"/>
              </w:rPr>
            </w:pPr>
            <w:r>
              <w:rPr>
                <w:rFonts w:hint="eastAsia"/>
                <w:bCs/>
                <w:szCs w:val="20"/>
              </w:rPr>
              <w:t>3.0~4.0</w:t>
            </w:r>
          </w:p>
        </w:tc>
        <w:tc>
          <w:tcPr>
            <w:tcW w:w="1701" w:type="dxa"/>
            <w:vAlign w:val="center"/>
          </w:tcPr>
          <w:p>
            <w:pPr>
              <w:jc w:val="center"/>
              <w:rPr>
                <w:bCs/>
                <w:szCs w:val="20"/>
              </w:rPr>
            </w:pPr>
            <w:r>
              <w:rPr>
                <w:rFonts w:hint="eastAsia"/>
                <w:bCs/>
                <w:szCs w:val="20"/>
              </w:rPr>
              <w:t>4.0~7.0</w:t>
            </w:r>
          </w:p>
        </w:tc>
        <w:tc>
          <w:tcPr>
            <w:tcW w:w="1701" w:type="dxa"/>
            <w:vAlign w:val="center"/>
          </w:tcPr>
          <w:p>
            <w:pPr>
              <w:jc w:val="center"/>
              <w:rPr>
                <w:bCs/>
                <w:szCs w:val="20"/>
              </w:rPr>
            </w:pPr>
            <w:r>
              <w:rPr>
                <w:rFonts w:hint="eastAsia"/>
                <w:bCs/>
                <w:szCs w:val="20"/>
              </w:rPr>
              <w:t>7.0~10.0</w:t>
            </w:r>
          </w:p>
        </w:tc>
        <w:tc>
          <w:tcPr>
            <w:tcW w:w="1701" w:type="dxa"/>
            <w:vAlign w:val="center"/>
          </w:tcPr>
          <w:p>
            <w:pPr>
              <w:jc w:val="center"/>
              <w:rPr>
                <w:bCs/>
                <w:szCs w:val="20"/>
              </w:rPr>
            </w:pPr>
            <w:r>
              <w:rPr>
                <w:rFonts w:hint="eastAsia"/>
                <w:bCs/>
                <w:szCs w:val="20"/>
              </w:rPr>
              <w:t>10.0~13.0</w:t>
            </w:r>
          </w:p>
        </w:tc>
      </w:tr>
    </w:tbl>
    <w:p>
      <w:pPr>
        <w:autoSpaceDE w:val="0"/>
        <w:autoSpaceDN w:val="0"/>
        <w:adjustRightInd w:val="0"/>
        <w:spacing w:line="440" w:lineRule="exact"/>
        <w:ind w:firstLine="720" w:firstLineChars="300"/>
        <w:jc w:val="left"/>
        <w:rPr>
          <w:kern w:val="0"/>
          <w:sz w:val="24"/>
        </w:rPr>
      </w:pPr>
      <w:r>
        <w:rPr>
          <w:rFonts w:hint="eastAsia"/>
          <w:kern w:val="0"/>
          <w:sz w:val="24"/>
        </w:rPr>
        <w:t>2）</w:t>
      </w:r>
      <w:r>
        <w:rPr>
          <w:kern w:val="0"/>
          <w:sz w:val="24"/>
        </w:rPr>
        <w:t xml:space="preserve"> </w:t>
      </w:r>
      <w:r>
        <w:rPr>
          <w:rFonts w:hint="eastAsia"/>
          <w:kern w:val="0"/>
          <w:sz w:val="24"/>
        </w:rPr>
        <w:t>顶进工具</w:t>
      </w:r>
      <w:r>
        <w:rPr>
          <w:kern w:val="0"/>
          <w:sz w:val="24"/>
        </w:rPr>
        <w:t>管迎面阻力</w:t>
      </w:r>
      <w:r>
        <w:rPr>
          <w:rFonts w:hint="eastAsia"/>
          <w:kern w:val="0"/>
          <w:sz w:val="24"/>
        </w:rPr>
        <w:t>（</w:t>
      </w:r>
      <m:oMath>
        <m:sSub>
          <m:sSubPr>
            <m:ctrlPr>
              <w:rPr>
                <w:rFonts w:ascii="Cambria Math" w:hAnsi="Cambria Math"/>
                <w:kern w:val="0"/>
                <w:sz w:val="24"/>
              </w:rPr>
            </m:ctrlPr>
          </m:sSubPr>
          <m:e>
            <m:r>
              <m:rPr>
                <m:sty m:val="p"/>
              </m:rPr>
              <w:rPr>
                <w:rFonts w:ascii="Cambria Math" w:hAnsi="Cambria Math"/>
                <w:kern w:val="0"/>
                <w:sz w:val="24"/>
              </w:rPr>
              <m:t>P</m:t>
            </m:r>
            <m:ctrlPr>
              <w:rPr>
                <w:rFonts w:ascii="Cambria Math" w:hAnsi="Cambria Math"/>
                <w:kern w:val="0"/>
                <w:sz w:val="24"/>
              </w:rPr>
            </m:ctrlPr>
          </m:e>
          <m:sub>
            <m:r>
              <m:rPr>
                <m:sty m:val="p"/>
              </m:rPr>
              <w:rPr>
                <w:rFonts w:ascii="Cambria Math" w:hAnsi="Cambria Math"/>
                <w:kern w:val="0"/>
                <w:sz w:val="24"/>
              </w:rPr>
              <m:t>F</m:t>
            </m:r>
            <m:ctrlPr>
              <w:rPr>
                <w:rFonts w:ascii="Cambria Math" w:hAnsi="Cambria Math"/>
                <w:kern w:val="0"/>
                <w:sz w:val="24"/>
              </w:rPr>
            </m:ctrlPr>
          </m:sub>
        </m:sSub>
      </m:oMath>
      <w:r>
        <w:rPr>
          <w:rFonts w:hint="eastAsia"/>
          <w:kern w:val="0"/>
          <w:sz w:val="24"/>
        </w:rPr>
        <w:t>）应按下列</w:t>
      </w:r>
      <w:r>
        <w:rPr>
          <w:kern w:val="0"/>
          <w:sz w:val="24"/>
        </w:rPr>
        <w:t>公式计算</w:t>
      </w:r>
      <w:r>
        <w:rPr>
          <w:rFonts w:hint="eastAsia"/>
          <w:kern w:val="0"/>
          <w:sz w:val="24"/>
        </w:rPr>
        <w:t>：</w:t>
      </w:r>
    </w:p>
    <w:p>
      <w:pPr>
        <w:autoSpaceDE w:val="0"/>
        <w:autoSpaceDN w:val="0"/>
        <w:adjustRightInd w:val="0"/>
        <w:spacing w:line="440" w:lineRule="exact"/>
        <w:ind w:firstLine="1200" w:firstLineChars="500"/>
        <w:jc w:val="left"/>
        <w:rPr>
          <w:kern w:val="0"/>
          <w:sz w:val="24"/>
        </w:rPr>
      </w:pPr>
      <m:oMath>
        <m:sSub>
          <m:sSubPr>
            <m:ctrlPr>
              <w:rPr>
                <w:rFonts w:ascii="Cambria Math" w:hAnsi="Cambria Math"/>
                <w:kern w:val="0"/>
                <w:sz w:val="24"/>
              </w:rPr>
            </m:ctrlPr>
          </m:sSubPr>
          <m:e>
            <m:r>
              <m:rPr>
                <m:sty m:val="p"/>
              </m:rPr>
              <w:rPr>
                <w:rFonts w:ascii="Cambria Math" w:hAnsi="Cambria Math"/>
                <w:kern w:val="0"/>
                <w:sz w:val="24"/>
              </w:rPr>
              <m:t>P</m:t>
            </m:r>
            <m:ctrlPr>
              <w:rPr>
                <w:rFonts w:ascii="Cambria Math" w:hAnsi="Cambria Math"/>
                <w:kern w:val="0"/>
                <w:sz w:val="24"/>
              </w:rPr>
            </m:ctrlPr>
          </m:e>
          <m:sub>
            <m:r>
              <m:rPr>
                <m:sty m:val="p"/>
              </m:rPr>
              <w:rPr>
                <w:rFonts w:ascii="Cambria Math" w:hAnsi="Cambria Math"/>
                <w:kern w:val="0"/>
                <w:sz w:val="24"/>
              </w:rPr>
              <m:t>F</m:t>
            </m:r>
            <m:ctrlPr>
              <w:rPr>
                <w:rFonts w:ascii="Cambria Math" w:hAnsi="Cambria Math"/>
                <w:kern w:val="0"/>
                <w:sz w:val="24"/>
              </w:rPr>
            </m:ctrlPr>
          </m:sub>
        </m:sSub>
        <m:r>
          <m:rPr>
            <m:sty m:val="p"/>
          </m:rPr>
          <w:rPr>
            <w:rFonts w:ascii="Cambria Math" w:hAnsi="Cambria Math"/>
            <w:kern w:val="0"/>
            <w:sz w:val="24"/>
          </w:rPr>
          <m:t>=</m:t>
        </m:r>
      </m:oMath>
      <w:r>
        <w:rPr>
          <w:rFonts w:hint="eastAsia"/>
          <w:kern w:val="0"/>
          <w:sz w:val="24"/>
        </w:rPr>
        <w:t>π</w:t>
      </w:r>
      <m:oMath>
        <m:r>
          <m:rPr>
            <m:sty m:val="p"/>
          </m:rPr>
          <w:rPr>
            <w:rFonts w:hint="eastAsia" w:ascii="微软雅黑" w:hAnsi="微软雅黑" w:eastAsia="微软雅黑" w:cs="微软雅黑"/>
            <w:kern w:val="0"/>
            <w:sz w:val="24"/>
          </w:rPr>
          <m:t>∙</m:t>
        </m:r>
        <m:sSub>
          <m:sSubPr>
            <m:ctrlPr>
              <w:rPr>
                <w:rFonts w:hint="eastAsia" w:ascii="Cambria Math" w:hAnsi="Cambria Math"/>
                <w:kern w:val="0"/>
                <w:sz w:val="24"/>
              </w:rPr>
            </m:ctrlPr>
          </m:sSubPr>
          <m:e>
            <m:r>
              <m:rPr>
                <m:sty m:val="p"/>
              </m:rPr>
              <w:rPr>
                <w:rFonts w:ascii="Cambria Math" w:hAnsi="Cambria Math"/>
                <w:kern w:val="0"/>
                <w:sz w:val="24"/>
              </w:rPr>
              <m:t>D</m:t>
            </m:r>
            <m:ctrlPr>
              <w:rPr>
                <w:rFonts w:hint="eastAsia" w:ascii="Cambria Math" w:hAnsi="Cambria Math"/>
                <w:kern w:val="0"/>
                <w:sz w:val="24"/>
              </w:rPr>
            </m:ctrlPr>
          </m:e>
          <m:sub>
            <m:r>
              <m:rPr>
                <m:sty m:val="p"/>
              </m:rPr>
              <w:rPr>
                <w:rFonts w:ascii="Cambria Math" w:hAnsi="Cambria Math"/>
                <w:kern w:val="0"/>
                <w:sz w:val="24"/>
              </w:rPr>
              <m:t>av</m:t>
            </m:r>
            <m:ctrlPr>
              <w:rPr>
                <w:rFonts w:hint="eastAsia" w:ascii="Cambria Math" w:hAnsi="Cambria Math"/>
                <w:kern w:val="0"/>
                <w:sz w:val="24"/>
              </w:rPr>
            </m:ctrlPr>
          </m:sub>
        </m:sSub>
        <m:r>
          <m:rPr>
            <m:sty m:val="p"/>
          </m:rPr>
          <w:rPr>
            <w:rFonts w:hint="eastAsia" w:ascii="微软雅黑" w:hAnsi="微软雅黑" w:eastAsia="微软雅黑" w:cs="微软雅黑"/>
            <w:kern w:val="0"/>
            <w:sz w:val="24"/>
          </w:rPr>
          <m:t>∙</m:t>
        </m:r>
      </m:oMath>
      <w:r>
        <w:rPr>
          <w:rFonts w:hint="eastAsia"/>
          <w:kern w:val="0"/>
          <w:sz w:val="24"/>
        </w:rPr>
        <w:t>t</w:t>
      </w:r>
      <m:oMath>
        <m:r>
          <m:rPr>
            <m:sty m:val="p"/>
          </m:rPr>
          <w:rPr>
            <w:rFonts w:ascii="Cambria Math" w:hAnsi="Cambria Math"/>
            <w:kern w:val="0"/>
            <w:sz w:val="24"/>
          </w:rPr>
          <m:t>∙R</m:t>
        </m:r>
      </m:oMath>
      <w:r>
        <w:rPr>
          <w:kern w:val="0"/>
          <w:sz w:val="24"/>
        </w:rPr>
        <w:t xml:space="preserve">           </w:t>
      </w:r>
      <w:r>
        <w:rPr>
          <w:rFonts w:hint="eastAsia"/>
          <w:kern w:val="0"/>
          <w:sz w:val="24"/>
        </w:rPr>
        <w:t>（5.</w:t>
      </w:r>
      <w:r>
        <w:rPr>
          <w:kern w:val="0"/>
          <w:sz w:val="24"/>
        </w:rPr>
        <w:t>3</w:t>
      </w:r>
      <w:r>
        <w:rPr>
          <w:rFonts w:hint="eastAsia"/>
          <w:kern w:val="0"/>
          <w:sz w:val="24"/>
        </w:rPr>
        <w:t>.2</w:t>
      </w:r>
      <w:r>
        <w:rPr>
          <w:kern w:val="0"/>
          <w:sz w:val="24"/>
        </w:rPr>
        <w:t>-2</w:t>
      </w:r>
      <w:r>
        <w:rPr>
          <w:rFonts w:hint="eastAsia"/>
          <w:kern w:val="0"/>
          <w:sz w:val="24"/>
        </w:rPr>
        <w:t>）</w:t>
      </w:r>
    </w:p>
    <w:p>
      <w:pPr>
        <w:autoSpaceDE w:val="0"/>
        <w:autoSpaceDN w:val="0"/>
        <w:adjustRightInd w:val="0"/>
        <w:spacing w:line="440" w:lineRule="exact"/>
        <w:ind w:firstLine="720" w:firstLineChars="300"/>
        <w:jc w:val="left"/>
        <w:rPr>
          <w:kern w:val="0"/>
          <w:sz w:val="24"/>
        </w:rPr>
      </w:pPr>
      <w:r>
        <w:rPr>
          <w:rFonts w:hint="eastAsia"/>
          <w:kern w:val="0"/>
          <w:sz w:val="24"/>
        </w:rPr>
        <w:t>注：</w:t>
      </w:r>
      <m:oMath>
        <m:sSub>
          <m:sSubPr>
            <m:ctrlPr>
              <w:rPr>
                <w:rFonts w:ascii="Cambria Math" w:hAnsi="Cambria Math"/>
                <w:kern w:val="0"/>
                <w:sz w:val="24"/>
              </w:rPr>
            </m:ctrlPr>
          </m:sSubPr>
          <m:e>
            <m:r>
              <m:rPr/>
              <w:rPr>
                <w:rFonts w:ascii="Cambria Math" w:hAnsi="Cambria Math"/>
                <w:kern w:val="0"/>
                <w:sz w:val="24"/>
              </w:rPr>
              <m:t>D</m:t>
            </m:r>
            <m:ctrlPr>
              <w:rPr>
                <w:rFonts w:ascii="Cambria Math" w:hAnsi="Cambria Math"/>
                <w:kern w:val="0"/>
                <w:sz w:val="24"/>
              </w:rPr>
            </m:ctrlPr>
          </m:e>
          <m:sub>
            <m:r>
              <m:rPr/>
              <w:rPr>
                <w:rFonts w:ascii="Cambria Math" w:hAnsi="Cambria Math"/>
                <w:kern w:val="0"/>
                <w:sz w:val="24"/>
              </w:rPr>
              <m:t>av</m:t>
            </m:r>
            <m:ctrlPr>
              <w:rPr>
                <w:rFonts w:ascii="Cambria Math" w:hAnsi="Cambria Math"/>
                <w:kern w:val="0"/>
                <w:sz w:val="24"/>
              </w:rPr>
            </m:ctrlPr>
          </m:sub>
        </m:sSub>
      </m:oMath>
      <w:r>
        <w:rPr>
          <w:kern w:val="0"/>
          <w:sz w:val="24"/>
        </w:rPr>
        <w:t>——工具管刃脚或挤压喇叭口的平均直径</w:t>
      </w:r>
      <w:r>
        <w:rPr>
          <w:rFonts w:hint="eastAsia"/>
          <w:kern w:val="0"/>
          <w:sz w:val="24"/>
        </w:rPr>
        <w:t>（m）；</w:t>
      </w:r>
    </w:p>
    <w:p>
      <w:pPr>
        <w:autoSpaceDE w:val="0"/>
        <w:autoSpaceDN w:val="0"/>
        <w:adjustRightInd w:val="0"/>
        <w:spacing w:line="440" w:lineRule="exact"/>
        <w:ind w:firstLine="720" w:firstLineChars="300"/>
        <w:jc w:val="left"/>
        <w:rPr>
          <w:kern w:val="0"/>
          <w:sz w:val="24"/>
        </w:rPr>
      </w:pPr>
      <w:r>
        <w:rPr>
          <w:kern w:val="0"/>
          <w:sz w:val="24"/>
        </w:rPr>
        <w:t xml:space="preserve">    </w:t>
      </w:r>
      <w:r>
        <w:rPr>
          <w:rFonts w:hint="eastAsia"/>
          <w:kern w:val="0"/>
          <w:sz w:val="24"/>
        </w:rPr>
        <w:t xml:space="preserve">  </w:t>
      </w:r>
      <w:r>
        <w:rPr>
          <w:kern w:val="0"/>
          <w:sz w:val="24"/>
        </w:rPr>
        <w:t>t——工具管刃脚厚度或挤压喇叭口的</w:t>
      </w:r>
      <w:r>
        <w:rPr>
          <w:rFonts w:hint="eastAsia"/>
          <w:kern w:val="0"/>
          <w:sz w:val="24"/>
        </w:rPr>
        <w:t>平均</w:t>
      </w:r>
      <w:r>
        <w:rPr>
          <w:kern w:val="0"/>
          <w:sz w:val="24"/>
        </w:rPr>
        <w:t>宽度（</w:t>
      </w:r>
      <w:r>
        <w:rPr>
          <w:rFonts w:hint="eastAsia"/>
          <w:kern w:val="0"/>
          <w:sz w:val="24"/>
        </w:rPr>
        <w:t>m</w:t>
      </w:r>
      <w:r>
        <w:rPr>
          <w:kern w:val="0"/>
          <w:sz w:val="24"/>
        </w:rPr>
        <w:t>）</w:t>
      </w:r>
      <w:r>
        <w:rPr>
          <w:rFonts w:hint="eastAsia"/>
          <w:kern w:val="0"/>
          <w:sz w:val="24"/>
        </w:rPr>
        <w:t>；</w:t>
      </w:r>
    </w:p>
    <w:p>
      <w:pPr>
        <w:autoSpaceDE w:val="0"/>
        <w:autoSpaceDN w:val="0"/>
        <w:adjustRightInd w:val="0"/>
        <w:spacing w:line="440" w:lineRule="exact"/>
        <w:ind w:firstLine="720" w:firstLineChars="300"/>
        <w:jc w:val="left"/>
        <w:rPr>
          <w:kern w:val="0"/>
          <w:sz w:val="24"/>
        </w:rPr>
      </w:pPr>
      <w:r>
        <w:rPr>
          <w:kern w:val="0"/>
          <w:sz w:val="24"/>
        </w:rPr>
        <w:t xml:space="preserve">    </w:t>
      </w:r>
      <w:r>
        <w:rPr>
          <w:rFonts w:hint="eastAsia"/>
          <w:kern w:val="0"/>
          <w:sz w:val="24"/>
        </w:rPr>
        <w:t xml:space="preserve"> </w:t>
      </w:r>
      <w:r>
        <w:rPr>
          <w:kern w:val="0"/>
          <w:sz w:val="24"/>
        </w:rPr>
        <w:t xml:space="preserve"> R——可按工具管</w:t>
      </w:r>
      <w:r>
        <w:rPr>
          <w:rFonts w:hint="eastAsia"/>
          <w:kern w:val="0"/>
          <w:sz w:val="24"/>
        </w:rPr>
        <w:t>前段</w:t>
      </w:r>
      <w:r>
        <w:rPr>
          <w:kern w:val="0"/>
          <w:sz w:val="24"/>
        </w:rPr>
        <w:t>中心处的被动土</w:t>
      </w:r>
      <w:r>
        <w:rPr>
          <w:rFonts w:hint="eastAsia"/>
          <w:kern w:val="0"/>
          <w:sz w:val="24"/>
        </w:rPr>
        <w:t>压</w:t>
      </w:r>
      <w:r>
        <w:rPr>
          <w:kern w:val="0"/>
          <w:sz w:val="24"/>
        </w:rPr>
        <w:t>力计算</w:t>
      </w:r>
      <w:r>
        <w:rPr>
          <w:rFonts w:hint="eastAsia"/>
          <w:kern w:val="0"/>
          <w:sz w:val="24"/>
        </w:rPr>
        <w:t>（kN/</w:t>
      </w:r>
      <m:oMath>
        <m:sSup>
          <m:sSupPr>
            <m:ctrlPr>
              <w:rPr>
                <w:rFonts w:ascii="Cambria Math" w:hAnsi="Cambria Math"/>
                <w:kern w:val="0"/>
                <w:sz w:val="24"/>
              </w:rPr>
            </m:ctrlPr>
          </m:sSupPr>
          <m:e>
            <m:r>
              <m:rPr>
                <m:sty m:val="p"/>
              </m:rPr>
              <w:rPr>
                <w:rFonts w:ascii="Cambria Math" w:hAnsi="Cambria Math"/>
                <w:kern w:val="0"/>
                <w:sz w:val="24"/>
              </w:rPr>
              <m:t>m</m:t>
            </m:r>
            <m:ctrlPr>
              <w:rPr>
                <w:rFonts w:ascii="Cambria Math" w:hAnsi="Cambria Math"/>
                <w:kern w:val="0"/>
                <w:sz w:val="24"/>
              </w:rPr>
            </m:ctrlPr>
          </m:e>
          <m:sup>
            <m:r>
              <m:rPr>
                <m:sty m:val="p"/>
              </m:rPr>
              <w:rPr>
                <w:rFonts w:ascii="Cambria Math" w:hAnsi="Cambria Math"/>
                <w:kern w:val="0"/>
                <w:sz w:val="24"/>
              </w:rPr>
              <m:t>2</m:t>
            </m:r>
            <m:ctrlPr>
              <w:rPr>
                <w:rFonts w:ascii="Cambria Math" w:hAnsi="Cambria Math"/>
                <w:kern w:val="0"/>
                <w:sz w:val="24"/>
              </w:rPr>
            </m:ctrlPr>
          </m:sup>
        </m:sSup>
      </m:oMath>
      <w:r>
        <w:rPr>
          <w:rFonts w:hint="eastAsia"/>
          <w:kern w:val="0"/>
          <w:sz w:val="24"/>
        </w:rPr>
        <w:t>）；</w:t>
      </w:r>
    </w:p>
    <w:p>
      <w:pPr>
        <w:autoSpaceDE w:val="0"/>
        <w:autoSpaceDN w:val="0"/>
        <w:adjustRightInd w:val="0"/>
        <w:spacing w:line="440" w:lineRule="exact"/>
        <w:ind w:firstLine="720" w:firstLineChars="300"/>
        <w:jc w:val="left"/>
        <w:rPr>
          <w:kern w:val="0"/>
          <w:sz w:val="24"/>
        </w:rPr>
      </w:pPr>
      <w:r>
        <w:rPr>
          <w:kern w:val="0"/>
          <w:sz w:val="24"/>
        </w:rPr>
        <w:t>3</w:t>
      </w:r>
      <w:r>
        <w:rPr>
          <w:rFonts w:hint="eastAsia"/>
          <w:kern w:val="0"/>
          <w:sz w:val="24"/>
        </w:rPr>
        <w:t>）夯管锤能提供的最大顶进力不应小于钢管顶进阻力标准值的1.2倍，否则应采取减阻措施，或设中继站。</w:t>
      </w:r>
    </w:p>
    <w:p>
      <w:pPr>
        <w:spacing w:line="440" w:lineRule="exact"/>
        <w:ind w:firstLine="361" w:firstLineChars="150"/>
        <w:rPr>
          <w:sz w:val="24"/>
        </w:rPr>
      </w:pPr>
      <w:r>
        <w:rPr>
          <w:b/>
          <w:bCs/>
          <w:sz w:val="24"/>
        </w:rPr>
        <w:t>3</w:t>
      </w:r>
      <w:r>
        <w:rPr>
          <w:rFonts w:hint="eastAsia"/>
          <w:sz w:val="24"/>
        </w:rPr>
        <w:t xml:space="preserve"> 夯管法施工应配置有空压机、夯管锤、带抓压盘、锥形接头、推土锥、张紧带、切削管头、定位导向装置。其中空压机</w:t>
      </w:r>
      <w:r>
        <w:rPr>
          <w:sz w:val="24"/>
        </w:rPr>
        <w:t>功率应</w:t>
      </w:r>
      <w:r>
        <w:rPr>
          <w:rFonts w:hint="eastAsia"/>
          <w:sz w:val="24"/>
        </w:rPr>
        <w:t>能满足</w:t>
      </w:r>
      <w:r>
        <w:rPr>
          <w:sz w:val="24"/>
        </w:rPr>
        <w:t>顶进需求，夯管锤</w:t>
      </w:r>
      <w:r>
        <w:rPr>
          <w:rFonts w:hint="eastAsia"/>
          <w:sz w:val="24"/>
        </w:rPr>
        <w:t>、带抓压盘、锥形接头、推土锥、张紧带、切削管头、定位导向装置应根据</w:t>
      </w:r>
      <w:r>
        <w:rPr>
          <w:sz w:val="24"/>
        </w:rPr>
        <w:t>管道直径确定。</w:t>
      </w:r>
    </w:p>
    <w:p>
      <w:pPr>
        <w:spacing w:line="440" w:lineRule="exact"/>
        <w:rPr>
          <w:sz w:val="28"/>
          <w:szCs w:val="28"/>
        </w:rPr>
      </w:pPr>
      <w:r>
        <w:rPr>
          <w:rFonts w:hint="eastAsia"/>
          <w:b/>
          <w:bCs/>
          <w:sz w:val="24"/>
        </w:rPr>
        <w:t>5.</w:t>
      </w:r>
      <w:r>
        <w:rPr>
          <w:b/>
          <w:bCs/>
          <w:sz w:val="24"/>
        </w:rPr>
        <w:t>3</w:t>
      </w:r>
      <w:r>
        <w:rPr>
          <w:rFonts w:hint="eastAsia"/>
          <w:b/>
          <w:bCs/>
          <w:sz w:val="24"/>
        </w:rPr>
        <w:t xml:space="preserve">.3  </w:t>
      </w:r>
      <w:bookmarkStart w:id="52" w:name="_Hlk102769266"/>
      <w:r>
        <w:rPr>
          <w:rFonts w:hint="eastAsia"/>
          <w:sz w:val="24"/>
        </w:rPr>
        <w:t>钻进顶管</w:t>
      </w:r>
      <w:bookmarkEnd w:id="52"/>
      <w:r>
        <w:rPr>
          <w:rFonts w:hint="eastAsia"/>
          <w:sz w:val="24"/>
        </w:rPr>
        <w:t>法设备选型与配置应符合下列规定：</w:t>
      </w:r>
    </w:p>
    <w:p>
      <w:pPr>
        <w:spacing w:line="440" w:lineRule="exact"/>
        <w:ind w:firstLine="361" w:firstLineChars="150"/>
        <w:rPr>
          <w:sz w:val="24"/>
        </w:rPr>
      </w:pPr>
      <w:r>
        <w:rPr>
          <w:rFonts w:hint="eastAsia"/>
          <w:b/>
          <w:bCs/>
          <w:sz w:val="24"/>
        </w:rPr>
        <w:t>1</w:t>
      </w:r>
      <w:r>
        <w:rPr>
          <w:rFonts w:hint="eastAsia"/>
          <w:sz w:val="24"/>
        </w:rPr>
        <w:t xml:space="preserve">  钻进顶管法施工适用于以下条件：</w:t>
      </w:r>
    </w:p>
    <w:p>
      <w:pPr>
        <w:spacing w:line="440" w:lineRule="exact"/>
        <w:ind w:firstLine="723" w:firstLineChars="300"/>
        <w:rPr>
          <w:sz w:val="24"/>
        </w:rPr>
      </w:pPr>
      <w:r>
        <w:rPr>
          <w:rFonts w:hint="eastAsia"/>
          <w:b/>
          <w:bCs/>
          <w:sz w:val="24"/>
        </w:rPr>
        <w:t>1）</w:t>
      </w:r>
      <w:r>
        <w:rPr>
          <w:rFonts w:hint="eastAsia"/>
          <w:sz w:val="24"/>
        </w:rPr>
        <w:t>适用于杂填土（建筑垃圾）、填土、粉土、粉质粘土、黏土、新黄土、老黄土、古土壤、软土等各种土质地层，以及最大粒径不宜超过100mm，且不应超过1/3管径的卵石地层，在软硬不均、较硬地层及含无法清除的地下障碍物的地层中难度较大；</w:t>
      </w:r>
    </w:p>
    <w:p>
      <w:pPr>
        <w:spacing w:line="440" w:lineRule="exact"/>
        <w:ind w:firstLine="723" w:firstLineChars="300"/>
        <w:rPr>
          <w:sz w:val="24"/>
        </w:rPr>
      </w:pPr>
      <w:r>
        <w:rPr>
          <w:rFonts w:hint="eastAsia"/>
          <w:b/>
          <w:bCs/>
          <w:sz w:val="24"/>
        </w:rPr>
        <w:t>2）</w:t>
      </w:r>
      <w:r>
        <w:rPr>
          <w:rFonts w:hint="eastAsia"/>
          <w:sz w:val="24"/>
        </w:rPr>
        <w:t>适用于无水、少量滞水或潜水地层；</w:t>
      </w:r>
    </w:p>
    <w:p>
      <w:pPr>
        <w:spacing w:line="440" w:lineRule="exact"/>
        <w:ind w:firstLine="723" w:firstLineChars="300"/>
        <w:rPr>
          <w:sz w:val="24"/>
        </w:rPr>
      </w:pPr>
      <w:r>
        <w:rPr>
          <w:rFonts w:hint="eastAsia"/>
          <w:b/>
          <w:bCs/>
          <w:sz w:val="24"/>
        </w:rPr>
        <w:t>3）</w:t>
      </w:r>
      <w:r>
        <w:rPr>
          <w:rFonts w:hint="eastAsia"/>
          <w:sz w:val="24"/>
        </w:rPr>
        <w:t>适用于外径180mm～600mm、壁厚不少于10mm、长度不大于80m的直线管幕施工。</w:t>
      </w:r>
    </w:p>
    <w:p>
      <w:pPr>
        <w:spacing w:line="440" w:lineRule="exact"/>
        <w:ind w:firstLine="361" w:firstLineChars="150"/>
        <w:rPr>
          <w:sz w:val="28"/>
          <w:szCs w:val="28"/>
        </w:rPr>
      </w:pPr>
      <w:r>
        <w:rPr>
          <w:rFonts w:hint="eastAsia"/>
          <w:b/>
          <w:bCs/>
          <w:sz w:val="24"/>
        </w:rPr>
        <w:t xml:space="preserve">2 </w:t>
      </w:r>
      <w:r>
        <w:rPr>
          <w:b/>
          <w:bCs/>
          <w:sz w:val="24"/>
        </w:rPr>
        <w:t xml:space="preserve"> </w:t>
      </w:r>
      <w:r>
        <w:rPr>
          <w:rFonts w:hint="eastAsia"/>
          <w:sz w:val="24"/>
        </w:rPr>
        <w:t>顶管的最大顶力的计算和设备选择应符合下列规定：</w:t>
      </w:r>
    </w:p>
    <w:p>
      <w:pPr>
        <w:spacing w:line="440" w:lineRule="exact"/>
        <w:ind w:firstLine="723" w:firstLineChars="300"/>
        <w:rPr>
          <w:sz w:val="24"/>
        </w:rPr>
      </w:pPr>
      <w:r>
        <w:rPr>
          <w:rFonts w:hint="eastAsia"/>
          <w:b/>
          <w:bCs/>
          <w:sz w:val="24"/>
        </w:rPr>
        <w:t>1）</w:t>
      </w:r>
      <w:r>
        <w:rPr>
          <w:rFonts w:hint="eastAsia"/>
          <w:sz w:val="24"/>
        </w:rPr>
        <w:t>当无当地经验时，顶管的最大顶力按（5.4.2）所列公式计算，</w:t>
      </w:r>
      <w:r>
        <w:rPr>
          <w:sz w:val="24"/>
        </w:rPr>
        <w:t>其中</w:t>
      </w:r>
      <w:r>
        <w:rPr>
          <w:rFonts w:hint="eastAsia"/>
          <w:sz w:val="24"/>
        </w:rPr>
        <w:t>迎面</w:t>
      </w:r>
      <w:r>
        <w:rPr>
          <w:sz w:val="24"/>
        </w:rPr>
        <w:t>阻力</w:t>
      </w:r>
      <m:oMath>
        <m:sSub>
          <m:sSubPr>
            <m:ctrlPr>
              <w:rPr>
                <w:rFonts w:ascii="Cambria Math" w:hAnsi="Cambria Math"/>
                <w:kern w:val="0"/>
                <w:sz w:val="24"/>
              </w:rPr>
            </m:ctrlPr>
          </m:sSubPr>
          <m:e>
            <m:r>
              <m:rPr>
                <m:sty m:val="p"/>
              </m:rPr>
              <w:rPr>
                <w:rFonts w:ascii="Cambria Math" w:hAnsi="Cambria Math"/>
                <w:kern w:val="0"/>
                <w:sz w:val="24"/>
              </w:rPr>
              <m:t>P</m:t>
            </m:r>
            <m:ctrlPr>
              <w:rPr>
                <w:rFonts w:ascii="Cambria Math" w:hAnsi="Cambria Math"/>
                <w:kern w:val="0"/>
                <w:sz w:val="24"/>
              </w:rPr>
            </m:ctrlPr>
          </m:e>
          <m:sub>
            <m:r>
              <m:rPr>
                <m:sty m:val="p"/>
              </m:rPr>
              <w:rPr>
                <w:rFonts w:ascii="Cambria Math" w:hAnsi="Cambria Math"/>
                <w:kern w:val="0"/>
                <w:sz w:val="24"/>
              </w:rPr>
              <m:t>F</m:t>
            </m:r>
            <m:ctrlPr>
              <w:rPr>
                <w:rFonts w:ascii="Cambria Math" w:hAnsi="Cambria Math"/>
                <w:kern w:val="0"/>
                <w:sz w:val="24"/>
              </w:rPr>
            </m:ctrlPr>
          </m:sub>
        </m:sSub>
      </m:oMath>
      <w:r>
        <w:rPr>
          <w:rFonts w:hint="eastAsia"/>
          <w:kern w:val="0"/>
          <w:sz w:val="24"/>
        </w:rPr>
        <w:t>由</w:t>
      </w:r>
      <w:r>
        <w:rPr>
          <w:kern w:val="0"/>
          <w:sz w:val="24"/>
        </w:rPr>
        <w:t>式</w:t>
      </w:r>
      <w:r>
        <w:rPr>
          <w:rFonts w:hint="eastAsia"/>
          <w:kern w:val="0"/>
          <w:sz w:val="24"/>
        </w:rPr>
        <w:t>5.4.4计算</w:t>
      </w:r>
    </w:p>
    <w:p>
      <w:pPr>
        <w:pStyle w:val="2"/>
        <w:ind w:firstLine="480"/>
        <w:jc w:val="center"/>
        <w:rPr>
          <w:sz w:val="20"/>
          <w:szCs w:val="20"/>
        </w:rPr>
      </w:pPr>
      <w:r>
        <w:rPr>
          <w:rFonts w:hint="eastAsia"/>
          <w:kern w:val="0"/>
          <w:sz w:val="24"/>
        </w:rPr>
        <w:t xml:space="preserve">       </w:t>
      </w:r>
      <m:oMath>
        <m:sSub>
          <m:sSubPr>
            <m:ctrlPr>
              <w:rPr>
                <w:rFonts w:ascii="Cambria Math" w:hAnsi="Cambria Math"/>
                <w:kern w:val="0"/>
                <w:sz w:val="24"/>
              </w:rPr>
            </m:ctrlPr>
          </m:sSubPr>
          <m:e>
            <m:r>
              <m:rPr>
                <m:sty m:val="p"/>
              </m:rPr>
              <w:rPr>
                <w:rFonts w:ascii="Cambria Math" w:hAnsi="Cambria Math"/>
                <w:kern w:val="0"/>
                <w:sz w:val="24"/>
              </w:rPr>
              <m:t>P</m:t>
            </m:r>
            <m:ctrlPr>
              <w:rPr>
                <w:rFonts w:ascii="Cambria Math" w:hAnsi="Cambria Math"/>
                <w:kern w:val="0"/>
                <w:sz w:val="24"/>
              </w:rPr>
            </m:ctrlPr>
          </m:e>
          <m:sub>
            <m:r>
              <m:rPr>
                <m:sty m:val="p"/>
              </m:rPr>
              <w:rPr>
                <w:rFonts w:ascii="Cambria Math" w:hAnsi="Cambria Math"/>
                <w:kern w:val="0"/>
                <w:sz w:val="24"/>
              </w:rPr>
              <m:t>F</m:t>
            </m:r>
            <m:ctrlPr>
              <w:rPr>
                <w:rFonts w:ascii="Cambria Math" w:hAnsi="Cambria Math"/>
                <w:kern w:val="0"/>
                <w:sz w:val="24"/>
              </w:rPr>
            </m:ctrlPr>
          </m:sub>
        </m:sSub>
        <m:r>
          <m:rPr/>
          <w:rPr>
            <w:rFonts w:ascii="Cambria Math" w:hAnsi="Cambria Math"/>
            <w:kern w:val="0"/>
            <w:sz w:val="24"/>
          </w:rPr>
          <m:t>=</m:t>
        </m:r>
      </m:oMath>
      <w:r>
        <w:rPr>
          <w:rFonts w:hint="eastAsia"/>
          <w:bCs/>
          <w:sz w:val="20"/>
          <w:szCs w:val="20"/>
        </w:rPr>
        <w:t xml:space="preserve"> a</w:t>
      </w:r>
      <m:oMath>
        <m:r>
          <m:rPr>
            <m:sty m:val="p"/>
          </m:rPr>
          <w:rPr>
            <w:rFonts w:hint="eastAsia" w:ascii="Cambria Math" w:hAnsi="Cambria Math"/>
            <w:sz w:val="20"/>
            <w:szCs w:val="20"/>
          </w:rPr>
          <m:t>∙</m:t>
        </m:r>
      </m:oMath>
      <w:r>
        <w:rPr>
          <w:rFonts w:hint="eastAsia"/>
          <w:bCs/>
          <w:sz w:val="20"/>
          <w:szCs w:val="20"/>
        </w:rPr>
        <w:t>π/4</w:t>
      </w:r>
      <m:oMath>
        <m:r>
          <m:rPr>
            <m:sty m:val="p"/>
          </m:rPr>
          <w:rPr>
            <w:rFonts w:hint="eastAsia" w:ascii="Cambria Math" w:hAnsi="Cambria Math"/>
            <w:sz w:val="20"/>
            <w:szCs w:val="20"/>
          </w:rPr>
          <m:t>∙</m:t>
        </m:r>
      </m:oMath>
      <w:r>
        <w:rPr>
          <w:rFonts w:hint="eastAsia"/>
          <w:bCs/>
          <w:sz w:val="20"/>
          <w:szCs w:val="20"/>
        </w:rPr>
        <w:t>D</w:t>
      </w:r>
      <m:oMath>
        <m:r>
          <m:rPr>
            <m:sty m:val="p"/>
          </m:rPr>
          <w:rPr>
            <w:rFonts w:ascii="Cambria Math" w:hAnsi="Cambria Math"/>
            <w:sz w:val="20"/>
            <w:szCs w:val="20"/>
          </w:rPr>
          <m:t>∙R</m:t>
        </m:r>
      </m:oMath>
      <w:r>
        <w:rPr>
          <w:rFonts w:hint="eastAsia"/>
          <w:sz w:val="20"/>
          <w:szCs w:val="20"/>
        </w:rPr>
        <w:t xml:space="preserve">     （5.</w:t>
      </w:r>
      <w:r>
        <w:rPr>
          <w:sz w:val="20"/>
          <w:szCs w:val="20"/>
        </w:rPr>
        <w:t>3</w:t>
      </w:r>
      <w:r>
        <w:rPr>
          <w:rFonts w:hint="eastAsia"/>
          <w:sz w:val="20"/>
          <w:szCs w:val="20"/>
        </w:rPr>
        <w:t>.</w:t>
      </w:r>
      <w:r>
        <w:rPr>
          <w:sz w:val="20"/>
          <w:szCs w:val="20"/>
        </w:rPr>
        <w:t>3</w:t>
      </w:r>
      <w:r>
        <w:rPr>
          <w:rFonts w:hint="eastAsia"/>
          <w:sz w:val="20"/>
          <w:szCs w:val="20"/>
        </w:rPr>
        <w:t>）</w:t>
      </w:r>
    </w:p>
    <w:p>
      <w:pPr>
        <w:spacing w:line="440" w:lineRule="exact"/>
        <w:rPr>
          <w:sz w:val="24"/>
        </w:rPr>
      </w:pPr>
      <w:r>
        <w:rPr>
          <w:rFonts w:hint="eastAsia"/>
          <w:sz w:val="24"/>
        </w:rPr>
        <w:t>式中：</w:t>
      </w:r>
      <w:r>
        <w:rPr>
          <w:sz w:val="24"/>
        </w:rPr>
        <w:t>t——工具管刃脚厚度或挤压喇叭口的</w:t>
      </w:r>
      <w:r>
        <w:rPr>
          <w:rFonts w:hint="eastAsia"/>
          <w:sz w:val="24"/>
        </w:rPr>
        <w:t>平均</w:t>
      </w:r>
      <w:r>
        <w:rPr>
          <w:sz w:val="24"/>
        </w:rPr>
        <w:t>宽度（</w:t>
      </w:r>
      <w:r>
        <w:rPr>
          <w:rFonts w:hint="eastAsia"/>
          <w:sz w:val="24"/>
        </w:rPr>
        <w:t>m</w:t>
      </w:r>
      <w:r>
        <w:rPr>
          <w:sz w:val="24"/>
        </w:rPr>
        <w:t>）</w:t>
      </w:r>
      <w:r>
        <w:rPr>
          <w:rFonts w:hint="eastAsia"/>
          <w:sz w:val="24"/>
        </w:rPr>
        <w:t>；</w:t>
      </w:r>
    </w:p>
    <w:p>
      <w:pPr>
        <w:spacing w:line="440" w:lineRule="exact"/>
        <w:rPr>
          <w:sz w:val="24"/>
        </w:rPr>
      </w:pPr>
      <w:r>
        <w:rPr>
          <w:sz w:val="24"/>
        </w:rPr>
        <w:t xml:space="preserve">    </w:t>
      </w:r>
      <w:r>
        <w:rPr>
          <w:rFonts w:hint="eastAsia"/>
          <w:sz w:val="24"/>
        </w:rPr>
        <w:t xml:space="preserve"> </w:t>
      </w:r>
      <w:r>
        <w:rPr>
          <w:sz w:val="24"/>
        </w:rPr>
        <w:t xml:space="preserve"> R——顶管法的工具管迎面阻力，或挤压、网格挤压顶管法</w:t>
      </w:r>
      <w:r>
        <w:rPr>
          <w:rFonts w:hint="eastAsia"/>
          <w:sz w:val="24"/>
        </w:rPr>
        <w:t>的</w:t>
      </w:r>
      <w:r>
        <w:rPr>
          <w:sz w:val="24"/>
        </w:rPr>
        <w:t>挤压阻力</w:t>
      </w:r>
      <w:r>
        <w:rPr>
          <w:rFonts w:hint="eastAsia"/>
          <w:sz w:val="24"/>
        </w:rPr>
        <w:t>；</w:t>
      </w:r>
      <w:r>
        <w:rPr>
          <w:sz w:val="24"/>
        </w:rPr>
        <w:t>前者</w:t>
      </w:r>
      <w:r>
        <w:rPr>
          <w:rFonts w:hint="eastAsia"/>
          <w:sz w:val="24"/>
        </w:rPr>
        <w:t>可采用500 KN/</w:t>
      </w:r>
      <m:oMath>
        <m:sSup>
          <m:sSupPr>
            <m:ctrlPr>
              <w:rPr>
                <w:rFonts w:ascii="Cambria Math" w:hAnsi="Cambria Math"/>
                <w:sz w:val="24"/>
              </w:rPr>
            </m:ctrlPr>
          </m:sSupPr>
          <m:e>
            <m:r>
              <m:rPr>
                <m:sty m:val="p"/>
              </m:rPr>
              <w:rPr>
                <w:rFonts w:ascii="Cambria Math" w:hAnsi="Cambria Math"/>
                <w:sz w:val="24"/>
              </w:rPr>
              <m:t>m</m:t>
            </m:r>
            <m:ctrlPr>
              <w:rPr>
                <w:rFonts w:ascii="Cambria Math" w:hAnsi="Cambria Math"/>
                <w:sz w:val="24"/>
              </w:rPr>
            </m:ctrlPr>
          </m:e>
          <m:sup>
            <m:r>
              <m:rPr>
                <m:sty m:val="p"/>
              </m:rPr>
              <w:rPr>
                <w:rFonts w:ascii="Cambria Math" w:hAnsi="Cambria Math"/>
                <w:sz w:val="24"/>
              </w:rPr>
              <m:t>2</m:t>
            </m:r>
            <m:ctrlPr>
              <w:rPr>
                <w:rFonts w:ascii="Cambria Math" w:hAnsi="Cambria Math"/>
                <w:sz w:val="24"/>
              </w:rPr>
            </m:ctrlPr>
          </m:sup>
        </m:sSup>
      </m:oMath>
      <w:r>
        <w:rPr>
          <w:rFonts w:hint="eastAsia"/>
          <w:sz w:val="24"/>
        </w:rPr>
        <w:t>，</w:t>
      </w:r>
      <w:r>
        <w:rPr>
          <w:sz w:val="24"/>
        </w:rPr>
        <w:t>后者可按工具管</w:t>
      </w:r>
      <w:r>
        <w:rPr>
          <w:rFonts w:hint="eastAsia"/>
          <w:sz w:val="24"/>
        </w:rPr>
        <w:t>前段</w:t>
      </w:r>
      <w:r>
        <w:rPr>
          <w:sz w:val="24"/>
        </w:rPr>
        <w:t>中心处的被动土</w:t>
      </w:r>
      <w:r>
        <w:rPr>
          <w:rFonts w:hint="eastAsia"/>
          <w:sz w:val="24"/>
        </w:rPr>
        <w:t>压</w:t>
      </w:r>
      <w:r>
        <w:rPr>
          <w:sz w:val="24"/>
        </w:rPr>
        <w:t>力计算</w:t>
      </w:r>
      <w:r>
        <w:rPr>
          <w:rFonts w:hint="eastAsia"/>
          <w:sz w:val="24"/>
        </w:rPr>
        <w:t>（kN/</w:t>
      </w:r>
      <m:oMath>
        <m:sSup>
          <m:sSupPr>
            <m:ctrlPr>
              <w:rPr>
                <w:rFonts w:ascii="Cambria Math" w:hAnsi="Cambria Math"/>
                <w:sz w:val="24"/>
              </w:rPr>
            </m:ctrlPr>
          </m:sSupPr>
          <m:e>
            <m:r>
              <m:rPr>
                <m:sty m:val="p"/>
              </m:rPr>
              <w:rPr>
                <w:rFonts w:ascii="Cambria Math" w:hAnsi="Cambria Math"/>
                <w:sz w:val="24"/>
              </w:rPr>
              <m:t>m</m:t>
            </m:r>
            <m:ctrlPr>
              <w:rPr>
                <w:rFonts w:ascii="Cambria Math" w:hAnsi="Cambria Math"/>
                <w:sz w:val="24"/>
              </w:rPr>
            </m:ctrlPr>
          </m:e>
          <m:sup>
            <m:r>
              <m:rPr>
                <m:sty m:val="p"/>
              </m:rPr>
              <w:rPr>
                <w:rFonts w:ascii="Cambria Math" w:hAnsi="Cambria Math"/>
                <w:sz w:val="24"/>
              </w:rPr>
              <m:t>2</m:t>
            </m:r>
            <m:ctrlPr>
              <w:rPr>
                <w:rFonts w:ascii="Cambria Math" w:hAnsi="Cambria Math"/>
                <w:sz w:val="24"/>
              </w:rPr>
            </m:ctrlPr>
          </m:sup>
        </m:sSup>
      </m:oMath>
      <w:r>
        <w:rPr>
          <w:rFonts w:hint="eastAsia"/>
          <w:sz w:val="24"/>
        </w:rPr>
        <w:t>）；</w:t>
      </w:r>
    </w:p>
    <w:p>
      <w:pPr>
        <w:spacing w:line="440" w:lineRule="exact"/>
        <w:rPr>
          <w:sz w:val="24"/>
        </w:rPr>
      </w:pPr>
      <w:r>
        <w:rPr>
          <w:sz w:val="24"/>
        </w:rPr>
        <w:t xml:space="preserve">    </w:t>
      </w:r>
      <w:r>
        <w:rPr>
          <w:rFonts w:hint="eastAsia"/>
          <w:sz w:val="24"/>
        </w:rPr>
        <w:t xml:space="preserve"> </w:t>
      </w:r>
      <w:r>
        <w:rPr>
          <w:sz w:val="24"/>
        </w:rPr>
        <w:t xml:space="preserve"> a——网格截面参数，可取</w:t>
      </w:r>
      <w:r>
        <w:rPr>
          <w:rFonts w:hint="eastAsia"/>
          <w:sz w:val="24"/>
        </w:rPr>
        <w:t>0.6～1.0.</w:t>
      </w:r>
    </w:p>
    <w:p>
      <w:pPr>
        <w:spacing w:line="440" w:lineRule="exact"/>
        <w:ind w:firstLine="723" w:firstLineChars="300"/>
        <w:rPr>
          <w:sz w:val="24"/>
        </w:rPr>
      </w:pPr>
      <w:r>
        <w:rPr>
          <w:rFonts w:hint="eastAsia"/>
          <w:b/>
          <w:bCs/>
          <w:sz w:val="24"/>
        </w:rPr>
        <w:t>2）</w:t>
      </w:r>
      <w:r>
        <w:rPr>
          <w:rFonts w:hint="eastAsia"/>
          <w:sz w:val="24"/>
        </w:rPr>
        <w:t>液压顶进设备能提供的最大顶进力不应小于顶管最大力的1.2倍。否则应采取减阻措施，或设中继站。</w:t>
      </w:r>
    </w:p>
    <w:p>
      <w:pPr>
        <w:spacing w:line="440" w:lineRule="exact"/>
        <w:ind w:firstLine="361" w:firstLineChars="150"/>
        <w:rPr>
          <w:sz w:val="24"/>
        </w:rPr>
      </w:pPr>
      <w:r>
        <w:rPr>
          <w:rFonts w:hint="eastAsia"/>
          <w:b/>
          <w:bCs/>
          <w:sz w:val="24"/>
        </w:rPr>
        <w:t>2</w:t>
      </w:r>
      <w:r>
        <w:rPr>
          <w:rFonts w:hint="eastAsia"/>
          <w:sz w:val="24"/>
        </w:rPr>
        <w:t xml:space="preserve">  顶进法施工应配置应符合下列规定：</w:t>
      </w:r>
    </w:p>
    <w:p>
      <w:pPr>
        <w:spacing w:line="440" w:lineRule="exact"/>
        <w:ind w:firstLine="723" w:firstLineChars="300"/>
        <w:rPr>
          <w:sz w:val="24"/>
        </w:rPr>
      </w:pPr>
      <w:r>
        <w:rPr>
          <w:rFonts w:hint="eastAsia"/>
          <w:b/>
          <w:bCs/>
          <w:sz w:val="24"/>
        </w:rPr>
        <w:t>1）</w:t>
      </w:r>
      <w:r>
        <w:rPr>
          <w:sz w:val="24"/>
        </w:rPr>
        <w:t>千斤顶</w:t>
      </w:r>
      <w:r>
        <w:rPr>
          <w:rFonts w:hint="eastAsia"/>
          <w:sz w:val="24"/>
        </w:rPr>
        <w:t>顶力</w:t>
      </w:r>
      <w:r>
        <w:rPr>
          <w:sz w:val="24"/>
        </w:rPr>
        <w:t>需满足</w:t>
      </w:r>
      <w:r>
        <w:rPr>
          <w:rFonts w:hint="eastAsia"/>
          <w:sz w:val="24"/>
        </w:rPr>
        <w:t>最大</w:t>
      </w:r>
      <w:r>
        <w:rPr>
          <w:sz w:val="24"/>
        </w:rPr>
        <w:t>顶力要求</w:t>
      </w:r>
      <w:r>
        <w:rPr>
          <w:rFonts w:hint="eastAsia"/>
          <w:sz w:val="24"/>
        </w:rPr>
        <w:t>；</w:t>
      </w:r>
    </w:p>
    <w:p>
      <w:pPr>
        <w:pStyle w:val="2"/>
        <w:spacing w:line="440" w:lineRule="exact"/>
        <w:ind w:left="0" w:leftChars="0" w:firstLine="723" w:firstLineChars="300"/>
        <w:rPr>
          <w:sz w:val="24"/>
        </w:rPr>
      </w:pPr>
      <w:r>
        <w:rPr>
          <w:b/>
          <w:bCs/>
          <w:sz w:val="24"/>
        </w:rPr>
        <w:t>2</w:t>
      </w:r>
      <w:r>
        <w:rPr>
          <w:rFonts w:hint="eastAsia"/>
          <w:b/>
          <w:bCs/>
          <w:sz w:val="24"/>
        </w:rPr>
        <w:t>）</w:t>
      </w:r>
      <w:r>
        <w:rPr>
          <w:rFonts w:hint="eastAsia"/>
          <w:sz w:val="24"/>
        </w:rPr>
        <w:t>钻具</w:t>
      </w:r>
      <w:r>
        <w:rPr>
          <w:sz w:val="24"/>
        </w:rPr>
        <w:t>包括有导向钻杆与螺旋钻杆</w:t>
      </w:r>
      <w:r>
        <w:rPr>
          <w:rFonts w:hint="eastAsia"/>
          <w:sz w:val="24"/>
        </w:rPr>
        <w:t>等</w:t>
      </w:r>
      <w:r>
        <w:rPr>
          <w:sz w:val="24"/>
        </w:rPr>
        <w:t>，根据</w:t>
      </w:r>
      <w:r>
        <w:rPr>
          <w:rFonts w:hint="eastAsia"/>
          <w:sz w:val="24"/>
        </w:rPr>
        <w:t>管道</w:t>
      </w:r>
      <w:r>
        <w:rPr>
          <w:sz w:val="24"/>
        </w:rPr>
        <w:t>直径与地</w:t>
      </w:r>
      <w:r>
        <w:rPr>
          <w:rFonts w:hint="eastAsia"/>
          <w:sz w:val="24"/>
        </w:rPr>
        <w:t>质</w:t>
      </w:r>
      <w:r>
        <w:rPr>
          <w:sz w:val="24"/>
        </w:rPr>
        <w:t>条件进行选配</w:t>
      </w:r>
      <w:r>
        <w:rPr>
          <w:rFonts w:hint="eastAsia"/>
          <w:sz w:val="24"/>
        </w:rPr>
        <w:t>；</w:t>
      </w:r>
    </w:p>
    <w:p>
      <w:pPr>
        <w:pStyle w:val="2"/>
        <w:spacing w:after="0" w:line="440" w:lineRule="exact"/>
        <w:ind w:left="0" w:leftChars="0" w:firstLine="723" w:firstLineChars="300"/>
        <w:rPr>
          <w:sz w:val="24"/>
        </w:rPr>
      </w:pPr>
      <w:r>
        <w:rPr>
          <w:rFonts w:hint="eastAsia"/>
          <w:b/>
          <w:bCs/>
          <w:sz w:val="24"/>
        </w:rPr>
        <w:t>3）</w:t>
      </w:r>
      <w:r>
        <w:rPr>
          <w:rFonts w:hint="eastAsia"/>
          <w:sz w:val="24"/>
        </w:rPr>
        <w:t>用</w:t>
      </w:r>
      <w:r>
        <w:rPr>
          <w:sz w:val="24"/>
        </w:rPr>
        <w:t>于</w:t>
      </w:r>
      <w:r>
        <w:rPr>
          <w:rFonts w:hint="eastAsia"/>
          <w:sz w:val="24"/>
        </w:rPr>
        <w:t>工作井内</w:t>
      </w:r>
      <w:r>
        <w:rPr>
          <w:sz w:val="24"/>
        </w:rPr>
        <w:t>抽水</w:t>
      </w:r>
      <w:r>
        <w:rPr>
          <w:rFonts w:hint="eastAsia"/>
          <w:sz w:val="24"/>
        </w:rPr>
        <w:t>的抽水泵，可选用</w:t>
      </w:r>
      <w:r>
        <w:rPr>
          <w:sz w:val="24"/>
        </w:rPr>
        <w:t>功率</w:t>
      </w:r>
      <w:r>
        <w:rPr>
          <w:rFonts w:hint="eastAsia"/>
          <w:sz w:val="24"/>
        </w:rPr>
        <w:t>15</w:t>
      </w:r>
      <w:r>
        <w:rPr>
          <w:sz w:val="24"/>
        </w:rPr>
        <w:t>Kw</w:t>
      </w:r>
      <w:r>
        <w:rPr>
          <w:rFonts w:hint="eastAsia"/>
          <w:sz w:val="24"/>
        </w:rPr>
        <w:t>左右；</w:t>
      </w:r>
    </w:p>
    <w:p>
      <w:pPr>
        <w:pStyle w:val="2"/>
        <w:spacing w:after="0" w:line="440" w:lineRule="exact"/>
        <w:ind w:left="0" w:leftChars="0" w:firstLine="723" w:firstLineChars="300"/>
        <w:rPr>
          <w:sz w:val="24"/>
        </w:rPr>
      </w:pPr>
      <w:r>
        <w:rPr>
          <w:b/>
          <w:bCs/>
          <w:sz w:val="24"/>
        </w:rPr>
        <w:t>4</w:t>
      </w:r>
      <w:r>
        <w:rPr>
          <w:rFonts w:hint="eastAsia"/>
          <w:b/>
          <w:bCs/>
          <w:sz w:val="24"/>
        </w:rPr>
        <w:t>）</w:t>
      </w:r>
      <w:r>
        <w:rPr>
          <w:rFonts w:hint="eastAsia"/>
          <w:sz w:val="24"/>
        </w:rPr>
        <w:t>宜采用</w:t>
      </w:r>
      <w:r>
        <w:rPr>
          <w:sz w:val="24"/>
        </w:rPr>
        <w:t>激光经纬仪</w:t>
      </w:r>
      <w:r>
        <w:rPr>
          <w:rFonts w:hint="eastAsia"/>
          <w:sz w:val="24"/>
        </w:rPr>
        <w:t>作为定位</w:t>
      </w:r>
      <w:r>
        <w:rPr>
          <w:sz w:val="24"/>
        </w:rPr>
        <w:t>导向装置。</w:t>
      </w:r>
    </w:p>
    <w:p>
      <w:pPr>
        <w:spacing w:line="440" w:lineRule="exact"/>
        <w:rPr>
          <w:sz w:val="24"/>
        </w:rPr>
      </w:pPr>
      <w:r>
        <w:rPr>
          <w:rFonts w:hint="eastAsia"/>
          <w:b/>
          <w:bCs/>
          <w:sz w:val="24"/>
        </w:rPr>
        <w:t>5.</w:t>
      </w:r>
      <w:r>
        <w:rPr>
          <w:b/>
          <w:bCs/>
          <w:sz w:val="24"/>
        </w:rPr>
        <w:t>3</w:t>
      </w:r>
      <w:r>
        <w:rPr>
          <w:rFonts w:hint="eastAsia"/>
          <w:b/>
          <w:bCs/>
          <w:sz w:val="24"/>
        </w:rPr>
        <w:t>.4</w:t>
      </w:r>
      <w:r>
        <w:rPr>
          <w:rFonts w:hint="eastAsia"/>
          <w:sz w:val="24"/>
        </w:rPr>
        <w:t xml:space="preserve">  机械顶管法施工设备选型及配置应符合下列规定：</w:t>
      </w:r>
    </w:p>
    <w:p>
      <w:pPr>
        <w:spacing w:line="440" w:lineRule="exact"/>
        <w:ind w:firstLine="361" w:firstLineChars="150"/>
        <w:rPr>
          <w:sz w:val="24"/>
        </w:rPr>
      </w:pPr>
      <w:r>
        <w:rPr>
          <w:rFonts w:hint="eastAsia"/>
          <w:b/>
          <w:bCs/>
          <w:sz w:val="24"/>
        </w:rPr>
        <w:t>1</w:t>
      </w:r>
      <w:r>
        <w:rPr>
          <w:rFonts w:hint="eastAsia"/>
          <w:sz w:val="24"/>
        </w:rPr>
        <w:t xml:space="preserve">  机械顶管法施工</w:t>
      </w:r>
      <w:r>
        <w:rPr>
          <w:sz w:val="24"/>
        </w:rPr>
        <w:t>适用于大多数的岩层与土层施工</w:t>
      </w:r>
      <w:r>
        <w:rPr>
          <w:rFonts w:hint="eastAsia"/>
          <w:sz w:val="24"/>
        </w:rPr>
        <w:t>，其</w:t>
      </w:r>
      <w:r>
        <w:rPr>
          <w:sz w:val="24"/>
        </w:rPr>
        <w:t>选用</w:t>
      </w:r>
      <w:r>
        <w:rPr>
          <w:rFonts w:hint="eastAsia"/>
          <w:sz w:val="24"/>
        </w:rPr>
        <w:t>应符合下列规定：</w:t>
      </w:r>
    </w:p>
    <w:p>
      <w:pPr>
        <w:spacing w:line="440" w:lineRule="exact"/>
        <w:ind w:firstLine="723" w:firstLineChars="300"/>
        <w:rPr>
          <w:sz w:val="24"/>
        </w:rPr>
      </w:pPr>
      <w:r>
        <w:rPr>
          <w:rFonts w:hint="eastAsia"/>
          <w:b/>
          <w:bCs/>
          <w:sz w:val="24"/>
        </w:rPr>
        <w:t>1）</w:t>
      </w:r>
      <w:r>
        <w:rPr>
          <w:rFonts w:hint="eastAsia"/>
          <w:sz w:val="24"/>
        </w:rPr>
        <w:t>在黏土层中需要控制地面隆陷时，宜采用土压平衡顶管机；</w:t>
      </w:r>
    </w:p>
    <w:p>
      <w:pPr>
        <w:spacing w:line="440" w:lineRule="exact"/>
        <w:ind w:firstLine="723" w:firstLineChars="300"/>
        <w:rPr>
          <w:sz w:val="24"/>
        </w:rPr>
      </w:pPr>
      <w:r>
        <w:rPr>
          <w:rFonts w:hint="eastAsia"/>
          <w:b/>
          <w:bCs/>
          <w:sz w:val="24"/>
        </w:rPr>
        <w:t>2）</w:t>
      </w:r>
      <w:r>
        <w:rPr>
          <w:rFonts w:hint="eastAsia"/>
          <w:sz w:val="24"/>
        </w:rPr>
        <w:t>在粉砂土层中需要控制地面隆陷时，宜采用泥水平衡顶管机；</w:t>
      </w:r>
    </w:p>
    <w:p>
      <w:pPr>
        <w:spacing w:line="440" w:lineRule="exact"/>
        <w:ind w:firstLine="723" w:firstLineChars="300"/>
        <w:rPr>
          <w:sz w:val="24"/>
        </w:rPr>
      </w:pPr>
      <w:r>
        <w:rPr>
          <w:rFonts w:hint="eastAsia"/>
          <w:b/>
          <w:bCs/>
          <w:sz w:val="24"/>
        </w:rPr>
        <w:t>3）</w:t>
      </w:r>
      <w:r>
        <w:rPr>
          <w:rFonts w:hint="eastAsia"/>
          <w:sz w:val="24"/>
        </w:rPr>
        <w:t>在卵砾石、节理裂隙及地下水发育的破碎岩石中顶进时宜采用泥水平衡顶管机；</w:t>
      </w:r>
    </w:p>
    <w:p>
      <w:pPr>
        <w:spacing w:line="440" w:lineRule="exact"/>
        <w:ind w:firstLine="723" w:firstLineChars="300"/>
        <w:rPr>
          <w:sz w:val="24"/>
        </w:rPr>
      </w:pPr>
      <w:r>
        <w:rPr>
          <w:rFonts w:hint="eastAsia"/>
          <w:b/>
          <w:bCs/>
          <w:sz w:val="24"/>
        </w:rPr>
        <w:t>4）</w:t>
      </w:r>
      <w:r>
        <w:rPr>
          <w:rFonts w:hint="eastAsia"/>
          <w:sz w:val="24"/>
        </w:rPr>
        <w:t>在全断面岩层顶进时，应采用封闭式岩盘泥水平衡顶管机。</w:t>
      </w:r>
    </w:p>
    <w:p>
      <w:pPr>
        <w:spacing w:line="440" w:lineRule="exact"/>
        <w:ind w:firstLine="723" w:firstLineChars="300"/>
        <w:rPr>
          <w:sz w:val="24"/>
        </w:rPr>
      </w:pPr>
      <w:r>
        <w:rPr>
          <w:rFonts w:hint="eastAsia"/>
          <w:b/>
          <w:bCs/>
          <w:sz w:val="24"/>
        </w:rPr>
        <w:t>5）</w:t>
      </w:r>
      <w:r>
        <w:rPr>
          <w:rFonts w:hint="eastAsia"/>
          <w:sz w:val="24"/>
        </w:rPr>
        <w:t>当穿越多种复杂地层时，应综合选用相适应的顶管机。</w:t>
      </w:r>
    </w:p>
    <w:p>
      <w:pPr>
        <w:spacing w:line="440" w:lineRule="exact"/>
        <w:ind w:firstLine="361" w:firstLineChars="150"/>
        <w:rPr>
          <w:sz w:val="24"/>
        </w:rPr>
      </w:pPr>
      <w:r>
        <w:rPr>
          <w:b/>
          <w:bCs/>
          <w:sz w:val="24"/>
        </w:rPr>
        <w:t xml:space="preserve">2  </w:t>
      </w:r>
      <w:r>
        <w:rPr>
          <w:rFonts w:hint="eastAsia"/>
          <w:sz w:val="24"/>
        </w:rPr>
        <w:t>顶管机顶进总顶力可按下式计算：</w:t>
      </w:r>
    </w:p>
    <w:p>
      <w:pPr>
        <w:jc w:val="center"/>
        <w:rPr>
          <w:sz w:val="24"/>
        </w:rPr>
      </w:pPr>
      <m:oMath>
        <m:sSub>
          <m:sSubPr>
            <m:ctrlPr>
              <w:rPr>
                <w:rFonts w:ascii="Cambria Math" w:hAnsi="Cambria Math"/>
                <w:sz w:val="24"/>
              </w:rPr>
            </m:ctrlPr>
          </m:sSubPr>
          <m:e>
            <m:r>
              <m:rPr/>
              <w:rPr>
                <w:rFonts w:ascii="Cambria Math" w:hAnsi="Cambria Math"/>
                <w:sz w:val="24"/>
              </w:rPr>
              <m:t>F</m:t>
            </m:r>
            <m:ctrlPr>
              <w:rPr>
                <w:rFonts w:ascii="Cambria Math" w:hAnsi="Cambria Math"/>
                <w:sz w:val="24"/>
              </w:rPr>
            </m:ctrlPr>
          </m:e>
          <m:sub>
            <m:r>
              <m:rPr/>
              <w:rPr>
                <w:rFonts w:ascii="Cambria Math" w:hAnsi="Cambria Math"/>
                <w:sz w:val="24"/>
              </w:rPr>
              <m:t>0</m:t>
            </m:r>
            <m:ctrlPr>
              <w:rPr>
                <w:rFonts w:ascii="Cambria Math" w:hAnsi="Cambria Math"/>
                <w:sz w:val="24"/>
              </w:rPr>
            </m:ctrlPr>
          </m:sub>
        </m:sSub>
        <m:r>
          <m:rPr/>
          <w:rPr>
            <w:rFonts w:ascii="Cambria Math" w:hAnsi="Cambria Math"/>
            <w:sz w:val="24"/>
          </w:rPr>
          <m:t>=π</m:t>
        </m:r>
        <m:sSub>
          <m:sSubPr>
            <m:ctrlPr>
              <w:rPr>
                <w:rFonts w:ascii="Cambria Math" w:hAnsi="Cambria Math"/>
                <w:i/>
                <w:sz w:val="24"/>
              </w:rPr>
            </m:ctrlPr>
          </m:sSubPr>
          <m:e>
            <m:r>
              <m:rPr/>
              <w:rPr>
                <w:rFonts w:ascii="Cambria Math" w:hAnsi="Cambria Math"/>
                <w:sz w:val="24"/>
              </w:rPr>
              <m:t>D</m:t>
            </m:r>
            <m:ctrlPr>
              <w:rPr>
                <w:rFonts w:ascii="Cambria Math" w:hAnsi="Cambria Math"/>
                <w:i/>
                <w:sz w:val="24"/>
              </w:rPr>
            </m:ctrlPr>
          </m:e>
          <m:sub>
            <m:r>
              <m:rPr/>
              <w:rPr>
                <w:rFonts w:ascii="Cambria Math" w:hAnsi="Cambria Math"/>
                <w:sz w:val="24"/>
              </w:rPr>
              <m:t>1</m:t>
            </m:r>
            <m:ctrlPr>
              <w:rPr>
                <w:rFonts w:ascii="Cambria Math" w:hAnsi="Cambria Math"/>
                <w:i/>
                <w:sz w:val="24"/>
              </w:rPr>
            </m:ctrlPr>
          </m:sub>
        </m:sSub>
        <m:r>
          <m:rPr/>
          <w:rPr>
            <w:rFonts w:ascii="Cambria Math" w:hAnsi="Cambria Math"/>
            <w:sz w:val="24"/>
          </w:rPr>
          <m:t>L</m:t>
        </m:r>
        <m:sSub>
          <m:sSubPr>
            <m:ctrlPr>
              <w:rPr>
                <w:rFonts w:ascii="Cambria Math" w:hAnsi="Cambria Math"/>
                <w:i/>
                <w:sz w:val="24"/>
              </w:rPr>
            </m:ctrlPr>
          </m:sSubPr>
          <m:e>
            <m:r>
              <m:rPr/>
              <w:rPr>
                <w:rFonts w:ascii="Cambria Math" w:hAnsi="Cambria Math"/>
                <w:sz w:val="24"/>
              </w:rPr>
              <m:t>f</m:t>
            </m:r>
            <m:ctrlPr>
              <w:rPr>
                <w:rFonts w:ascii="Cambria Math" w:hAnsi="Cambria Math"/>
                <w:i/>
                <w:sz w:val="24"/>
              </w:rPr>
            </m:ctrlPr>
          </m:e>
          <m:sub>
            <m:r>
              <m:rPr/>
              <w:rPr>
                <w:rFonts w:ascii="Cambria Math" w:hAnsi="Cambria Math"/>
                <w:sz w:val="24"/>
              </w:rPr>
              <m:t>k</m:t>
            </m:r>
            <m:ctrlPr>
              <w:rPr>
                <w:rFonts w:ascii="Cambria Math" w:hAnsi="Cambria Math"/>
                <w:i/>
                <w:sz w:val="24"/>
              </w:rPr>
            </m:ctrlPr>
          </m:sub>
        </m:sSub>
        <m:r>
          <m:rPr/>
          <w:rPr>
            <w:rFonts w:ascii="Cambria Math" w:hAnsi="Cambria Math"/>
            <w:sz w:val="24"/>
          </w:rPr>
          <m:t>+</m:t>
        </m:r>
        <m:sSub>
          <m:sSubPr>
            <m:ctrlPr>
              <w:rPr>
                <w:rFonts w:ascii="Cambria Math" w:hAnsi="Cambria Math"/>
                <w:i/>
                <w:sz w:val="24"/>
              </w:rPr>
            </m:ctrlPr>
          </m:sSubPr>
          <m:e>
            <m:r>
              <m:rPr/>
              <w:rPr>
                <w:rFonts w:ascii="Cambria Math" w:hAnsi="Cambria Math"/>
                <w:sz w:val="24"/>
              </w:rPr>
              <m:t>P</m:t>
            </m:r>
            <m:ctrlPr>
              <w:rPr>
                <w:rFonts w:ascii="Cambria Math" w:hAnsi="Cambria Math"/>
                <w:i/>
                <w:sz w:val="24"/>
              </w:rPr>
            </m:ctrlPr>
          </m:e>
          <m:sub>
            <m:r>
              <m:rPr/>
              <w:rPr>
                <w:rFonts w:ascii="Cambria Math" w:hAnsi="Cambria Math"/>
                <w:sz w:val="24"/>
              </w:rPr>
              <m:t>F</m:t>
            </m:r>
            <m:ctrlPr>
              <w:rPr>
                <w:rFonts w:ascii="Cambria Math" w:hAnsi="Cambria Math"/>
                <w:i/>
                <w:sz w:val="24"/>
              </w:rPr>
            </m:ctrlPr>
          </m:sub>
        </m:sSub>
      </m:oMath>
      <w:r>
        <w:rPr>
          <w:rFonts w:hint="eastAsia"/>
          <w:sz w:val="24"/>
        </w:rPr>
        <w:t xml:space="preserve"> </w:t>
      </w:r>
      <w:r>
        <w:rPr>
          <w:sz w:val="24"/>
        </w:rPr>
        <w:t xml:space="preserve">                           </w:t>
      </w:r>
      <w:r>
        <w:rPr>
          <w:rFonts w:hint="eastAsia"/>
          <w:sz w:val="24"/>
        </w:rPr>
        <w:t>（5</w:t>
      </w:r>
      <w:r>
        <w:rPr>
          <w:sz w:val="24"/>
        </w:rPr>
        <w:t>.3.4</w:t>
      </w:r>
      <w:r>
        <w:rPr>
          <w:rFonts w:hint="eastAsia"/>
          <w:sz w:val="24"/>
        </w:rPr>
        <w:t>）</w:t>
      </w:r>
    </w:p>
    <w:p>
      <w:pPr>
        <w:autoSpaceDE w:val="0"/>
        <w:autoSpaceDN w:val="0"/>
        <w:adjustRightInd w:val="0"/>
        <w:spacing w:line="440" w:lineRule="exact"/>
        <w:jc w:val="left"/>
        <w:rPr>
          <w:kern w:val="0"/>
          <w:sz w:val="24"/>
        </w:rPr>
      </w:pPr>
      <w:r>
        <w:rPr>
          <w:rFonts w:hint="eastAsia"/>
          <w:kern w:val="0"/>
          <w:sz w:val="24"/>
        </w:rPr>
        <w:t>式</w:t>
      </w:r>
      <w:r>
        <w:rPr>
          <w:kern w:val="0"/>
          <w:sz w:val="24"/>
        </w:rPr>
        <w:t>中：</w:t>
      </w:r>
      <m:oMath>
        <m:sSub>
          <m:sSubPr>
            <m:ctrlPr>
              <w:rPr>
                <w:rFonts w:ascii="Cambria Math" w:hAnsi="Cambria Math"/>
                <w:kern w:val="0"/>
                <w:sz w:val="24"/>
              </w:rPr>
            </m:ctrlPr>
          </m:sSubPr>
          <m:e>
            <m:r>
              <m:rPr>
                <m:sty m:val="p"/>
              </m:rPr>
              <w:rPr>
                <w:rFonts w:ascii="Cambria Math" w:hAnsi="Cambria Math"/>
                <w:kern w:val="0"/>
                <w:sz w:val="24"/>
              </w:rPr>
              <m:t>D</m:t>
            </m:r>
            <m:ctrlPr>
              <w:rPr>
                <w:rFonts w:ascii="Cambria Math" w:hAnsi="Cambria Math"/>
                <w:kern w:val="0"/>
                <w:sz w:val="24"/>
              </w:rPr>
            </m:ctrlPr>
          </m:e>
          <m:sub>
            <m:r>
              <m:rPr>
                <m:sty m:val="p"/>
              </m:rPr>
              <w:rPr>
                <w:rFonts w:ascii="Cambria Math" w:hAnsi="Cambria Math"/>
                <w:kern w:val="0"/>
                <w:sz w:val="24"/>
              </w:rPr>
              <m:t>1</m:t>
            </m:r>
            <m:ctrlPr>
              <w:rPr>
                <w:rFonts w:ascii="Cambria Math" w:hAnsi="Cambria Math"/>
                <w:kern w:val="0"/>
                <w:sz w:val="24"/>
              </w:rPr>
            </m:ctrlPr>
          </m:sub>
        </m:sSub>
      </m:oMath>
      <w:r>
        <w:rPr>
          <w:rFonts w:hint="eastAsia"/>
          <w:kern w:val="0"/>
          <w:sz w:val="24"/>
        </w:rPr>
        <w:t>——管道</w:t>
      </w:r>
      <w:r>
        <w:rPr>
          <w:kern w:val="0"/>
          <w:sz w:val="24"/>
        </w:rPr>
        <w:t>外径（</w:t>
      </w:r>
      <w:r>
        <w:rPr>
          <w:rFonts w:hint="eastAsia"/>
          <w:kern w:val="0"/>
          <w:sz w:val="24"/>
        </w:rPr>
        <w:t>m</w:t>
      </w:r>
      <w:r>
        <w:rPr>
          <w:kern w:val="0"/>
          <w:sz w:val="24"/>
        </w:rPr>
        <w:t>）</w:t>
      </w:r>
      <w:r>
        <w:rPr>
          <w:rFonts w:hint="eastAsia"/>
          <w:kern w:val="0"/>
          <w:sz w:val="24"/>
        </w:rPr>
        <w:t>；</w:t>
      </w:r>
    </w:p>
    <w:p>
      <w:pPr>
        <w:autoSpaceDE w:val="0"/>
        <w:autoSpaceDN w:val="0"/>
        <w:adjustRightInd w:val="0"/>
        <w:spacing w:line="440" w:lineRule="exact"/>
        <w:ind w:firstLine="720" w:firstLineChars="300"/>
        <w:jc w:val="left"/>
        <w:rPr>
          <w:kern w:val="0"/>
          <w:sz w:val="24"/>
        </w:rPr>
      </w:pPr>
      <m:oMath>
        <m:sSub>
          <m:sSubPr>
            <m:ctrlPr>
              <w:rPr>
                <w:rFonts w:ascii="Cambria Math" w:hAnsi="Cambria Math"/>
                <w:kern w:val="0"/>
                <w:sz w:val="24"/>
              </w:rPr>
            </m:ctrlPr>
          </m:sSubPr>
          <m:e>
            <m:r>
              <m:rPr>
                <m:sty m:val="p"/>
              </m:rPr>
              <w:rPr>
                <w:rFonts w:ascii="Cambria Math" w:hAnsi="Cambria Math"/>
                <w:kern w:val="0"/>
                <w:sz w:val="24"/>
              </w:rPr>
              <m:t>f</m:t>
            </m:r>
            <m:ctrlPr>
              <w:rPr>
                <w:rFonts w:ascii="Cambria Math" w:hAnsi="Cambria Math"/>
                <w:kern w:val="0"/>
                <w:sz w:val="24"/>
              </w:rPr>
            </m:ctrlPr>
          </m:e>
          <m:sub>
            <m:r>
              <m:rPr>
                <m:sty m:val="p"/>
              </m:rPr>
              <w:rPr>
                <w:rFonts w:ascii="Cambria Math" w:hAnsi="Cambria Math"/>
                <w:kern w:val="0"/>
                <w:sz w:val="24"/>
              </w:rPr>
              <m:t>k</m:t>
            </m:r>
            <m:ctrlPr>
              <w:rPr>
                <w:rFonts w:ascii="Cambria Math" w:hAnsi="Cambria Math"/>
                <w:kern w:val="0"/>
                <w:sz w:val="24"/>
              </w:rPr>
            </m:ctrlPr>
          </m:sub>
        </m:sSub>
      </m:oMath>
      <w:r>
        <w:rPr>
          <w:rFonts w:hint="eastAsia"/>
          <w:kern w:val="0"/>
          <w:sz w:val="24"/>
        </w:rPr>
        <w:t>——触变</w:t>
      </w:r>
      <w:r>
        <w:rPr>
          <w:kern w:val="0"/>
          <w:sz w:val="24"/>
        </w:rPr>
        <w:t>泥浆减阻</w:t>
      </w:r>
      <w:r>
        <w:rPr>
          <w:rFonts w:hint="eastAsia"/>
          <w:kern w:val="0"/>
          <w:sz w:val="24"/>
        </w:rPr>
        <w:t>管壁</w:t>
      </w:r>
      <w:r>
        <w:rPr>
          <w:kern w:val="0"/>
          <w:sz w:val="24"/>
        </w:rPr>
        <w:t>与土的平局摩阻力（</w:t>
      </w:r>
      <w:r>
        <w:rPr>
          <w:rFonts w:hint="eastAsia"/>
          <w:kern w:val="0"/>
          <w:sz w:val="24"/>
        </w:rPr>
        <w:t>KN/</w:t>
      </w:r>
      <m:oMath>
        <m:sSup>
          <m:sSupPr>
            <m:ctrlPr>
              <w:rPr>
                <w:rFonts w:ascii="Cambria Math" w:hAnsi="Cambria Math"/>
                <w:kern w:val="0"/>
                <w:sz w:val="24"/>
              </w:rPr>
            </m:ctrlPr>
          </m:sSupPr>
          <m:e>
            <m:r>
              <m:rPr>
                <m:sty m:val="p"/>
              </m:rPr>
              <w:rPr>
                <w:rFonts w:ascii="Cambria Math" w:hAnsi="Cambria Math"/>
                <w:kern w:val="0"/>
                <w:sz w:val="24"/>
              </w:rPr>
              <m:t>m</m:t>
            </m:r>
            <m:ctrlPr>
              <w:rPr>
                <w:rFonts w:ascii="Cambria Math" w:hAnsi="Cambria Math"/>
                <w:kern w:val="0"/>
                <w:sz w:val="24"/>
              </w:rPr>
            </m:ctrlPr>
          </m:e>
          <m:sup>
            <m:r>
              <m:rPr>
                <m:sty m:val="p"/>
              </m:rPr>
              <w:rPr>
                <w:rFonts w:ascii="Cambria Math" w:hAnsi="Cambria Math"/>
                <w:kern w:val="0"/>
                <w:sz w:val="24"/>
              </w:rPr>
              <m:t>2</m:t>
            </m:r>
            <m:ctrlPr>
              <w:rPr>
                <w:rFonts w:ascii="Cambria Math" w:hAnsi="Cambria Math"/>
                <w:kern w:val="0"/>
                <w:sz w:val="24"/>
              </w:rPr>
            </m:ctrlPr>
          </m:sup>
        </m:sSup>
      </m:oMath>
      <w:r>
        <w:rPr>
          <w:kern w:val="0"/>
          <w:sz w:val="24"/>
        </w:rPr>
        <w:t>）</w:t>
      </w:r>
      <w:r>
        <w:rPr>
          <w:rFonts w:hint="eastAsia"/>
          <w:kern w:val="0"/>
          <w:sz w:val="24"/>
        </w:rPr>
        <w:t>，</w:t>
      </w:r>
      <w:r>
        <w:rPr>
          <w:kern w:val="0"/>
          <w:sz w:val="24"/>
        </w:rPr>
        <w:t>可按表</w:t>
      </w:r>
      <w:r>
        <w:rPr>
          <w:rFonts w:hint="eastAsia"/>
          <w:kern w:val="0"/>
          <w:sz w:val="24"/>
        </w:rPr>
        <w:t>5.</w:t>
      </w:r>
      <w:r>
        <w:rPr>
          <w:kern w:val="0"/>
          <w:sz w:val="24"/>
        </w:rPr>
        <w:t>3</w:t>
      </w:r>
      <w:r>
        <w:rPr>
          <w:rFonts w:hint="eastAsia"/>
          <w:kern w:val="0"/>
          <w:sz w:val="24"/>
        </w:rPr>
        <w:t>.</w:t>
      </w:r>
      <w:r>
        <w:rPr>
          <w:kern w:val="0"/>
          <w:sz w:val="24"/>
        </w:rPr>
        <w:t>4</w:t>
      </w:r>
      <w:r>
        <w:rPr>
          <w:rFonts w:hint="eastAsia"/>
          <w:kern w:val="0"/>
          <w:sz w:val="24"/>
        </w:rPr>
        <w:t>选用；</w:t>
      </w:r>
    </w:p>
    <w:p>
      <w:pPr>
        <w:autoSpaceDE w:val="0"/>
        <w:autoSpaceDN w:val="0"/>
        <w:adjustRightInd w:val="0"/>
        <w:spacing w:line="440" w:lineRule="exact"/>
        <w:ind w:firstLine="720" w:firstLineChars="300"/>
        <w:jc w:val="left"/>
        <w:rPr>
          <w:kern w:val="0"/>
          <w:sz w:val="24"/>
        </w:rPr>
      </w:pPr>
      <m:oMath>
        <m:sSub>
          <m:sSubPr>
            <m:ctrlPr>
              <w:rPr>
                <w:rFonts w:ascii="Cambria Math" w:hAnsi="Cambria Math"/>
                <w:kern w:val="0"/>
                <w:sz w:val="24"/>
              </w:rPr>
            </m:ctrlPr>
          </m:sSubPr>
          <m:e>
            <m:r>
              <m:rPr>
                <m:sty m:val="p"/>
              </m:rPr>
              <w:rPr>
                <w:rFonts w:ascii="Cambria Math" w:hAnsi="Cambria Math"/>
                <w:kern w:val="0"/>
                <w:sz w:val="24"/>
              </w:rPr>
              <m:t>P</m:t>
            </m:r>
            <m:ctrlPr>
              <w:rPr>
                <w:rFonts w:ascii="Cambria Math" w:hAnsi="Cambria Math"/>
                <w:kern w:val="0"/>
                <w:sz w:val="24"/>
              </w:rPr>
            </m:ctrlPr>
          </m:e>
          <m:sub>
            <m:r>
              <m:rPr>
                <m:sty m:val="p"/>
              </m:rPr>
              <w:rPr>
                <w:rFonts w:ascii="Cambria Math" w:hAnsi="Cambria Math"/>
                <w:kern w:val="0"/>
                <w:sz w:val="24"/>
              </w:rPr>
              <m:t>F</m:t>
            </m:r>
            <m:ctrlPr>
              <w:rPr>
                <w:rFonts w:ascii="Cambria Math" w:hAnsi="Cambria Math"/>
                <w:kern w:val="0"/>
                <w:sz w:val="24"/>
              </w:rPr>
            </m:ctrlPr>
          </m:sub>
        </m:sSub>
      </m:oMath>
      <w:r>
        <w:rPr>
          <w:rFonts w:hint="eastAsia"/>
          <w:kern w:val="0"/>
          <w:sz w:val="24"/>
        </w:rPr>
        <w:t>——顶管机</w:t>
      </w:r>
      <w:r>
        <w:rPr>
          <w:kern w:val="0"/>
          <w:sz w:val="24"/>
        </w:rPr>
        <w:t>迎面阻力，可按</w:t>
      </w:r>
      <w:r>
        <w:rPr>
          <w:rFonts w:hint="eastAsia"/>
          <w:kern w:val="0"/>
          <w:sz w:val="24"/>
        </w:rPr>
        <w:t>5.4.2</w:t>
      </w:r>
      <w:r>
        <w:rPr>
          <w:kern w:val="0"/>
          <w:sz w:val="24"/>
        </w:rPr>
        <w:t>.1</w:t>
      </w:r>
      <w:r>
        <w:rPr>
          <w:rFonts w:hint="eastAsia"/>
          <w:kern w:val="0"/>
          <w:sz w:val="24"/>
        </w:rPr>
        <w:t>计算</w:t>
      </w:r>
      <w:r>
        <w:rPr>
          <w:kern w:val="0"/>
          <w:sz w:val="24"/>
        </w:rPr>
        <w:t>；</w:t>
      </w:r>
    </w:p>
    <w:p>
      <w:pPr>
        <w:autoSpaceDE w:val="0"/>
        <w:autoSpaceDN w:val="0"/>
        <w:adjustRightInd w:val="0"/>
        <w:spacing w:line="440" w:lineRule="exact"/>
        <w:ind w:firstLine="720" w:firstLineChars="300"/>
        <w:jc w:val="left"/>
        <w:rPr>
          <w:kern w:val="0"/>
          <w:sz w:val="24"/>
        </w:rPr>
      </w:pPr>
      <w:r>
        <w:rPr>
          <w:rFonts w:hint="eastAsia"/>
          <w:kern w:val="0"/>
          <w:sz w:val="24"/>
        </w:rPr>
        <w:t>L</w:t>
      </w:r>
      <w:r>
        <w:rPr>
          <w:kern w:val="0"/>
          <w:sz w:val="24"/>
        </w:rPr>
        <w:t>——</w:t>
      </w:r>
      <w:r>
        <w:rPr>
          <w:rFonts w:hint="eastAsia"/>
          <w:kern w:val="0"/>
          <w:sz w:val="24"/>
        </w:rPr>
        <w:t>管道顶进</w:t>
      </w:r>
      <w:r>
        <w:rPr>
          <w:kern w:val="0"/>
          <w:sz w:val="24"/>
        </w:rPr>
        <w:t>长度</w:t>
      </w:r>
      <w:r>
        <w:rPr>
          <w:rFonts w:hint="eastAsia"/>
          <w:kern w:val="0"/>
          <w:sz w:val="24"/>
        </w:rPr>
        <w:t>。</w:t>
      </w:r>
    </w:p>
    <w:p>
      <w:pPr>
        <w:spacing w:before="156" w:beforeLines="50"/>
        <w:jc w:val="center"/>
        <w:rPr>
          <w:rFonts w:eastAsia="黑体"/>
          <w:bCs/>
          <w:kern w:val="0"/>
          <w:szCs w:val="21"/>
        </w:rPr>
      </w:pPr>
      <w:r>
        <w:rPr>
          <w:rFonts w:hint="eastAsia" w:eastAsia="黑体"/>
          <w:bCs/>
          <w:kern w:val="0"/>
          <w:szCs w:val="21"/>
        </w:rPr>
        <w:t>表5.</w:t>
      </w:r>
      <w:r>
        <w:rPr>
          <w:rFonts w:eastAsia="黑体"/>
          <w:bCs/>
          <w:kern w:val="0"/>
          <w:szCs w:val="21"/>
        </w:rPr>
        <w:t>3</w:t>
      </w:r>
      <w:r>
        <w:rPr>
          <w:rFonts w:hint="eastAsia" w:eastAsia="黑体"/>
          <w:bCs/>
          <w:kern w:val="0"/>
          <w:szCs w:val="21"/>
        </w:rPr>
        <w:t>.</w:t>
      </w:r>
      <w:r>
        <w:rPr>
          <w:rFonts w:eastAsia="黑体"/>
          <w:bCs/>
          <w:kern w:val="0"/>
          <w:szCs w:val="21"/>
        </w:rPr>
        <w:t>4</w:t>
      </w:r>
      <w:r>
        <w:rPr>
          <w:rFonts w:hint="eastAsia" w:eastAsia="黑体"/>
          <w:bCs/>
          <w:kern w:val="0"/>
          <w:szCs w:val="21"/>
        </w:rPr>
        <w:t xml:space="preserve">  触变泥浆减阻管壁与土的平局摩阻力（kN/</w:t>
      </w:r>
      <m:oMath>
        <m:sSup>
          <m:sSupPr>
            <m:ctrlPr>
              <w:rPr>
                <w:rFonts w:hint="eastAsia" w:ascii="Cambria Math" w:hAnsi="Cambria Math" w:eastAsia="黑体"/>
                <w:bCs/>
                <w:kern w:val="0"/>
                <w:szCs w:val="21"/>
              </w:rPr>
            </m:ctrlPr>
          </m:sSupPr>
          <m:e>
            <m:r>
              <m:rPr>
                <m:sty m:val="p"/>
              </m:rPr>
              <w:rPr>
                <w:rFonts w:hint="eastAsia" w:ascii="Cambria Math" w:hAnsi="Cambria Math" w:eastAsia="黑体"/>
                <w:kern w:val="0"/>
                <w:szCs w:val="21"/>
              </w:rPr>
              <m:t>m</m:t>
            </m:r>
            <m:ctrlPr>
              <w:rPr>
                <w:rFonts w:hint="eastAsia" w:ascii="Cambria Math" w:hAnsi="Cambria Math" w:eastAsia="黑体"/>
                <w:bCs/>
                <w:kern w:val="0"/>
                <w:szCs w:val="21"/>
              </w:rPr>
            </m:ctrlPr>
          </m:e>
          <m:sup>
            <m:r>
              <m:rPr>
                <m:sty m:val="p"/>
              </m:rPr>
              <w:rPr>
                <w:rFonts w:hint="eastAsia" w:ascii="Cambria Math" w:hAnsi="Cambria Math" w:eastAsia="黑体"/>
                <w:kern w:val="0"/>
                <w:szCs w:val="21"/>
              </w:rPr>
              <m:t>2</m:t>
            </m:r>
            <m:ctrlPr>
              <w:rPr>
                <w:rFonts w:hint="eastAsia" w:ascii="Cambria Math" w:hAnsi="Cambria Math" w:eastAsia="黑体"/>
                <w:bCs/>
                <w:kern w:val="0"/>
                <w:szCs w:val="21"/>
              </w:rPr>
            </m:ctrlPr>
          </m:sup>
        </m:sSup>
      </m:oMath>
      <w:r>
        <w:rPr>
          <w:rFonts w:hint="eastAsia" w:eastAsia="黑体"/>
          <w:bCs/>
          <w:kern w:val="0"/>
          <w:szCs w:val="21"/>
        </w:rPr>
        <w:t>）</w:t>
      </w:r>
    </w:p>
    <w:tbl>
      <w:tblPr>
        <w:tblStyle w:val="1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4"/>
        <w:gridCol w:w="1128"/>
        <w:gridCol w:w="916"/>
        <w:gridCol w:w="916"/>
        <w:gridCol w:w="917"/>
        <w:gridCol w:w="917"/>
        <w:gridCol w:w="917"/>
        <w:gridCol w:w="917"/>
        <w:gridCol w:w="9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0" w:hRule="atLeast"/>
          <w:jc w:val="center"/>
        </w:trPr>
        <w:tc>
          <w:tcPr>
            <w:tcW w:w="1832" w:type="dxa"/>
            <w:gridSpan w:val="2"/>
          </w:tcPr>
          <w:p>
            <w:pPr>
              <w:jc w:val="center"/>
              <w:rPr>
                <w:bCs/>
                <w:szCs w:val="20"/>
              </w:rPr>
            </w:pPr>
            <w:r>
              <w:rPr>
                <w:rFonts w:hint="eastAsia"/>
                <w:bCs/>
                <w:szCs w:val="20"/>
              </w:rPr>
              <w:t>土的种类</w:t>
            </w:r>
          </w:p>
        </w:tc>
        <w:tc>
          <w:tcPr>
            <w:tcW w:w="916" w:type="dxa"/>
          </w:tcPr>
          <w:p>
            <w:pPr>
              <w:jc w:val="center"/>
              <w:rPr>
                <w:bCs/>
                <w:szCs w:val="20"/>
              </w:rPr>
            </w:pPr>
            <w:r>
              <w:rPr>
                <w:rFonts w:hint="eastAsia"/>
                <w:bCs/>
                <w:szCs w:val="20"/>
              </w:rPr>
              <w:t>软黏土</w:t>
            </w:r>
          </w:p>
        </w:tc>
        <w:tc>
          <w:tcPr>
            <w:tcW w:w="916" w:type="dxa"/>
          </w:tcPr>
          <w:p>
            <w:pPr>
              <w:jc w:val="center"/>
              <w:rPr>
                <w:bCs/>
                <w:szCs w:val="20"/>
              </w:rPr>
            </w:pPr>
            <w:r>
              <w:rPr>
                <w:rFonts w:hint="eastAsia"/>
                <w:bCs/>
                <w:szCs w:val="20"/>
              </w:rPr>
              <w:t>粉性土</w:t>
            </w:r>
          </w:p>
        </w:tc>
        <w:tc>
          <w:tcPr>
            <w:tcW w:w="917" w:type="dxa"/>
          </w:tcPr>
          <w:p>
            <w:pPr>
              <w:jc w:val="center"/>
              <w:rPr>
                <w:bCs/>
                <w:szCs w:val="20"/>
              </w:rPr>
            </w:pPr>
            <w:r>
              <w:rPr>
                <w:rFonts w:hint="eastAsia"/>
                <w:bCs/>
                <w:szCs w:val="20"/>
              </w:rPr>
              <w:t>粉细土</w:t>
            </w:r>
          </w:p>
        </w:tc>
        <w:tc>
          <w:tcPr>
            <w:tcW w:w="917" w:type="dxa"/>
          </w:tcPr>
          <w:p>
            <w:pPr>
              <w:jc w:val="center"/>
              <w:rPr>
                <w:bCs/>
                <w:szCs w:val="20"/>
              </w:rPr>
            </w:pPr>
            <w:r>
              <w:rPr>
                <w:rFonts w:hint="eastAsia"/>
                <w:bCs/>
                <w:szCs w:val="20"/>
              </w:rPr>
              <w:t>中粗砂</w:t>
            </w:r>
          </w:p>
        </w:tc>
        <w:tc>
          <w:tcPr>
            <w:tcW w:w="917" w:type="dxa"/>
          </w:tcPr>
          <w:p>
            <w:pPr>
              <w:jc w:val="center"/>
              <w:rPr>
                <w:bCs/>
                <w:szCs w:val="20"/>
              </w:rPr>
            </w:pPr>
            <w:r>
              <w:rPr>
                <w:rFonts w:hint="eastAsia"/>
                <w:bCs/>
                <w:szCs w:val="20"/>
              </w:rPr>
              <w:t>卵砾石</w:t>
            </w:r>
          </w:p>
        </w:tc>
        <w:tc>
          <w:tcPr>
            <w:tcW w:w="917" w:type="dxa"/>
          </w:tcPr>
          <w:p>
            <w:pPr>
              <w:jc w:val="center"/>
              <w:rPr>
                <w:bCs/>
                <w:szCs w:val="20"/>
              </w:rPr>
            </w:pPr>
            <w:r>
              <w:rPr>
                <w:rFonts w:hint="eastAsia"/>
                <w:bCs/>
                <w:szCs w:val="20"/>
              </w:rPr>
              <w:t>硬黏土</w:t>
            </w:r>
          </w:p>
        </w:tc>
        <w:tc>
          <w:tcPr>
            <w:tcW w:w="917" w:type="dxa"/>
          </w:tcPr>
          <w:p>
            <w:pPr>
              <w:jc w:val="center"/>
              <w:rPr>
                <w:bCs/>
                <w:szCs w:val="20"/>
              </w:rPr>
            </w:pPr>
            <w:r>
              <w:rPr>
                <w:rFonts w:hint="eastAsia"/>
                <w:bCs/>
                <w:szCs w:val="20"/>
              </w:rPr>
              <w:t>岩石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3" w:hRule="atLeast"/>
          <w:jc w:val="center"/>
        </w:trPr>
        <w:tc>
          <w:tcPr>
            <w:tcW w:w="704" w:type="dxa"/>
            <w:vMerge w:val="restart"/>
          </w:tcPr>
          <w:p>
            <w:pPr>
              <w:jc w:val="center"/>
              <w:rPr>
                <w:bCs/>
                <w:szCs w:val="20"/>
              </w:rPr>
            </w:pPr>
            <w:r>
              <w:rPr>
                <w:rFonts w:hint="eastAsia"/>
                <w:bCs/>
                <w:szCs w:val="20"/>
              </w:rPr>
              <w:t>触变泥浆</w:t>
            </w:r>
          </w:p>
        </w:tc>
        <w:tc>
          <w:tcPr>
            <w:tcW w:w="1128" w:type="dxa"/>
          </w:tcPr>
          <w:p>
            <w:pPr>
              <w:jc w:val="center"/>
              <w:rPr>
                <w:bCs/>
                <w:szCs w:val="20"/>
              </w:rPr>
            </w:pPr>
            <w:r>
              <w:rPr>
                <w:rFonts w:hint="eastAsia"/>
                <w:bCs/>
                <w:szCs w:val="20"/>
              </w:rPr>
              <w:t>混泥土管</w:t>
            </w:r>
          </w:p>
        </w:tc>
        <w:tc>
          <w:tcPr>
            <w:tcW w:w="916" w:type="dxa"/>
          </w:tcPr>
          <w:p>
            <w:pPr>
              <w:jc w:val="center"/>
              <w:rPr>
                <w:bCs/>
                <w:szCs w:val="20"/>
              </w:rPr>
            </w:pPr>
            <w:r>
              <w:rPr>
                <w:rFonts w:hint="eastAsia"/>
                <w:bCs/>
                <w:szCs w:val="20"/>
              </w:rPr>
              <w:t>3～5</w:t>
            </w:r>
          </w:p>
        </w:tc>
        <w:tc>
          <w:tcPr>
            <w:tcW w:w="916" w:type="dxa"/>
          </w:tcPr>
          <w:p>
            <w:pPr>
              <w:jc w:val="center"/>
              <w:rPr>
                <w:bCs/>
                <w:szCs w:val="20"/>
              </w:rPr>
            </w:pPr>
            <w:r>
              <w:rPr>
                <w:rFonts w:hint="eastAsia"/>
                <w:bCs/>
                <w:szCs w:val="20"/>
              </w:rPr>
              <w:t>3～8</w:t>
            </w:r>
          </w:p>
        </w:tc>
        <w:tc>
          <w:tcPr>
            <w:tcW w:w="917" w:type="dxa"/>
          </w:tcPr>
          <w:p>
            <w:pPr>
              <w:jc w:val="center"/>
              <w:rPr>
                <w:bCs/>
                <w:szCs w:val="20"/>
              </w:rPr>
            </w:pPr>
            <w:r>
              <w:rPr>
                <w:rFonts w:hint="eastAsia"/>
                <w:bCs/>
                <w:szCs w:val="20"/>
              </w:rPr>
              <w:t>11～16</w:t>
            </w:r>
          </w:p>
        </w:tc>
        <w:tc>
          <w:tcPr>
            <w:tcW w:w="917" w:type="dxa"/>
          </w:tcPr>
          <w:p>
            <w:pPr>
              <w:jc w:val="center"/>
              <w:rPr>
                <w:bCs/>
                <w:szCs w:val="20"/>
              </w:rPr>
            </w:pPr>
            <w:r>
              <w:rPr>
                <w:rFonts w:hint="eastAsia"/>
                <w:bCs/>
                <w:szCs w:val="20"/>
              </w:rPr>
              <w:t>11～16</w:t>
            </w:r>
          </w:p>
        </w:tc>
        <w:tc>
          <w:tcPr>
            <w:tcW w:w="917" w:type="dxa"/>
          </w:tcPr>
          <w:p>
            <w:pPr>
              <w:jc w:val="center"/>
              <w:rPr>
                <w:bCs/>
                <w:szCs w:val="20"/>
              </w:rPr>
            </w:pPr>
            <w:r>
              <w:rPr>
                <w:rFonts w:hint="eastAsia"/>
                <w:bCs/>
                <w:szCs w:val="20"/>
              </w:rPr>
              <w:t>11～18</w:t>
            </w:r>
          </w:p>
        </w:tc>
        <w:tc>
          <w:tcPr>
            <w:tcW w:w="917" w:type="dxa"/>
          </w:tcPr>
          <w:p>
            <w:pPr>
              <w:jc w:val="center"/>
              <w:rPr>
                <w:bCs/>
                <w:szCs w:val="20"/>
              </w:rPr>
            </w:pPr>
            <w:r>
              <w:rPr>
                <w:rFonts w:hint="eastAsia"/>
                <w:bCs/>
                <w:szCs w:val="20"/>
              </w:rPr>
              <w:t>6～8</w:t>
            </w:r>
          </w:p>
        </w:tc>
        <w:tc>
          <w:tcPr>
            <w:tcW w:w="917" w:type="dxa"/>
          </w:tcPr>
          <w:p>
            <w:pPr>
              <w:jc w:val="center"/>
              <w:rPr>
                <w:bCs/>
                <w:szCs w:val="20"/>
              </w:rPr>
            </w:pPr>
            <w:r>
              <w:rPr>
                <w:rFonts w:hint="eastAsia"/>
                <w:bCs/>
                <w:szCs w:val="20"/>
              </w:rPr>
              <w:t>8～10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3" w:hRule="atLeast"/>
          <w:jc w:val="center"/>
        </w:trPr>
        <w:tc>
          <w:tcPr>
            <w:tcW w:w="704" w:type="dxa"/>
            <w:vMerge w:val="continue"/>
          </w:tcPr>
          <w:p>
            <w:pPr>
              <w:jc w:val="center"/>
              <w:rPr>
                <w:bCs/>
                <w:szCs w:val="20"/>
              </w:rPr>
            </w:pPr>
          </w:p>
        </w:tc>
        <w:tc>
          <w:tcPr>
            <w:tcW w:w="1128" w:type="dxa"/>
          </w:tcPr>
          <w:p>
            <w:pPr>
              <w:jc w:val="center"/>
              <w:rPr>
                <w:bCs/>
                <w:szCs w:val="20"/>
              </w:rPr>
            </w:pPr>
            <w:r>
              <w:rPr>
                <w:rFonts w:hint="eastAsia"/>
                <w:bCs/>
                <w:szCs w:val="20"/>
              </w:rPr>
              <w:t>钢管</w:t>
            </w:r>
          </w:p>
        </w:tc>
        <w:tc>
          <w:tcPr>
            <w:tcW w:w="916" w:type="dxa"/>
          </w:tcPr>
          <w:p>
            <w:pPr>
              <w:jc w:val="center"/>
              <w:rPr>
                <w:bCs/>
                <w:szCs w:val="20"/>
              </w:rPr>
            </w:pPr>
            <w:r>
              <w:rPr>
                <w:rFonts w:hint="eastAsia"/>
                <w:bCs/>
                <w:szCs w:val="20"/>
              </w:rPr>
              <w:t>3～4</w:t>
            </w:r>
          </w:p>
        </w:tc>
        <w:tc>
          <w:tcPr>
            <w:tcW w:w="916" w:type="dxa"/>
          </w:tcPr>
          <w:p>
            <w:pPr>
              <w:jc w:val="center"/>
              <w:rPr>
                <w:bCs/>
                <w:szCs w:val="20"/>
              </w:rPr>
            </w:pPr>
            <w:r>
              <w:rPr>
                <w:rFonts w:hint="eastAsia"/>
                <w:bCs/>
                <w:szCs w:val="20"/>
              </w:rPr>
              <w:t>4～7</w:t>
            </w:r>
          </w:p>
        </w:tc>
        <w:tc>
          <w:tcPr>
            <w:tcW w:w="917" w:type="dxa"/>
          </w:tcPr>
          <w:p>
            <w:pPr>
              <w:jc w:val="center"/>
              <w:rPr>
                <w:bCs/>
                <w:szCs w:val="20"/>
              </w:rPr>
            </w:pPr>
            <w:r>
              <w:rPr>
                <w:rFonts w:hint="eastAsia"/>
                <w:bCs/>
                <w:szCs w:val="20"/>
              </w:rPr>
              <w:t>10～13</w:t>
            </w:r>
          </w:p>
        </w:tc>
        <w:tc>
          <w:tcPr>
            <w:tcW w:w="917" w:type="dxa"/>
          </w:tcPr>
          <w:p>
            <w:pPr>
              <w:jc w:val="center"/>
              <w:rPr>
                <w:bCs/>
                <w:szCs w:val="20"/>
              </w:rPr>
            </w:pPr>
            <w:r>
              <w:rPr>
                <w:rFonts w:hint="eastAsia"/>
                <w:bCs/>
                <w:szCs w:val="20"/>
              </w:rPr>
              <w:t>10～13</w:t>
            </w:r>
          </w:p>
        </w:tc>
        <w:tc>
          <w:tcPr>
            <w:tcW w:w="917" w:type="dxa"/>
          </w:tcPr>
          <w:p>
            <w:pPr>
              <w:jc w:val="center"/>
              <w:rPr>
                <w:bCs/>
                <w:szCs w:val="20"/>
              </w:rPr>
            </w:pPr>
            <w:r>
              <w:rPr>
                <w:rFonts w:hint="eastAsia"/>
                <w:bCs/>
                <w:szCs w:val="20"/>
              </w:rPr>
              <w:t>10～14</w:t>
            </w:r>
          </w:p>
        </w:tc>
        <w:tc>
          <w:tcPr>
            <w:tcW w:w="917" w:type="dxa"/>
          </w:tcPr>
          <w:p>
            <w:pPr>
              <w:jc w:val="center"/>
              <w:rPr>
                <w:bCs/>
                <w:szCs w:val="20"/>
              </w:rPr>
            </w:pPr>
            <w:r>
              <w:rPr>
                <w:rFonts w:hint="eastAsia"/>
                <w:bCs/>
                <w:szCs w:val="20"/>
              </w:rPr>
              <w:t>4～6</w:t>
            </w:r>
          </w:p>
        </w:tc>
        <w:tc>
          <w:tcPr>
            <w:tcW w:w="917" w:type="dxa"/>
          </w:tcPr>
          <w:p>
            <w:pPr>
              <w:jc w:val="center"/>
              <w:rPr>
                <w:bCs/>
                <w:szCs w:val="20"/>
              </w:rPr>
            </w:pPr>
            <w:r>
              <w:rPr>
                <w:rFonts w:hint="eastAsia"/>
                <w:bCs/>
                <w:szCs w:val="20"/>
              </w:rPr>
              <w:t>6～8</w:t>
            </w:r>
          </w:p>
        </w:tc>
      </w:tr>
    </w:tbl>
    <w:p>
      <w:pPr>
        <w:spacing w:line="440" w:lineRule="exact"/>
        <w:ind w:firstLine="361" w:firstLineChars="150"/>
        <w:rPr>
          <w:sz w:val="24"/>
        </w:rPr>
      </w:pPr>
      <w:r>
        <w:rPr>
          <w:rFonts w:hint="eastAsia"/>
          <w:b/>
          <w:bCs/>
          <w:sz w:val="24"/>
        </w:rPr>
        <w:t xml:space="preserve">3  </w:t>
      </w:r>
      <w:r>
        <w:rPr>
          <w:rFonts w:hint="eastAsia"/>
          <w:sz w:val="24"/>
        </w:rPr>
        <w:t>顶管法施工应根据</w:t>
      </w:r>
      <w:r>
        <w:rPr>
          <w:sz w:val="24"/>
        </w:rPr>
        <w:t>所选施工方法进行相应</w:t>
      </w:r>
      <w:r>
        <w:rPr>
          <w:rFonts w:hint="eastAsia"/>
          <w:sz w:val="24"/>
        </w:rPr>
        <w:t>配置。</w:t>
      </w:r>
    </w:p>
    <w:p>
      <w:pPr>
        <w:spacing w:before="156" w:beforeLines="50" w:after="156" w:afterLines="50" w:line="440" w:lineRule="exact"/>
        <w:jc w:val="center"/>
        <w:outlineLvl w:val="1"/>
        <w:rPr>
          <w:rFonts w:eastAsia="黑体"/>
          <w:sz w:val="24"/>
        </w:rPr>
      </w:pPr>
      <w:bookmarkStart w:id="53" w:name="_Toc19386"/>
      <w:bookmarkStart w:id="54" w:name="_Toc30929"/>
      <w:r>
        <w:rPr>
          <w:rFonts w:hint="eastAsia" w:eastAsia="黑体"/>
          <w:sz w:val="24"/>
        </w:rPr>
        <w:t>5.</w:t>
      </w:r>
      <w:r>
        <w:rPr>
          <w:rFonts w:eastAsia="黑体"/>
          <w:sz w:val="24"/>
        </w:rPr>
        <w:t>4</w:t>
      </w:r>
      <w:r>
        <w:rPr>
          <w:rFonts w:hint="eastAsia" w:eastAsia="黑体"/>
          <w:sz w:val="24"/>
        </w:rPr>
        <w:t xml:space="preserve">  辅</w:t>
      </w:r>
      <w:r>
        <w:rPr>
          <w:rFonts w:hint="eastAsia" w:eastAsia="黑体"/>
          <w:sz w:val="24"/>
          <w:lang w:val="en-US" w:eastAsia="zh-CN"/>
        </w:rPr>
        <w:t xml:space="preserve"> </w:t>
      </w:r>
      <w:r>
        <w:rPr>
          <w:rFonts w:hint="eastAsia" w:eastAsia="黑体"/>
          <w:sz w:val="24"/>
        </w:rPr>
        <w:t>助</w:t>
      </w:r>
      <w:r>
        <w:rPr>
          <w:rFonts w:hint="eastAsia" w:eastAsia="黑体"/>
          <w:sz w:val="24"/>
          <w:lang w:val="en-US" w:eastAsia="zh-CN"/>
        </w:rPr>
        <w:t xml:space="preserve"> </w:t>
      </w:r>
      <w:r>
        <w:rPr>
          <w:rFonts w:hint="eastAsia" w:eastAsia="黑体"/>
          <w:sz w:val="24"/>
        </w:rPr>
        <w:t>设</w:t>
      </w:r>
      <w:r>
        <w:rPr>
          <w:rFonts w:hint="eastAsia" w:eastAsia="黑体"/>
          <w:sz w:val="24"/>
          <w:lang w:val="en-US" w:eastAsia="zh-CN"/>
        </w:rPr>
        <w:t xml:space="preserve"> </w:t>
      </w:r>
      <w:r>
        <w:rPr>
          <w:rFonts w:hint="eastAsia" w:eastAsia="黑体"/>
          <w:sz w:val="24"/>
        </w:rPr>
        <w:t>施</w:t>
      </w:r>
      <w:bookmarkEnd w:id="53"/>
      <w:bookmarkEnd w:id="54"/>
    </w:p>
    <w:p>
      <w:pPr>
        <w:spacing w:line="440" w:lineRule="exact"/>
        <w:rPr>
          <w:sz w:val="24"/>
        </w:rPr>
      </w:pPr>
      <w:r>
        <w:rPr>
          <w:rFonts w:hint="eastAsia"/>
          <w:b/>
          <w:bCs/>
          <w:sz w:val="24"/>
        </w:rPr>
        <w:t>5.</w:t>
      </w:r>
      <w:r>
        <w:rPr>
          <w:b/>
          <w:bCs/>
          <w:sz w:val="24"/>
        </w:rPr>
        <w:t>4</w:t>
      </w:r>
      <w:r>
        <w:rPr>
          <w:rFonts w:hint="eastAsia"/>
          <w:b/>
          <w:bCs/>
          <w:sz w:val="24"/>
        </w:rPr>
        <w:t>.1</w:t>
      </w:r>
      <w:r>
        <w:rPr>
          <w:rFonts w:hint="eastAsia"/>
          <w:sz w:val="24"/>
        </w:rPr>
        <w:t xml:space="preserve">  辅助设施应根据管幕类型、施工方法和工艺要求等配置。</w:t>
      </w:r>
    </w:p>
    <w:p>
      <w:pPr>
        <w:spacing w:line="440" w:lineRule="exact"/>
        <w:rPr>
          <w:sz w:val="24"/>
        </w:rPr>
      </w:pPr>
      <w:r>
        <w:rPr>
          <w:rFonts w:hint="eastAsia"/>
          <w:b/>
          <w:bCs/>
          <w:sz w:val="24"/>
        </w:rPr>
        <w:t>5.</w:t>
      </w:r>
      <w:r>
        <w:rPr>
          <w:b/>
          <w:bCs/>
          <w:sz w:val="24"/>
        </w:rPr>
        <w:t>4</w:t>
      </w:r>
      <w:r>
        <w:rPr>
          <w:rFonts w:hint="eastAsia"/>
          <w:b/>
          <w:bCs/>
          <w:sz w:val="24"/>
        </w:rPr>
        <w:t>.2</w:t>
      </w:r>
      <w:r>
        <w:rPr>
          <w:rFonts w:hint="eastAsia"/>
          <w:sz w:val="24"/>
        </w:rPr>
        <w:t xml:space="preserve">  管幕施工台架及基座应能满足设备检修、解体或整体移位的要求。</w:t>
      </w:r>
    </w:p>
    <w:p>
      <w:pPr>
        <w:spacing w:line="440" w:lineRule="exact"/>
        <w:rPr>
          <w:sz w:val="24"/>
        </w:rPr>
      </w:pPr>
      <w:r>
        <w:rPr>
          <w:rFonts w:hint="eastAsia"/>
          <w:b/>
          <w:bCs/>
          <w:sz w:val="24"/>
        </w:rPr>
        <w:t>5.</w:t>
      </w:r>
      <w:r>
        <w:rPr>
          <w:b/>
          <w:bCs/>
          <w:sz w:val="24"/>
        </w:rPr>
        <w:t>4</w:t>
      </w:r>
      <w:r>
        <w:rPr>
          <w:rFonts w:hint="eastAsia"/>
          <w:b/>
          <w:bCs/>
          <w:sz w:val="24"/>
        </w:rPr>
        <w:t>.3</w:t>
      </w:r>
      <w:r>
        <w:rPr>
          <w:rFonts w:hint="eastAsia"/>
          <w:sz w:val="24"/>
        </w:rPr>
        <w:t xml:space="preserve">  垂直与水平运输系统</w:t>
      </w:r>
      <w:bookmarkStart w:id="55" w:name="_Hlk102849855"/>
      <w:r>
        <w:rPr>
          <w:rFonts w:hint="eastAsia"/>
          <w:sz w:val="24"/>
        </w:rPr>
        <w:t>应符合下列规定：</w:t>
      </w:r>
      <w:bookmarkEnd w:id="55"/>
    </w:p>
    <w:p>
      <w:pPr>
        <w:spacing w:line="440" w:lineRule="exact"/>
        <w:ind w:firstLine="361" w:firstLineChars="150"/>
        <w:rPr>
          <w:sz w:val="24"/>
        </w:rPr>
      </w:pPr>
      <w:r>
        <w:rPr>
          <w:rFonts w:hint="eastAsia"/>
          <w:b/>
          <w:bCs/>
          <w:sz w:val="24"/>
        </w:rPr>
        <w:t>1</w:t>
      </w:r>
      <w:r>
        <w:rPr>
          <w:rFonts w:hint="eastAsia"/>
          <w:sz w:val="24"/>
        </w:rPr>
        <w:t xml:space="preserve">  垂直与水平运输系统配置应根据不同施工阶段的运输强度、作业内容，结合工作井深度、大小等因素确定；</w:t>
      </w:r>
    </w:p>
    <w:p>
      <w:pPr>
        <w:spacing w:line="440" w:lineRule="exact"/>
        <w:ind w:firstLine="361" w:firstLineChars="150"/>
        <w:rPr>
          <w:sz w:val="24"/>
        </w:rPr>
      </w:pPr>
      <w:r>
        <w:rPr>
          <w:rFonts w:hint="eastAsia"/>
          <w:b/>
          <w:bCs/>
          <w:sz w:val="24"/>
        </w:rPr>
        <w:t>2</w:t>
      </w:r>
      <w:r>
        <w:rPr>
          <w:rFonts w:hint="eastAsia"/>
          <w:sz w:val="24"/>
        </w:rPr>
        <w:t xml:space="preserve">  垂直与水平运输系统可采用皮带机、龙门架、汽车吊或履带吊，并考虑顶管期间土方外运和材料运输的要求；</w:t>
      </w:r>
    </w:p>
    <w:p>
      <w:pPr>
        <w:spacing w:line="440" w:lineRule="exact"/>
        <w:ind w:firstLine="361" w:firstLineChars="150"/>
        <w:rPr>
          <w:sz w:val="24"/>
        </w:rPr>
      </w:pPr>
      <w:r>
        <w:rPr>
          <w:rFonts w:hint="eastAsia"/>
          <w:b/>
          <w:bCs/>
          <w:sz w:val="24"/>
        </w:rPr>
        <w:t>3</w:t>
      </w:r>
      <w:r>
        <w:rPr>
          <w:rFonts w:hint="eastAsia"/>
          <w:sz w:val="24"/>
        </w:rPr>
        <w:t xml:space="preserve">  吊装和运输设备应建立现场维修保养、定期检查和交接班制度，并应符合现行行业标准</w:t>
      </w:r>
      <w:bookmarkStart w:id="56" w:name="_Hlk103456903"/>
      <w:r>
        <w:rPr>
          <w:rFonts w:hint="eastAsia"/>
          <w:sz w:val="24"/>
        </w:rPr>
        <w:t>《建筑施工起重吊装工程安全技术规范》JGJ276</w:t>
      </w:r>
      <w:bookmarkEnd w:id="56"/>
      <w:r>
        <w:rPr>
          <w:rFonts w:hint="eastAsia"/>
          <w:sz w:val="24"/>
        </w:rPr>
        <w:t>的规定。</w:t>
      </w:r>
    </w:p>
    <w:p>
      <w:pPr>
        <w:spacing w:line="440" w:lineRule="exact"/>
        <w:rPr>
          <w:sz w:val="24"/>
        </w:rPr>
      </w:pPr>
      <w:r>
        <w:rPr>
          <w:rFonts w:hint="eastAsia"/>
          <w:b/>
          <w:bCs/>
          <w:sz w:val="24"/>
        </w:rPr>
        <w:t>5.</w:t>
      </w:r>
      <w:r>
        <w:rPr>
          <w:b/>
          <w:bCs/>
          <w:sz w:val="24"/>
        </w:rPr>
        <w:t>4</w:t>
      </w:r>
      <w:r>
        <w:rPr>
          <w:rFonts w:hint="eastAsia"/>
          <w:b/>
          <w:bCs/>
          <w:sz w:val="24"/>
        </w:rPr>
        <w:t>.4</w:t>
      </w:r>
      <w:r>
        <w:rPr>
          <w:rFonts w:hint="eastAsia"/>
          <w:sz w:val="24"/>
        </w:rPr>
        <w:t xml:space="preserve">  施工通风系统应符合下列规定：</w:t>
      </w:r>
    </w:p>
    <w:p>
      <w:pPr>
        <w:spacing w:line="440" w:lineRule="exact"/>
        <w:ind w:firstLine="361" w:firstLineChars="150"/>
        <w:rPr>
          <w:sz w:val="24"/>
        </w:rPr>
      </w:pPr>
      <w:r>
        <w:rPr>
          <w:rFonts w:hint="eastAsia"/>
          <w:b/>
          <w:bCs/>
          <w:sz w:val="24"/>
        </w:rPr>
        <w:t>1</w:t>
      </w:r>
      <w:r>
        <w:rPr>
          <w:rFonts w:hint="eastAsia"/>
          <w:sz w:val="24"/>
        </w:rPr>
        <w:t xml:space="preserve">  井下通风系统应根据不同施工阶段的作业要求，结合工作井结构、洞室长度、断面形式等因素设置；</w:t>
      </w:r>
    </w:p>
    <w:p>
      <w:pPr>
        <w:spacing w:line="440" w:lineRule="exact"/>
        <w:ind w:firstLine="361" w:firstLineChars="150"/>
        <w:rPr>
          <w:sz w:val="24"/>
        </w:rPr>
      </w:pPr>
      <w:r>
        <w:rPr>
          <w:rFonts w:hint="eastAsia"/>
          <w:b/>
          <w:bCs/>
          <w:sz w:val="24"/>
        </w:rPr>
        <w:t>2</w:t>
      </w:r>
      <w:r>
        <w:rPr>
          <w:rFonts w:hint="eastAsia"/>
          <w:sz w:val="24"/>
        </w:rPr>
        <w:t xml:space="preserve">  施工期间应采用通风设施为开挖工作面通风，具体风速、风量应经计算确定。</w:t>
      </w:r>
    </w:p>
    <w:p>
      <w:pPr>
        <w:spacing w:line="440" w:lineRule="exact"/>
        <w:ind w:firstLine="361" w:firstLineChars="150"/>
        <w:rPr>
          <w:sz w:val="24"/>
        </w:rPr>
      </w:pPr>
      <w:r>
        <w:rPr>
          <w:rFonts w:hint="eastAsia"/>
          <w:b/>
          <w:bCs/>
          <w:sz w:val="24"/>
        </w:rPr>
        <w:t>3</w:t>
      </w:r>
      <w:r>
        <w:rPr>
          <w:rFonts w:hint="eastAsia"/>
          <w:sz w:val="24"/>
        </w:rPr>
        <w:t xml:space="preserve">  钢管切割、焊接连接等作业期间风速不宜低于0.5m/s，并应保证作业面烟尘及时排出；风速超过2m/s时宜采取挡风措施；</w:t>
      </w:r>
    </w:p>
    <w:p>
      <w:pPr>
        <w:spacing w:line="440" w:lineRule="exact"/>
        <w:ind w:firstLine="361" w:firstLineChars="150"/>
        <w:rPr>
          <w:sz w:val="24"/>
        </w:rPr>
      </w:pPr>
      <w:r>
        <w:rPr>
          <w:rFonts w:hint="eastAsia"/>
          <w:b/>
          <w:bCs/>
          <w:sz w:val="24"/>
        </w:rPr>
        <w:t>4</w:t>
      </w:r>
      <w:r>
        <w:rPr>
          <w:rFonts w:hint="eastAsia"/>
          <w:sz w:val="24"/>
        </w:rPr>
        <w:t xml:space="preserve">  通风过程中，应定期巡查通风设施。风管风门破损、漏风时应及时修理或更换。</w:t>
      </w:r>
    </w:p>
    <w:p>
      <w:pPr>
        <w:spacing w:line="440" w:lineRule="exact"/>
        <w:rPr>
          <w:sz w:val="24"/>
        </w:rPr>
      </w:pPr>
      <w:r>
        <w:rPr>
          <w:rFonts w:hint="eastAsia"/>
          <w:b/>
          <w:bCs/>
          <w:sz w:val="24"/>
        </w:rPr>
        <w:t>5.</w:t>
      </w:r>
      <w:r>
        <w:rPr>
          <w:b/>
          <w:bCs/>
          <w:sz w:val="24"/>
        </w:rPr>
        <w:t>4</w:t>
      </w:r>
      <w:r>
        <w:rPr>
          <w:rFonts w:hint="eastAsia"/>
          <w:b/>
          <w:bCs/>
          <w:sz w:val="24"/>
        </w:rPr>
        <w:t>.5</w:t>
      </w:r>
      <w:r>
        <w:rPr>
          <w:rFonts w:hint="eastAsia"/>
          <w:sz w:val="24"/>
        </w:rPr>
        <w:t xml:space="preserve">  根据工程需要和环境保护要求，应配置符合管内及管外注浆需要的浆液站。</w:t>
      </w:r>
    </w:p>
    <w:p>
      <w:pPr>
        <w:spacing w:line="440" w:lineRule="exact"/>
        <w:rPr>
          <w:sz w:val="24"/>
        </w:rPr>
      </w:pPr>
      <w:r>
        <w:rPr>
          <w:rFonts w:hint="eastAsia"/>
          <w:b/>
          <w:bCs/>
          <w:sz w:val="24"/>
        </w:rPr>
        <w:t>5.</w:t>
      </w:r>
      <w:r>
        <w:rPr>
          <w:b/>
          <w:bCs/>
          <w:sz w:val="24"/>
        </w:rPr>
        <w:t>4</w:t>
      </w:r>
      <w:r>
        <w:rPr>
          <w:rFonts w:hint="eastAsia"/>
          <w:b/>
          <w:bCs/>
          <w:sz w:val="24"/>
        </w:rPr>
        <w:t xml:space="preserve">.6 </w:t>
      </w:r>
      <w:r>
        <w:rPr>
          <w:rFonts w:hint="eastAsia"/>
          <w:sz w:val="24"/>
        </w:rPr>
        <w:t xml:space="preserve"> 供电设备应满足管幕施工要求。</w:t>
      </w:r>
    </w:p>
    <w:p>
      <w:pPr>
        <w:spacing w:before="156" w:beforeLines="50" w:after="156" w:afterLines="50" w:line="440" w:lineRule="exact"/>
        <w:jc w:val="center"/>
        <w:outlineLvl w:val="1"/>
        <w:rPr>
          <w:rFonts w:eastAsia="黑体"/>
          <w:sz w:val="24"/>
        </w:rPr>
      </w:pPr>
      <w:bookmarkStart w:id="57" w:name="_Toc23047"/>
      <w:bookmarkStart w:id="58" w:name="_Toc1152"/>
      <w:r>
        <w:rPr>
          <w:rFonts w:hint="eastAsia" w:eastAsia="黑体"/>
          <w:sz w:val="24"/>
        </w:rPr>
        <w:t>5.</w:t>
      </w:r>
      <w:r>
        <w:rPr>
          <w:rFonts w:eastAsia="黑体"/>
          <w:sz w:val="24"/>
        </w:rPr>
        <w:t>5</w:t>
      </w:r>
      <w:r>
        <w:rPr>
          <w:rFonts w:hint="eastAsia" w:eastAsia="黑体"/>
          <w:sz w:val="24"/>
        </w:rPr>
        <w:t xml:space="preserve">  工作井与洞室施工</w:t>
      </w:r>
      <w:bookmarkEnd w:id="57"/>
      <w:bookmarkEnd w:id="58"/>
    </w:p>
    <w:p>
      <w:pPr>
        <w:spacing w:line="440" w:lineRule="exact"/>
        <w:rPr>
          <w:sz w:val="24"/>
        </w:rPr>
      </w:pPr>
      <w:r>
        <w:rPr>
          <w:rFonts w:hint="eastAsia"/>
          <w:b/>
          <w:bCs/>
          <w:sz w:val="24"/>
        </w:rPr>
        <w:t>5.</w:t>
      </w:r>
      <w:r>
        <w:rPr>
          <w:b/>
          <w:bCs/>
          <w:sz w:val="24"/>
        </w:rPr>
        <w:t>5</w:t>
      </w:r>
      <w:r>
        <w:rPr>
          <w:rFonts w:hint="eastAsia"/>
          <w:b/>
          <w:bCs/>
          <w:sz w:val="24"/>
        </w:rPr>
        <w:t>.1</w:t>
      </w:r>
      <w:r>
        <w:rPr>
          <w:rFonts w:hint="eastAsia"/>
          <w:sz w:val="24"/>
        </w:rPr>
        <w:t xml:space="preserve">  应根据管幕施工工艺、设备型式，确定工作井与洞室结构型式及尺寸，必须满足台架及基座安装、垂直运输、水平运输、通风、水电供应等管幕作业功能要求；</w:t>
      </w:r>
    </w:p>
    <w:p>
      <w:pPr>
        <w:spacing w:line="440" w:lineRule="exact"/>
        <w:rPr>
          <w:sz w:val="24"/>
        </w:rPr>
      </w:pPr>
      <w:r>
        <w:rPr>
          <w:rFonts w:hint="eastAsia"/>
          <w:b/>
          <w:bCs/>
          <w:sz w:val="24"/>
        </w:rPr>
        <w:t>5.</w:t>
      </w:r>
      <w:r>
        <w:rPr>
          <w:b/>
          <w:bCs/>
          <w:sz w:val="24"/>
        </w:rPr>
        <w:t>5</w:t>
      </w:r>
      <w:r>
        <w:rPr>
          <w:rFonts w:hint="eastAsia"/>
          <w:b/>
          <w:bCs/>
          <w:sz w:val="24"/>
        </w:rPr>
        <w:t>.2</w:t>
      </w:r>
      <w:r>
        <w:rPr>
          <w:rFonts w:hint="eastAsia"/>
          <w:sz w:val="24"/>
        </w:rPr>
        <w:t xml:space="preserve">  工作井及洞室结构必须满足井壁支护以及顶管（顶进工作井）推进后座力作用等施工要求。</w:t>
      </w:r>
    </w:p>
    <w:p>
      <w:pPr>
        <w:spacing w:line="440" w:lineRule="exact"/>
        <w:rPr>
          <w:sz w:val="24"/>
        </w:rPr>
      </w:pPr>
      <w:r>
        <w:rPr>
          <w:rFonts w:hint="eastAsia"/>
          <w:b/>
          <w:bCs/>
          <w:sz w:val="24"/>
        </w:rPr>
        <w:t>5.</w:t>
      </w:r>
      <w:r>
        <w:rPr>
          <w:b/>
          <w:bCs/>
          <w:sz w:val="24"/>
        </w:rPr>
        <w:t>5</w:t>
      </w:r>
      <w:r>
        <w:rPr>
          <w:rFonts w:hint="eastAsia"/>
          <w:b/>
          <w:bCs/>
          <w:sz w:val="24"/>
        </w:rPr>
        <w:t>.3</w:t>
      </w:r>
      <w:r>
        <w:rPr>
          <w:rFonts w:hint="eastAsia"/>
          <w:sz w:val="24"/>
        </w:rPr>
        <w:t xml:space="preserve">  工作井及洞室设置尽量避开现有构（建）筑物、减小施工扰动对周围环境的影响，且应便于排水、排泥、出土和运输；应尽量利用既有洞室结构。</w:t>
      </w:r>
    </w:p>
    <w:p>
      <w:pPr>
        <w:spacing w:line="440" w:lineRule="exact"/>
        <w:rPr>
          <w:sz w:val="24"/>
        </w:rPr>
      </w:pPr>
      <w:r>
        <w:rPr>
          <w:rFonts w:hint="eastAsia"/>
          <w:b/>
          <w:bCs/>
          <w:sz w:val="24"/>
        </w:rPr>
        <w:t>5.</w:t>
      </w:r>
      <w:r>
        <w:rPr>
          <w:b/>
          <w:bCs/>
          <w:sz w:val="24"/>
        </w:rPr>
        <w:t>5</w:t>
      </w:r>
      <w:r>
        <w:rPr>
          <w:rFonts w:hint="eastAsia"/>
          <w:b/>
          <w:bCs/>
          <w:sz w:val="24"/>
        </w:rPr>
        <w:t>.4</w:t>
      </w:r>
      <w:r>
        <w:rPr>
          <w:rFonts w:hint="eastAsia"/>
          <w:sz w:val="24"/>
        </w:rPr>
        <w:t xml:space="preserve">  工作井及洞室施工方法应根据工程水文地质条件、邻近建（构）筑物、地下与地上管线情况，以及结构受力、施工安全等要求，经技术经济比较后确定。</w:t>
      </w:r>
    </w:p>
    <w:p>
      <w:pPr>
        <w:spacing w:line="440" w:lineRule="exact"/>
        <w:rPr>
          <w:sz w:val="24"/>
        </w:rPr>
      </w:pPr>
      <w:r>
        <w:rPr>
          <w:rFonts w:hint="eastAsia"/>
          <w:b/>
          <w:bCs/>
          <w:sz w:val="24"/>
        </w:rPr>
        <w:t>5.</w:t>
      </w:r>
      <w:r>
        <w:rPr>
          <w:b/>
          <w:bCs/>
          <w:sz w:val="24"/>
        </w:rPr>
        <w:t>5</w:t>
      </w:r>
      <w:r>
        <w:rPr>
          <w:rFonts w:hint="eastAsia"/>
          <w:b/>
          <w:bCs/>
          <w:sz w:val="24"/>
        </w:rPr>
        <w:t>.5</w:t>
      </w:r>
      <w:r>
        <w:rPr>
          <w:rFonts w:hint="eastAsia"/>
          <w:sz w:val="24"/>
        </w:rPr>
        <w:t xml:space="preserve">  单独设置的工作井施工应符合设计文件及现行国家标准规定，并遵守下列规定：</w:t>
      </w:r>
    </w:p>
    <w:p>
      <w:pPr>
        <w:spacing w:line="440" w:lineRule="exact"/>
        <w:ind w:firstLine="361" w:firstLineChars="150"/>
        <w:rPr>
          <w:sz w:val="24"/>
        </w:rPr>
      </w:pPr>
      <w:r>
        <w:rPr>
          <w:rFonts w:hint="eastAsia"/>
          <w:b/>
          <w:bCs/>
          <w:sz w:val="24"/>
        </w:rPr>
        <w:t>1</w:t>
      </w:r>
      <w:r>
        <w:rPr>
          <w:rFonts w:hint="eastAsia"/>
          <w:sz w:val="24"/>
        </w:rPr>
        <w:t xml:space="preserve">  应编制专项施工方案；</w:t>
      </w:r>
    </w:p>
    <w:p>
      <w:pPr>
        <w:spacing w:line="440" w:lineRule="exact"/>
        <w:ind w:firstLine="361" w:firstLineChars="150"/>
        <w:rPr>
          <w:sz w:val="24"/>
        </w:rPr>
      </w:pPr>
      <w:r>
        <w:rPr>
          <w:rFonts w:hint="eastAsia"/>
          <w:b/>
          <w:bCs/>
          <w:sz w:val="24"/>
        </w:rPr>
        <w:t>2</w:t>
      </w:r>
      <w:r>
        <w:rPr>
          <w:rFonts w:hint="eastAsia"/>
          <w:sz w:val="24"/>
        </w:rPr>
        <w:t xml:space="preserve">  应根据工作井的尺寸、结构形式、地质情况、环境条件等因素确定支护（撑）形式，并应选择便于钢管顶进和洞门拆除的结构形式；</w:t>
      </w:r>
    </w:p>
    <w:p>
      <w:pPr>
        <w:spacing w:line="440" w:lineRule="exact"/>
        <w:ind w:firstLine="361" w:firstLineChars="150"/>
        <w:rPr>
          <w:sz w:val="24"/>
        </w:rPr>
      </w:pPr>
      <w:r>
        <w:rPr>
          <w:rFonts w:hint="eastAsia"/>
          <w:b/>
          <w:bCs/>
          <w:sz w:val="24"/>
        </w:rPr>
        <w:t>3</w:t>
      </w:r>
      <w:r>
        <w:rPr>
          <w:rFonts w:hint="eastAsia"/>
          <w:sz w:val="24"/>
        </w:rPr>
        <w:t xml:space="preserve">  井底应保证稳定和干燥，若有地下水应设置集水坑；</w:t>
      </w:r>
    </w:p>
    <w:p>
      <w:pPr>
        <w:spacing w:line="440" w:lineRule="exact"/>
        <w:ind w:firstLine="361" w:firstLineChars="150"/>
        <w:rPr>
          <w:sz w:val="24"/>
        </w:rPr>
      </w:pPr>
      <w:r>
        <w:rPr>
          <w:rFonts w:hint="eastAsia"/>
          <w:b/>
          <w:bCs/>
          <w:sz w:val="24"/>
        </w:rPr>
        <w:t>4</w:t>
      </w:r>
      <w:r>
        <w:rPr>
          <w:rFonts w:hint="eastAsia"/>
          <w:sz w:val="24"/>
        </w:rPr>
        <w:t xml:space="preserve">  开挖到底应及时封底，封底前应组织验槽；</w:t>
      </w:r>
    </w:p>
    <w:p>
      <w:pPr>
        <w:spacing w:line="440" w:lineRule="exact"/>
        <w:ind w:firstLine="361" w:firstLineChars="150"/>
        <w:rPr>
          <w:sz w:val="24"/>
        </w:rPr>
      </w:pPr>
      <w:r>
        <w:rPr>
          <w:rFonts w:hint="eastAsia"/>
          <w:b/>
          <w:bCs/>
          <w:sz w:val="24"/>
        </w:rPr>
        <w:t>5</w:t>
      </w:r>
      <w:r>
        <w:rPr>
          <w:rFonts w:hint="eastAsia"/>
          <w:sz w:val="24"/>
        </w:rPr>
        <w:t xml:space="preserve">  在地面井口周围应设置安全护栏、防汛墙和防雨设施；</w:t>
      </w:r>
    </w:p>
    <w:p>
      <w:pPr>
        <w:spacing w:line="440" w:lineRule="exact"/>
        <w:ind w:firstLine="361" w:firstLineChars="150"/>
        <w:rPr>
          <w:sz w:val="24"/>
        </w:rPr>
      </w:pPr>
      <w:r>
        <w:rPr>
          <w:rFonts w:hint="eastAsia"/>
          <w:b/>
          <w:bCs/>
          <w:sz w:val="24"/>
        </w:rPr>
        <w:t>6</w:t>
      </w:r>
      <w:r>
        <w:rPr>
          <w:rFonts w:hint="eastAsia"/>
          <w:sz w:val="24"/>
        </w:rPr>
        <w:t xml:space="preserve">  井内应设置便于上、下的安全通道。</w:t>
      </w:r>
    </w:p>
    <w:p>
      <w:pPr>
        <w:spacing w:line="440" w:lineRule="exact"/>
        <w:rPr>
          <w:sz w:val="24"/>
        </w:rPr>
      </w:pPr>
      <w:r>
        <w:rPr>
          <w:rFonts w:hint="eastAsia"/>
          <w:b/>
          <w:bCs/>
          <w:sz w:val="24"/>
        </w:rPr>
        <w:t>5.</w:t>
      </w:r>
      <w:r>
        <w:rPr>
          <w:b/>
          <w:bCs/>
          <w:sz w:val="24"/>
        </w:rPr>
        <w:t>5</w:t>
      </w:r>
      <w:r>
        <w:rPr>
          <w:rFonts w:hint="eastAsia"/>
          <w:b/>
          <w:bCs/>
          <w:sz w:val="24"/>
        </w:rPr>
        <w:t>.6</w:t>
      </w:r>
      <w:r>
        <w:rPr>
          <w:rFonts w:hint="eastAsia"/>
          <w:sz w:val="24"/>
        </w:rPr>
        <w:t xml:space="preserve">  钻进顶管法、机械顶管法后背墙结构及强度应符合设计文件规定。</w:t>
      </w:r>
    </w:p>
    <w:p>
      <w:pPr>
        <w:rPr>
          <w:rFonts w:ascii="黑体" w:eastAsia="黑体"/>
          <w:sz w:val="44"/>
        </w:rPr>
      </w:pPr>
      <w:r>
        <w:rPr>
          <w:rFonts w:hint="eastAsia" w:ascii="黑体" w:eastAsia="黑体"/>
          <w:sz w:val="44"/>
        </w:rPr>
        <w:br w:type="page"/>
      </w:r>
    </w:p>
    <w:p>
      <w:pPr>
        <w:spacing w:before="156" w:beforeLines="50" w:after="156" w:afterLines="50"/>
        <w:jc w:val="center"/>
        <w:outlineLvl w:val="0"/>
        <w:rPr>
          <w:sz w:val="32"/>
          <w:szCs w:val="20"/>
        </w:rPr>
      </w:pPr>
      <w:bookmarkStart w:id="59" w:name="_Toc18570"/>
      <w:bookmarkStart w:id="60" w:name="_Toc4484"/>
      <w:r>
        <w:rPr>
          <w:rFonts w:hint="eastAsia"/>
          <w:sz w:val="32"/>
          <w:szCs w:val="20"/>
        </w:rPr>
        <w:t>6  管幕钢管及附件制作</w:t>
      </w:r>
      <w:bookmarkEnd w:id="59"/>
      <w:bookmarkEnd w:id="60"/>
    </w:p>
    <w:p>
      <w:pPr>
        <w:spacing w:before="156" w:beforeLines="50" w:after="156" w:afterLines="50" w:line="440" w:lineRule="exact"/>
        <w:jc w:val="center"/>
        <w:outlineLvl w:val="1"/>
        <w:rPr>
          <w:rFonts w:eastAsia="黑体"/>
          <w:sz w:val="24"/>
        </w:rPr>
      </w:pPr>
      <w:bookmarkStart w:id="61" w:name="_Toc3409"/>
      <w:bookmarkStart w:id="62" w:name="_Toc8665"/>
      <w:r>
        <w:rPr>
          <w:rFonts w:hint="eastAsia" w:eastAsia="黑体"/>
          <w:sz w:val="24"/>
        </w:rPr>
        <w:t>6.1  一</w:t>
      </w:r>
      <w:r>
        <w:rPr>
          <w:rFonts w:hint="eastAsia" w:eastAsia="黑体"/>
          <w:sz w:val="24"/>
          <w:lang w:val="en-US" w:eastAsia="zh-CN"/>
        </w:rPr>
        <w:t xml:space="preserve"> </w:t>
      </w:r>
      <w:r>
        <w:rPr>
          <w:rFonts w:hint="eastAsia" w:eastAsia="黑体"/>
          <w:sz w:val="24"/>
        </w:rPr>
        <w:t>般</w:t>
      </w:r>
      <w:r>
        <w:rPr>
          <w:rFonts w:hint="eastAsia" w:eastAsia="黑体"/>
          <w:sz w:val="24"/>
          <w:lang w:val="en-US" w:eastAsia="zh-CN"/>
        </w:rPr>
        <w:t xml:space="preserve"> </w:t>
      </w:r>
      <w:r>
        <w:rPr>
          <w:rFonts w:hint="eastAsia" w:eastAsia="黑体"/>
          <w:sz w:val="24"/>
        </w:rPr>
        <w:t>规</w:t>
      </w:r>
      <w:r>
        <w:rPr>
          <w:rFonts w:hint="eastAsia" w:eastAsia="黑体"/>
          <w:sz w:val="24"/>
          <w:lang w:val="en-US" w:eastAsia="zh-CN"/>
        </w:rPr>
        <w:t xml:space="preserve"> </w:t>
      </w:r>
      <w:r>
        <w:rPr>
          <w:rFonts w:hint="eastAsia" w:eastAsia="黑体"/>
          <w:sz w:val="24"/>
        </w:rPr>
        <w:t>定</w:t>
      </w:r>
      <w:bookmarkEnd w:id="61"/>
      <w:bookmarkEnd w:id="62"/>
    </w:p>
    <w:p>
      <w:pPr>
        <w:spacing w:line="440" w:lineRule="exact"/>
        <w:rPr>
          <w:sz w:val="24"/>
        </w:rPr>
      </w:pPr>
      <w:r>
        <w:rPr>
          <w:rFonts w:hint="eastAsia"/>
          <w:b/>
          <w:bCs/>
          <w:sz w:val="24"/>
        </w:rPr>
        <w:t>6.1.1</w:t>
      </w:r>
      <w:r>
        <w:rPr>
          <w:rFonts w:hint="eastAsia"/>
          <w:sz w:val="24"/>
        </w:rPr>
        <w:t xml:space="preserve">  管幕制作包括钢管制作、锁扣制作与焊接、注浆管制作与焊接。</w:t>
      </w:r>
    </w:p>
    <w:p>
      <w:pPr>
        <w:spacing w:line="440" w:lineRule="exact"/>
        <w:rPr>
          <w:sz w:val="24"/>
        </w:rPr>
      </w:pPr>
      <w:r>
        <w:rPr>
          <w:rFonts w:hint="eastAsia"/>
          <w:b/>
          <w:bCs/>
          <w:sz w:val="24"/>
        </w:rPr>
        <w:t>6.</w:t>
      </w:r>
      <w:r>
        <w:rPr>
          <w:b/>
          <w:bCs/>
          <w:sz w:val="24"/>
        </w:rPr>
        <w:t>1.2</w:t>
      </w:r>
      <w:r>
        <w:rPr>
          <w:rFonts w:hint="eastAsia"/>
          <w:sz w:val="24"/>
        </w:rPr>
        <w:t xml:space="preserve">  管幕钢管及附件加工制作应与采用的施工方法相对应。</w:t>
      </w:r>
    </w:p>
    <w:p>
      <w:pPr>
        <w:spacing w:before="156" w:beforeLines="50" w:after="156" w:afterLines="50" w:line="440" w:lineRule="exact"/>
        <w:jc w:val="center"/>
        <w:outlineLvl w:val="1"/>
        <w:rPr>
          <w:rFonts w:eastAsia="黑体"/>
          <w:sz w:val="24"/>
        </w:rPr>
      </w:pPr>
      <w:bookmarkStart w:id="63" w:name="_Toc5836"/>
      <w:bookmarkStart w:id="64" w:name="_Toc21915"/>
      <w:r>
        <w:rPr>
          <w:rFonts w:hint="eastAsia" w:eastAsia="黑体"/>
          <w:sz w:val="24"/>
        </w:rPr>
        <w:t>6.2  钢</w:t>
      </w:r>
      <w:r>
        <w:rPr>
          <w:rFonts w:hint="eastAsia" w:eastAsia="黑体"/>
          <w:sz w:val="24"/>
          <w:lang w:val="en-US" w:eastAsia="zh-CN"/>
        </w:rPr>
        <w:t xml:space="preserve"> </w:t>
      </w:r>
      <w:r>
        <w:rPr>
          <w:rFonts w:hint="eastAsia" w:eastAsia="黑体"/>
          <w:sz w:val="24"/>
        </w:rPr>
        <w:t>管</w:t>
      </w:r>
      <w:r>
        <w:rPr>
          <w:rFonts w:hint="eastAsia" w:eastAsia="黑体"/>
          <w:sz w:val="24"/>
          <w:lang w:val="en-US" w:eastAsia="zh-CN"/>
        </w:rPr>
        <w:t xml:space="preserve"> </w:t>
      </w:r>
      <w:r>
        <w:rPr>
          <w:rFonts w:hint="eastAsia" w:eastAsia="黑体"/>
          <w:sz w:val="24"/>
        </w:rPr>
        <w:t>制</w:t>
      </w:r>
      <w:r>
        <w:rPr>
          <w:rFonts w:hint="eastAsia" w:eastAsia="黑体"/>
          <w:sz w:val="24"/>
          <w:lang w:val="en-US" w:eastAsia="zh-CN"/>
        </w:rPr>
        <w:t xml:space="preserve"> </w:t>
      </w:r>
      <w:r>
        <w:rPr>
          <w:rFonts w:hint="eastAsia" w:eastAsia="黑体"/>
          <w:sz w:val="24"/>
        </w:rPr>
        <w:t>作</w:t>
      </w:r>
      <w:bookmarkEnd w:id="63"/>
      <w:bookmarkEnd w:id="64"/>
    </w:p>
    <w:p>
      <w:pPr>
        <w:spacing w:line="440" w:lineRule="exact"/>
        <w:rPr>
          <w:sz w:val="24"/>
        </w:rPr>
      </w:pPr>
      <w:r>
        <w:rPr>
          <w:rFonts w:hint="eastAsia"/>
          <w:b/>
          <w:bCs/>
          <w:sz w:val="24"/>
        </w:rPr>
        <w:t>6.</w:t>
      </w:r>
      <w:r>
        <w:rPr>
          <w:b/>
          <w:bCs/>
          <w:sz w:val="24"/>
        </w:rPr>
        <w:t>2.1</w:t>
      </w:r>
      <w:r>
        <w:rPr>
          <w:rFonts w:hint="eastAsia"/>
          <w:sz w:val="24"/>
        </w:rPr>
        <w:t xml:space="preserve">  管幕用钢管宜采用无缝钢管或直缝焊管，不得采用螺旋管。</w:t>
      </w:r>
    </w:p>
    <w:p>
      <w:pPr>
        <w:spacing w:line="440" w:lineRule="exact"/>
        <w:rPr>
          <w:sz w:val="24"/>
        </w:rPr>
      </w:pPr>
      <w:r>
        <w:rPr>
          <w:rFonts w:hint="eastAsia"/>
          <w:b/>
          <w:bCs/>
          <w:sz w:val="24"/>
        </w:rPr>
        <w:t>6.2.2</w:t>
      </w:r>
      <w:r>
        <w:rPr>
          <w:rFonts w:hint="eastAsia"/>
          <w:sz w:val="24"/>
        </w:rPr>
        <w:t xml:space="preserve">  管幕用管材的规格和性能应符合设计文件的规定，并应符合现行国家标准</w:t>
      </w:r>
      <w:bookmarkStart w:id="65" w:name="_Hlk103456945"/>
      <w:r>
        <w:rPr>
          <w:rFonts w:hint="eastAsia"/>
          <w:sz w:val="24"/>
        </w:rPr>
        <w:t>《结构用无缝钢管》GB/T8162和《结构用直缝埋弧焊接钢管》GB/T30063</w:t>
      </w:r>
      <w:bookmarkEnd w:id="65"/>
      <w:r>
        <w:rPr>
          <w:rFonts w:hint="eastAsia"/>
          <w:sz w:val="24"/>
        </w:rPr>
        <w:t>的规定。</w:t>
      </w:r>
    </w:p>
    <w:p>
      <w:pPr>
        <w:spacing w:line="440" w:lineRule="exact"/>
        <w:rPr>
          <w:sz w:val="24"/>
        </w:rPr>
      </w:pPr>
      <w:r>
        <w:rPr>
          <w:rFonts w:hint="eastAsia"/>
          <w:b/>
          <w:bCs/>
          <w:sz w:val="24"/>
        </w:rPr>
        <w:t>6.2.3</w:t>
      </w:r>
      <w:r>
        <w:rPr>
          <w:rFonts w:hint="eastAsia"/>
          <w:sz w:val="24"/>
        </w:rPr>
        <w:t xml:space="preserve">  管幕钢管应根据支护长度、施工工作空间、相邻钢管现场对接接头错开距离，合理确定分节长度，钢管分节切割及加工宜在工厂内完成。</w:t>
      </w:r>
    </w:p>
    <w:p>
      <w:pPr>
        <w:spacing w:line="440" w:lineRule="exact"/>
        <w:rPr>
          <w:sz w:val="24"/>
        </w:rPr>
      </w:pPr>
      <w:bookmarkStart w:id="66" w:name="_Hlk102852683"/>
      <w:r>
        <w:rPr>
          <w:rFonts w:hint="eastAsia"/>
          <w:b/>
          <w:bCs/>
          <w:sz w:val="24"/>
        </w:rPr>
        <w:t>6.2.4</w:t>
      </w:r>
      <w:r>
        <w:rPr>
          <w:rFonts w:hint="eastAsia"/>
          <w:sz w:val="24"/>
        </w:rPr>
        <w:t xml:space="preserve">  管材切割可采用气割、机械切割、等离子切割等方法，切割后的毛边、毛刺应清理干净。</w:t>
      </w:r>
    </w:p>
    <w:p>
      <w:pPr>
        <w:spacing w:line="440" w:lineRule="exact"/>
        <w:rPr>
          <w:sz w:val="24"/>
        </w:rPr>
      </w:pPr>
      <w:r>
        <w:rPr>
          <w:rFonts w:hint="eastAsia"/>
          <w:b/>
          <w:bCs/>
          <w:sz w:val="24"/>
        </w:rPr>
        <w:t>6.2.5</w:t>
      </w:r>
      <w:r>
        <w:rPr>
          <w:rFonts w:hint="eastAsia"/>
          <w:sz w:val="24"/>
        </w:rPr>
        <w:t xml:space="preserve">  管材切割面应无裂纹、夹渣、分层等缺陷和大于1mm的缺棱。</w:t>
      </w:r>
    </w:p>
    <w:bookmarkEnd w:id="66"/>
    <w:p>
      <w:pPr>
        <w:spacing w:line="440" w:lineRule="exact"/>
        <w:rPr>
          <w:sz w:val="24"/>
        </w:rPr>
      </w:pPr>
      <w:r>
        <w:rPr>
          <w:rFonts w:hint="eastAsia"/>
          <w:b/>
          <w:bCs/>
          <w:sz w:val="24"/>
        </w:rPr>
        <w:t xml:space="preserve">6.2.6 </w:t>
      </w:r>
      <w:r>
        <w:rPr>
          <w:rFonts w:hint="eastAsia"/>
          <w:sz w:val="24"/>
        </w:rPr>
        <w:t xml:space="preserve"> 切割前钢材切割区域表面应清理干净。切割时，应根据设备类型、管材壁厚、切割气体等因素选择合适的工艺参数。</w:t>
      </w:r>
    </w:p>
    <w:p>
      <w:pPr>
        <w:spacing w:line="440" w:lineRule="exact"/>
        <w:rPr>
          <w:sz w:val="24"/>
        </w:rPr>
      </w:pPr>
      <w:r>
        <w:rPr>
          <w:rFonts w:hint="eastAsia"/>
          <w:b/>
          <w:bCs/>
          <w:sz w:val="24"/>
        </w:rPr>
        <w:t>6.2.7</w:t>
      </w:r>
      <w:r>
        <w:rPr>
          <w:rFonts w:hint="eastAsia"/>
          <w:sz w:val="24"/>
        </w:rPr>
        <w:t xml:space="preserve">  钢管接口端面采用采用一端（顶进端）平直口，另一端 V 形或 K 形坡口，坡口尺寸应符合设计规定，设计无规定时，坡口尺寸宜符合现行国家标准《钢结构焊接规范》GB50661的相关规定。</w:t>
      </w:r>
    </w:p>
    <w:p>
      <w:pPr>
        <w:spacing w:line="440" w:lineRule="exact"/>
        <w:rPr>
          <w:sz w:val="24"/>
        </w:rPr>
      </w:pPr>
      <w:r>
        <w:rPr>
          <w:rFonts w:hint="eastAsia"/>
          <w:b/>
          <w:bCs/>
          <w:sz w:val="24"/>
        </w:rPr>
        <w:t>6.2.8</w:t>
      </w:r>
      <w:r>
        <w:rPr>
          <w:rFonts w:hint="eastAsia"/>
          <w:sz w:val="24"/>
        </w:rPr>
        <w:t xml:space="preserve">  钢管对接焊缝坡口可采用气割、铲削、刨边机加工等方法。</w:t>
      </w:r>
    </w:p>
    <w:p>
      <w:pPr>
        <w:spacing w:line="440" w:lineRule="exact"/>
        <w:rPr>
          <w:sz w:val="24"/>
        </w:rPr>
      </w:pPr>
      <w:r>
        <w:rPr>
          <w:rFonts w:hint="eastAsia"/>
          <w:b/>
          <w:bCs/>
          <w:sz w:val="24"/>
        </w:rPr>
        <w:t>6.2.9</w:t>
      </w:r>
      <w:r>
        <w:rPr>
          <w:rFonts w:hint="eastAsia"/>
          <w:sz w:val="24"/>
        </w:rPr>
        <w:t xml:space="preserve">  钢管管节两端头应设有可靠加固支撑，防止运输吊装过程中变形。</w:t>
      </w:r>
    </w:p>
    <w:p>
      <w:pPr>
        <w:spacing w:line="440" w:lineRule="exact"/>
        <w:rPr>
          <w:sz w:val="24"/>
        </w:rPr>
      </w:pPr>
      <w:r>
        <w:rPr>
          <w:rFonts w:hint="eastAsia"/>
          <w:b/>
          <w:bCs/>
          <w:sz w:val="24"/>
        </w:rPr>
        <w:t>6.2.10</w:t>
      </w:r>
      <w:r>
        <w:rPr>
          <w:rFonts w:hint="eastAsia"/>
          <w:sz w:val="24"/>
        </w:rPr>
        <w:t xml:space="preserve">  钢管原材的弯曲度、不圆度、外径及壁厚及理论重量应符合现行国家标准</w:t>
      </w:r>
      <w:bookmarkStart w:id="67" w:name="_Hlk103457021"/>
      <w:r>
        <w:rPr>
          <w:rFonts w:hint="eastAsia"/>
          <w:sz w:val="24"/>
        </w:rPr>
        <w:t>《</w:t>
      </w:r>
      <w:r>
        <w:rPr>
          <w:rFonts w:hint="eastAsia" w:ascii="Arial" w:hAnsi="Arial" w:cs="Arial"/>
          <w:kern w:val="36"/>
          <w:sz w:val="24"/>
        </w:rPr>
        <w:t>无缝钢管尺寸、外形、重量及允许偏差</w:t>
      </w:r>
      <w:r>
        <w:rPr>
          <w:rFonts w:hint="eastAsia"/>
          <w:sz w:val="24"/>
        </w:rPr>
        <w:t>》GBT17395的规定。</w:t>
      </w:r>
    </w:p>
    <w:p>
      <w:pPr>
        <w:spacing w:line="440" w:lineRule="exact"/>
        <w:rPr>
          <w:sz w:val="24"/>
        </w:rPr>
      </w:pPr>
      <w:bookmarkStart w:id="68" w:name="_Hlk102850586"/>
      <w:r>
        <w:rPr>
          <w:rFonts w:hint="eastAsia"/>
          <w:b/>
          <w:bCs/>
          <w:sz w:val="24"/>
        </w:rPr>
        <w:t>6.2.11</w:t>
      </w:r>
      <w:r>
        <w:rPr>
          <w:rFonts w:hint="eastAsia"/>
          <w:sz w:val="24"/>
        </w:rPr>
        <w:t xml:space="preserve">  管幕加工制作质量应符合设计及现行国家标准《钢结构工程施工质量验收规范》GB50</w:t>
      </w:r>
      <w:r>
        <w:rPr>
          <w:sz w:val="24"/>
        </w:rPr>
        <w:t>205</w:t>
      </w:r>
      <w:bookmarkEnd w:id="67"/>
      <w:r>
        <w:rPr>
          <w:rFonts w:hint="eastAsia"/>
          <w:sz w:val="24"/>
        </w:rPr>
        <w:t>的规定。</w:t>
      </w:r>
    </w:p>
    <w:bookmarkEnd w:id="68"/>
    <w:p>
      <w:pPr>
        <w:spacing w:before="156" w:beforeLines="50" w:after="156" w:afterLines="50" w:line="440" w:lineRule="exact"/>
        <w:jc w:val="center"/>
        <w:outlineLvl w:val="1"/>
        <w:rPr>
          <w:rFonts w:eastAsia="黑体"/>
          <w:sz w:val="24"/>
        </w:rPr>
      </w:pPr>
      <w:bookmarkStart w:id="69" w:name="_Toc6313"/>
      <w:bookmarkStart w:id="70" w:name="_Toc11129"/>
      <w:r>
        <w:rPr>
          <w:rFonts w:hint="eastAsia" w:eastAsia="黑体"/>
          <w:sz w:val="24"/>
        </w:rPr>
        <w:t>6.3  管幕钢管附件</w:t>
      </w:r>
      <w:bookmarkEnd w:id="69"/>
      <w:bookmarkEnd w:id="70"/>
    </w:p>
    <w:p>
      <w:pPr>
        <w:spacing w:line="440" w:lineRule="exact"/>
        <w:rPr>
          <w:sz w:val="24"/>
        </w:rPr>
      </w:pPr>
      <w:r>
        <w:rPr>
          <w:rFonts w:hint="eastAsia"/>
          <w:b/>
          <w:bCs/>
          <w:sz w:val="24"/>
        </w:rPr>
        <w:t>6.3.1</w:t>
      </w:r>
      <w:r>
        <w:rPr>
          <w:rFonts w:hint="eastAsia"/>
          <w:sz w:val="24"/>
        </w:rPr>
        <w:t xml:space="preserve">  管幕钢管附件应包含公母锁扣、锁扣加强肋板、注浆管等。</w:t>
      </w:r>
    </w:p>
    <w:p>
      <w:pPr>
        <w:spacing w:line="440" w:lineRule="exact"/>
        <w:rPr>
          <w:sz w:val="24"/>
        </w:rPr>
      </w:pPr>
      <w:r>
        <w:rPr>
          <w:rFonts w:hint="eastAsia"/>
          <w:b/>
          <w:bCs/>
          <w:sz w:val="24"/>
        </w:rPr>
        <w:t>6.3.2</w:t>
      </w:r>
      <w:r>
        <w:rPr>
          <w:rFonts w:hint="eastAsia"/>
          <w:sz w:val="24"/>
        </w:rPr>
        <w:t xml:space="preserve">  锁扣、加强肋板、注浆管材料规格性能应符合设计文件的规定。</w:t>
      </w:r>
    </w:p>
    <w:p>
      <w:pPr>
        <w:spacing w:line="440" w:lineRule="exact"/>
        <w:rPr>
          <w:sz w:val="24"/>
        </w:rPr>
      </w:pPr>
      <w:r>
        <w:rPr>
          <w:rFonts w:hint="eastAsia"/>
          <w:b/>
          <w:bCs/>
          <w:sz w:val="24"/>
        </w:rPr>
        <w:t>6.3.3</w:t>
      </w:r>
      <w:r>
        <w:rPr>
          <w:rFonts w:hint="eastAsia"/>
          <w:sz w:val="24"/>
        </w:rPr>
        <w:t xml:space="preserve">  锁扣宜采用角钢、开口钢管、C型钢、槽钢加工制作，锁扣端部距单节管端部宜为100—150mm。</w:t>
      </w:r>
    </w:p>
    <w:p>
      <w:pPr>
        <w:spacing w:line="440" w:lineRule="exact"/>
        <w:rPr>
          <w:strike/>
          <w:sz w:val="24"/>
        </w:rPr>
      </w:pPr>
      <w:r>
        <w:rPr>
          <w:rFonts w:hint="eastAsia"/>
          <w:b/>
          <w:bCs/>
          <w:sz w:val="24"/>
        </w:rPr>
        <w:t>6.3.4</w:t>
      </w:r>
      <w:r>
        <w:rPr>
          <w:rFonts w:hint="eastAsia"/>
          <w:sz w:val="24"/>
        </w:rPr>
        <w:t xml:space="preserve">  锁扣材料、肋板材料、注浆管材料切割应</w:t>
      </w:r>
      <w:bookmarkStart w:id="71" w:name="_Hlk102852991"/>
      <w:r>
        <w:rPr>
          <w:rFonts w:hint="eastAsia"/>
          <w:sz w:val="24"/>
        </w:rPr>
        <w:t>符合本规程第6</w:t>
      </w:r>
      <w:r>
        <w:rPr>
          <w:sz w:val="24"/>
        </w:rPr>
        <w:t>.2.4</w:t>
      </w:r>
      <w:r>
        <w:rPr>
          <w:rFonts w:hint="eastAsia"/>
          <w:sz w:val="24"/>
        </w:rPr>
        <w:t>和6</w:t>
      </w:r>
      <w:r>
        <w:rPr>
          <w:sz w:val="24"/>
        </w:rPr>
        <w:t>.2.5</w:t>
      </w:r>
      <w:r>
        <w:rPr>
          <w:rFonts w:hint="eastAsia"/>
          <w:sz w:val="24"/>
        </w:rPr>
        <w:t>条的规定。</w:t>
      </w:r>
      <w:bookmarkEnd w:id="71"/>
    </w:p>
    <w:p>
      <w:pPr>
        <w:spacing w:line="440" w:lineRule="exact"/>
        <w:rPr>
          <w:sz w:val="24"/>
        </w:rPr>
      </w:pPr>
      <w:r>
        <w:rPr>
          <w:rFonts w:hint="eastAsia"/>
          <w:b/>
          <w:bCs/>
          <w:sz w:val="24"/>
        </w:rPr>
        <w:t>6.3.5</w:t>
      </w:r>
      <w:r>
        <w:rPr>
          <w:rFonts w:hint="eastAsia"/>
          <w:sz w:val="24"/>
        </w:rPr>
        <w:t xml:space="preserve">  注浆管应按设计文件规定留好溢浆孔并应进行保护。</w:t>
      </w:r>
    </w:p>
    <w:p>
      <w:pPr>
        <w:spacing w:line="440" w:lineRule="exact"/>
        <w:rPr>
          <w:sz w:val="24"/>
        </w:rPr>
      </w:pPr>
      <w:r>
        <w:rPr>
          <w:rFonts w:hint="eastAsia"/>
          <w:b/>
          <w:bCs/>
          <w:sz w:val="24"/>
        </w:rPr>
        <w:t>6.3.6</w:t>
      </w:r>
      <w:r>
        <w:rPr>
          <w:rFonts w:hint="eastAsia"/>
          <w:sz w:val="24"/>
        </w:rPr>
        <w:t xml:space="preserve">  管幕附件与钢管的焊接应在专用焊接操作平台上进行，操作平台宜采用型钢钢骨架组焊而成，并应具有一定刚度和精度，调整水平后应与地面固定，锁扣焊接位置应按设计要求在钢管上定位准确。</w:t>
      </w:r>
    </w:p>
    <w:p>
      <w:pPr>
        <w:spacing w:line="440" w:lineRule="exact"/>
        <w:rPr>
          <w:sz w:val="24"/>
        </w:rPr>
      </w:pPr>
      <w:r>
        <w:rPr>
          <w:rFonts w:hint="eastAsia"/>
          <w:b/>
          <w:bCs/>
          <w:sz w:val="24"/>
        </w:rPr>
        <w:t>6.3.7</w:t>
      </w:r>
      <w:r>
        <w:rPr>
          <w:rFonts w:hint="eastAsia"/>
          <w:sz w:val="24"/>
        </w:rPr>
        <w:t xml:space="preserve">  管幕钢管与锁扣可采用间断单面角焊缝，每焊段长度不得小于100mm，焊段间距不应大于300mm，钢管与加强肋板、加强肋板与锁扣之间焊缝宜采用单面角焊缝，其中焊缝长度、高度应符合设计文件规定。</w:t>
      </w:r>
    </w:p>
    <w:p>
      <w:pPr>
        <w:spacing w:line="440" w:lineRule="exact"/>
        <w:rPr>
          <w:sz w:val="24"/>
        </w:rPr>
      </w:pPr>
      <w:r>
        <w:rPr>
          <w:rFonts w:hint="eastAsia"/>
          <w:b/>
          <w:bCs/>
          <w:sz w:val="24"/>
        </w:rPr>
        <w:t>6.3.8</w:t>
      </w:r>
      <w:r>
        <w:rPr>
          <w:rFonts w:hint="eastAsia"/>
          <w:sz w:val="24"/>
        </w:rPr>
        <w:t xml:space="preserve">  焊接施工前，应以合格的焊接工艺评定结果或采用符合免除工艺评定条件为依据，编制焊接工艺文件。</w:t>
      </w:r>
    </w:p>
    <w:p>
      <w:pPr>
        <w:spacing w:line="440" w:lineRule="exact"/>
        <w:rPr>
          <w:sz w:val="24"/>
        </w:rPr>
      </w:pPr>
      <w:r>
        <w:rPr>
          <w:rFonts w:hint="eastAsia"/>
          <w:b/>
          <w:bCs/>
          <w:sz w:val="24"/>
        </w:rPr>
        <w:t xml:space="preserve">6.3.9 </w:t>
      </w:r>
      <w:r>
        <w:rPr>
          <w:rFonts w:hint="eastAsia"/>
          <w:sz w:val="24"/>
        </w:rPr>
        <w:t xml:space="preserve"> 焊接作业应按工艺评定的焊接工艺参数进行，宜现场采用数控自动焊。</w:t>
      </w:r>
    </w:p>
    <w:p>
      <w:pPr>
        <w:spacing w:before="156" w:beforeLines="50" w:after="156" w:afterLines="50" w:line="440" w:lineRule="exact"/>
        <w:jc w:val="center"/>
        <w:outlineLvl w:val="1"/>
        <w:rPr>
          <w:rFonts w:eastAsia="黑体"/>
          <w:sz w:val="24"/>
        </w:rPr>
      </w:pPr>
      <w:bookmarkStart w:id="72" w:name="_Toc103257172"/>
      <w:bookmarkStart w:id="73" w:name="_Toc1504"/>
      <w:bookmarkStart w:id="74" w:name="_Toc14679"/>
      <w:r>
        <w:rPr>
          <w:rFonts w:hint="eastAsia" w:eastAsia="黑体"/>
          <w:sz w:val="24"/>
        </w:rPr>
        <w:t>6.4  管内骨架制作</w:t>
      </w:r>
      <w:bookmarkEnd w:id="72"/>
      <w:bookmarkEnd w:id="73"/>
      <w:bookmarkEnd w:id="74"/>
    </w:p>
    <w:p>
      <w:pPr>
        <w:spacing w:line="440" w:lineRule="exact"/>
        <w:rPr>
          <w:sz w:val="24"/>
        </w:rPr>
      </w:pPr>
      <w:r>
        <w:rPr>
          <w:rFonts w:hint="eastAsia"/>
          <w:b/>
          <w:bCs/>
          <w:sz w:val="24"/>
        </w:rPr>
        <w:t>6.4.1</w:t>
      </w:r>
      <w:r>
        <w:rPr>
          <w:rFonts w:hint="eastAsia"/>
          <w:sz w:val="24"/>
        </w:rPr>
        <w:t xml:space="preserve">  管幕钢管内骨架应符合设计文件规定，宜采用钢筋笼骨架或型钢骨架。</w:t>
      </w:r>
    </w:p>
    <w:p>
      <w:pPr>
        <w:spacing w:line="440" w:lineRule="exact"/>
        <w:rPr>
          <w:sz w:val="24"/>
        </w:rPr>
      </w:pPr>
      <w:r>
        <w:rPr>
          <w:rFonts w:hint="eastAsia"/>
          <w:b/>
          <w:bCs/>
          <w:sz w:val="24"/>
        </w:rPr>
        <w:t>6.4.2</w:t>
      </w:r>
      <w:r>
        <w:rPr>
          <w:rFonts w:hint="eastAsia"/>
          <w:sz w:val="24"/>
        </w:rPr>
        <w:t xml:space="preserve">  钢筋笼骨架应按照运输条件及现场安装空间尺寸进行分节制作，节段接头可采用机械接头或焊接接头。</w:t>
      </w:r>
    </w:p>
    <w:p>
      <w:pPr>
        <w:spacing w:line="440" w:lineRule="exact"/>
        <w:rPr>
          <w:sz w:val="24"/>
        </w:rPr>
      </w:pPr>
      <w:r>
        <w:rPr>
          <w:rFonts w:hint="eastAsia"/>
          <w:b/>
          <w:bCs/>
          <w:sz w:val="24"/>
        </w:rPr>
        <w:t>6.4.3</w:t>
      </w:r>
      <w:r>
        <w:rPr>
          <w:rFonts w:hint="eastAsia"/>
          <w:sz w:val="24"/>
        </w:rPr>
        <w:t xml:space="preserve">  钢筋笼用钢筋材料规格应符合设计文件规定，性能符合现行国家标准</w:t>
      </w:r>
      <w:bookmarkStart w:id="75" w:name="_Hlk103457057"/>
      <w:r>
        <w:rPr>
          <w:sz w:val="24"/>
        </w:rPr>
        <w:t>《钢筋混凝土用钢</w:t>
      </w:r>
      <w:r>
        <w:rPr>
          <w:rFonts w:hint="eastAsia"/>
          <w:sz w:val="24"/>
        </w:rPr>
        <w:t xml:space="preserve"> 第2部分：热轧光圆钢筋</w:t>
      </w:r>
      <w:r>
        <w:rPr>
          <w:sz w:val="24"/>
        </w:rPr>
        <w:t>》GB/T1499.2</w:t>
      </w:r>
      <w:r>
        <w:rPr>
          <w:rFonts w:hint="eastAsia"/>
          <w:sz w:val="24"/>
        </w:rPr>
        <w:t>和</w:t>
      </w:r>
      <w:bookmarkStart w:id="76" w:name="_Hlk102854096"/>
      <w:r>
        <w:rPr>
          <w:sz w:val="24"/>
        </w:rPr>
        <w:t>《钢筋混凝土用钢</w:t>
      </w:r>
      <w:r>
        <w:rPr>
          <w:rFonts w:hint="eastAsia"/>
          <w:sz w:val="24"/>
        </w:rPr>
        <w:t xml:space="preserve"> 第2部分：热轧带肋钢筋</w:t>
      </w:r>
      <w:r>
        <w:rPr>
          <w:sz w:val="24"/>
        </w:rPr>
        <w:t>》GB/T1499.2</w:t>
      </w:r>
      <w:bookmarkEnd w:id="76"/>
      <w:r>
        <w:rPr>
          <w:sz w:val="24"/>
        </w:rPr>
        <w:t>的规定。</w:t>
      </w:r>
    </w:p>
    <w:p>
      <w:pPr>
        <w:spacing w:line="440" w:lineRule="exact"/>
        <w:rPr>
          <w:sz w:val="24"/>
        </w:rPr>
      </w:pPr>
      <w:r>
        <w:rPr>
          <w:rFonts w:hint="eastAsia"/>
          <w:b/>
          <w:bCs/>
          <w:sz w:val="24"/>
        </w:rPr>
        <w:t>6.4.4</w:t>
      </w:r>
      <w:r>
        <w:rPr>
          <w:rFonts w:hint="eastAsia"/>
          <w:sz w:val="24"/>
        </w:rPr>
        <w:t xml:space="preserve">  型钢骨架应按照现场安装空间尺寸和安装方法进行分节制作，节段接头宜采用焊接接头。</w:t>
      </w:r>
    </w:p>
    <w:p>
      <w:pPr>
        <w:spacing w:line="440" w:lineRule="exact"/>
        <w:rPr>
          <w:sz w:val="24"/>
        </w:rPr>
      </w:pPr>
      <w:r>
        <w:rPr>
          <w:rFonts w:hint="eastAsia"/>
          <w:b/>
          <w:bCs/>
          <w:sz w:val="24"/>
        </w:rPr>
        <w:t>6.4.5</w:t>
      </w:r>
      <w:r>
        <w:rPr>
          <w:rFonts w:hint="eastAsia"/>
          <w:sz w:val="24"/>
        </w:rPr>
        <w:t xml:space="preserve">  型钢材料规格应符合设计文件规定，性能应符合现行国家标准</w:t>
      </w:r>
      <w:r>
        <w:rPr>
          <w:sz w:val="24"/>
        </w:rPr>
        <w:t>《</w:t>
      </w:r>
      <w:r>
        <w:rPr>
          <w:rFonts w:hint="eastAsia"/>
          <w:sz w:val="24"/>
        </w:rPr>
        <w:t>热轧型钢</w:t>
      </w:r>
      <w:r>
        <w:rPr>
          <w:sz w:val="24"/>
        </w:rPr>
        <w:t>》GB/T706</w:t>
      </w:r>
      <w:bookmarkEnd w:id="75"/>
      <w:r>
        <w:rPr>
          <w:rFonts w:hint="eastAsia"/>
          <w:sz w:val="24"/>
        </w:rPr>
        <w:t>的规定。</w:t>
      </w:r>
    </w:p>
    <w:p>
      <w:pPr>
        <w:spacing w:line="440" w:lineRule="exact"/>
        <w:rPr>
          <w:sz w:val="24"/>
        </w:rPr>
      </w:pPr>
      <w:r>
        <w:rPr>
          <w:rFonts w:hint="eastAsia"/>
          <w:b/>
          <w:bCs/>
          <w:sz w:val="24"/>
        </w:rPr>
        <w:t>6.4.6</w:t>
      </w:r>
      <w:r>
        <w:rPr>
          <w:rFonts w:hint="eastAsia"/>
          <w:sz w:val="24"/>
        </w:rPr>
        <w:t xml:space="preserve">  型钢切割应符合本规程第6</w:t>
      </w:r>
      <w:r>
        <w:rPr>
          <w:sz w:val="24"/>
        </w:rPr>
        <w:t>.2.4</w:t>
      </w:r>
      <w:r>
        <w:rPr>
          <w:rFonts w:hint="eastAsia"/>
          <w:sz w:val="24"/>
        </w:rPr>
        <w:t>和6</w:t>
      </w:r>
      <w:r>
        <w:rPr>
          <w:sz w:val="24"/>
        </w:rPr>
        <w:t>.2.5</w:t>
      </w:r>
      <w:r>
        <w:rPr>
          <w:rFonts w:hint="eastAsia"/>
          <w:sz w:val="24"/>
        </w:rPr>
        <w:t>条的规定。</w:t>
      </w:r>
    </w:p>
    <w:p>
      <w:pPr>
        <w:pStyle w:val="2"/>
      </w:pPr>
    </w:p>
    <w:p>
      <w:pPr>
        <w:pStyle w:val="2"/>
      </w:pPr>
    </w:p>
    <w:p>
      <w:pPr>
        <w:pStyle w:val="2"/>
      </w:pPr>
    </w:p>
    <w:p>
      <w:pPr>
        <w:pStyle w:val="2"/>
      </w:pPr>
    </w:p>
    <w:p>
      <w:pPr>
        <w:pStyle w:val="2"/>
      </w:pPr>
    </w:p>
    <w:p>
      <w:pPr>
        <w:pStyle w:val="2"/>
      </w:pPr>
    </w:p>
    <w:p>
      <w:pPr>
        <w:spacing w:before="156" w:beforeLines="50" w:after="156" w:afterLines="50"/>
        <w:jc w:val="center"/>
        <w:outlineLvl w:val="0"/>
        <w:rPr>
          <w:sz w:val="32"/>
          <w:szCs w:val="20"/>
        </w:rPr>
      </w:pPr>
      <w:bookmarkStart w:id="77" w:name="_Toc5208"/>
      <w:bookmarkStart w:id="78" w:name="_Toc8431"/>
      <w:r>
        <w:rPr>
          <w:rFonts w:hint="eastAsia"/>
          <w:sz w:val="32"/>
          <w:szCs w:val="20"/>
        </w:rPr>
        <w:t>7  管幕钢管顶进施工</w:t>
      </w:r>
      <w:bookmarkEnd w:id="77"/>
      <w:bookmarkEnd w:id="78"/>
    </w:p>
    <w:p>
      <w:pPr>
        <w:spacing w:before="156" w:beforeLines="50" w:after="156" w:afterLines="50" w:line="440" w:lineRule="exact"/>
        <w:jc w:val="center"/>
        <w:outlineLvl w:val="1"/>
        <w:rPr>
          <w:rFonts w:eastAsia="黑体"/>
          <w:sz w:val="24"/>
        </w:rPr>
      </w:pPr>
      <w:bookmarkStart w:id="79" w:name="_Toc15061"/>
      <w:bookmarkStart w:id="80" w:name="_Toc6126"/>
      <w:r>
        <w:rPr>
          <w:rFonts w:hint="eastAsia" w:eastAsia="黑体"/>
          <w:sz w:val="24"/>
        </w:rPr>
        <w:t>7.1  一 般 规 定</w:t>
      </w:r>
      <w:bookmarkEnd w:id="79"/>
      <w:bookmarkEnd w:id="80"/>
    </w:p>
    <w:p>
      <w:pPr>
        <w:spacing w:line="440" w:lineRule="exact"/>
        <w:rPr>
          <w:sz w:val="24"/>
        </w:rPr>
      </w:pPr>
      <w:r>
        <w:rPr>
          <w:b/>
          <w:bCs/>
          <w:sz w:val="24"/>
        </w:rPr>
        <w:t>7</w:t>
      </w:r>
      <w:r>
        <w:rPr>
          <w:rFonts w:hint="eastAsia"/>
          <w:b/>
          <w:bCs/>
          <w:sz w:val="24"/>
        </w:rPr>
        <w:t>.</w:t>
      </w:r>
      <w:r>
        <w:rPr>
          <w:b/>
          <w:bCs/>
          <w:sz w:val="24"/>
        </w:rPr>
        <w:t>1</w:t>
      </w:r>
      <w:r>
        <w:rPr>
          <w:rFonts w:hint="eastAsia"/>
          <w:b/>
          <w:bCs/>
          <w:sz w:val="24"/>
        </w:rPr>
        <w:t>.</w:t>
      </w:r>
      <w:r>
        <w:rPr>
          <w:b/>
          <w:bCs/>
          <w:sz w:val="24"/>
        </w:rPr>
        <w:t>1</w:t>
      </w:r>
      <w:r>
        <w:rPr>
          <w:rFonts w:hint="eastAsia"/>
          <w:sz w:val="24"/>
        </w:rPr>
        <w:t xml:space="preserve">  管幕钢管顶进施工工艺方法的选择应遵循适用性、可靠性、先进性、经济性的原则，并应依据以下内容进行比选：</w:t>
      </w:r>
    </w:p>
    <w:p>
      <w:pPr>
        <w:pStyle w:val="2"/>
        <w:spacing w:after="0" w:line="440" w:lineRule="exact"/>
        <w:ind w:left="0" w:leftChars="0" w:firstLine="361" w:firstLineChars="150"/>
        <w:rPr>
          <w:sz w:val="24"/>
        </w:rPr>
      </w:pPr>
      <w:r>
        <w:rPr>
          <w:rFonts w:hint="eastAsia"/>
          <w:b/>
          <w:bCs/>
          <w:sz w:val="24"/>
        </w:rPr>
        <w:t>1</w:t>
      </w:r>
      <w:r>
        <w:rPr>
          <w:rFonts w:hint="eastAsia"/>
          <w:sz w:val="24"/>
        </w:rPr>
        <w:t xml:space="preserve">  场区工程地质和水文地质条件；</w:t>
      </w:r>
    </w:p>
    <w:p>
      <w:pPr>
        <w:pStyle w:val="2"/>
        <w:spacing w:after="0" w:line="440" w:lineRule="exact"/>
        <w:ind w:left="0" w:leftChars="0" w:firstLine="361" w:firstLineChars="150"/>
        <w:rPr>
          <w:sz w:val="24"/>
        </w:rPr>
      </w:pPr>
      <w:r>
        <w:rPr>
          <w:rFonts w:hint="eastAsia"/>
          <w:b/>
          <w:bCs/>
          <w:sz w:val="24"/>
        </w:rPr>
        <w:t>2</w:t>
      </w:r>
      <w:r>
        <w:rPr>
          <w:rFonts w:hint="eastAsia"/>
          <w:sz w:val="24"/>
        </w:rPr>
        <w:t xml:space="preserve">  施工环境及其保护要求；</w:t>
      </w:r>
    </w:p>
    <w:p>
      <w:pPr>
        <w:pStyle w:val="2"/>
        <w:spacing w:after="0" w:line="440" w:lineRule="exact"/>
        <w:ind w:left="0" w:leftChars="0" w:firstLine="361" w:firstLineChars="150"/>
        <w:rPr>
          <w:sz w:val="24"/>
        </w:rPr>
      </w:pPr>
      <w:r>
        <w:rPr>
          <w:rFonts w:hint="eastAsia"/>
          <w:b/>
          <w:bCs/>
          <w:sz w:val="24"/>
        </w:rPr>
        <w:t>3</w:t>
      </w:r>
      <w:r>
        <w:rPr>
          <w:rFonts w:hint="eastAsia"/>
          <w:sz w:val="24"/>
        </w:rPr>
        <w:t xml:space="preserve">  场区作业条件；</w:t>
      </w:r>
    </w:p>
    <w:p>
      <w:pPr>
        <w:pStyle w:val="2"/>
        <w:spacing w:after="0" w:line="440" w:lineRule="exact"/>
        <w:ind w:left="0" w:leftChars="0" w:firstLine="361" w:firstLineChars="150"/>
        <w:rPr>
          <w:sz w:val="24"/>
        </w:rPr>
      </w:pPr>
      <w:r>
        <w:rPr>
          <w:rFonts w:hint="eastAsia"/>
          <w:b/>
          <w:bCs/>
          <w:sz w:val="24"/>
        </w:rPr>
        <w:t>4</w:t>
      </w:r>
      <w:r>
        <w:rPr>
          <w:rFonts w:hint="eastAsia"/>
          <w:sz w:val="24"/>
        </w:rPr>
        <w:t xml:space="preserve">  管幕钢管直径和施工长度等设计条件；</w:t>
      </w:r>
    </w:p>
    <w:p>
      <w:pPr>
        <w:pStyle w:val="2"/>
        <w:spacing w:after="0" w:line="440" w:lineRule="exact"/>
        <w:ind w:left="0" w:leftChars="0" w:firstLine="361" w:firstLineChars="150"/>
        <w:rPr>
          <w:sz w:val="24"/>
        </w:rPr>
      </w:pPr>
      <w:r>
        <w:rPr>
          <w:rFonts w:hint="eastAsia"/>
          <w:b/>
          <w:bCs/>
          <w:sz w:val="24"/>
        </w:rPr>
        <w:t>5</w:t>
      </w:r>
      <w:r>
        <w:rPr>
          <w:rFonts w:hint="eastAsia"/>
          <w:sz w:val="24"/>
        </w:rPr>
        <w:t xml:space="preserve">  管幕钢管施工精度要求；</w:t>
      </w:r>
    </w:p>
    <w:p>
      <w:pPr>
        <w:pStyle w:val="2"/>
        <w:spacing w:after="0" w:line="440" w:lineRule="exact"/>
        <w:ind w:left="0" w:leftChars="0" w:firstLine="361" w:firstLineChars="150"/>
        <w:rPr>
          <w:sz w:val="24"/>
        </w:rPr>
      </w:pPr>
      <w:r>
        <w:rPr>
          <w:rFonts w:hint="eastAsia"/>
          <w:b/>
          <w:bCs/>
          <w:sz w:val="24"/>
        </w:rPr>
        <w:t>6</w:t>
      </w:r>
      <w:r>
        <w:rPr>
          <w:rFonts w:hint="eastAsia"/>
          <w:sz w:val="24"/>
        </w:rPr>
        <w:t xml:space="preserve">  管幕钢管施工工艺方法的适用性和设备能力；</w:t>
      </w:r>
    </w:p>
    <w:p>
      <w:pPr>
        <w:pStyle w:val="2"/>
        <w:spacing w:after="0" w:line="440" w:lineRule="exact"/>
        <w:ind w:left="0" w:leftChars="0" w:firstLine="361" w:firstLineChars="150"/>
        <w:rPr>
          <w:sz w:val="24"/>
        </w:rPr>
      </w:pPr>
      <w:r>
        <w:rPr>
          <w:rFonts w:hint="eastAsia"/>
          <w:b/>
          <w:bCs/>
          <w:sz w:val="24"/>
        </w:rPr>
        <w:t>7</w:t>
      </w:r>
      <w:r>
        <w:rPr>
          <w:rFonts w:hint="eastAsia"/>
          <w:sz w:val="24"/>
        </w:rPr>
        <w:t xml:space="preserve">  工期条件；</w:t>
      </w:r>
    </w:p>
    <w:p>
      <w:pPr>
        <w:pStyle w:val="2"/>
        <w:spacing w:after="0" w:line="440" w:lineRule="exact"/>
        <w:ind w:left="0" w:leftChars="0" w:firstLine="361" w:firstLineChars="150"/>
        <w:rPr>
          <w:sz w:val="24"/>
        </w:rPr>
      </w:pPr>
      <w:r>
        <w:rPr>
          <w:rFonts w:hint="eastAsia"/>
          <w:b/>
          <w:bCs/>
          <w:sz w:val="24"/>
        </w:rPr>
        <w:t>8</w:t>
      </w:r>
      <w:r>
        <w:rPr>
          <w:rFonts w:hint="eastAsia"/>
          <w:sz w:val="24"/>
        </w:rPr>
        <w:t xml:space="preserve">  类似工程施工经验等。</w:t>
      </w:r>
    </w:p>
    <w:p>
      <w:pPr>
        <w:spacing w:line="440" w:lineRule="exact"/>
        <w:rPr>
          <w:sz w:val="24"/>
        </w:rPr>
      </w:pPr>
      <w:r>
        <w:rPr>
          <w:rFonts w:hint="eastAsia"/>
          <w:b/>
          <w:bCs/>
          <w:sz w:val="24"/>
        </w:rPr>
        <w:t>7.1.</w:t>
      </w:r>
      <w:r>
        <w:rPr>
          <w:b/>
          <w:bCs/>
          <w:sz w:val="24"/>
        </w:rPr>
        <w:t>2</w:t>
      </w:r>
      <w:r>
        <w:rPr>
          <w:rFonts w:hint="eastAsia"/>
          <w:sz w:val="24"/>
        </w:rPr>
        <w:t xml:space="preserve">  管幕钢管顶进设备现场组装完成后应对各系统进行调试并验收。</w:t>
      </w:r>
    </w:p>
    <w:p>
      <w:pPr>
        <w:spacing w:line="440" w:lineRule="exact"/>
        <w:rPr>
          <w:sz w:val="24"/>
        </w:rPr>
      </w:pPr>
      <w:r>
        <w:rPr>
          <w:rFonts w:hint="eastAsia"/>
          <w:b/>
          <w:bCs/>
          <w:sz w:val="24"/>
        </w:rPr>
        <w:t>7.1.</w:t>
      </w:r>
      <w:r>
        <w:rPr>
          <w:b/>
          <w:bCs/>
          <w:sz w:val="24"/>
        </w:rPr>
        <w:t>3</w:t>
      </w:r>
      <w:r>
        <w:rPr>
          <w:rFonts w:hint="eastAsia"/>
          <w:sz w:val="24"/>
        </w:rPr>
        <w:t xml:space="preserve">  管幕钢管顶进施工应设试验段，并应根据试验情况调整并确定施工参数。</w:t>
      </w:r>
    </w:p>
    <w:p>
      <w:pPr>
        <w:spacing w:line="440" w:lineRule="exact"/>
        <w:rPr>
          <w:strike/>
          <w:sz w:val="24"/>
        </w:rPr>
      </w:pPr>
      <w:r>
        <w:rPr>
          <w:rFonts w:hint="eastAsia"/>
          <w:b/>
          <w:bCs/>
          <w:sz w:val="24"/>
        </w:rPr>
        <w:t>7.1.4</w:t>
      </w:r>
      <w:r>
        <w:rPr>
          <w:rFonts w:hint="eastAsia"/>
          <w:sz w:val="24"/>
        </w:rPr>
        <w:t xml:space="preserve">  排土方式应根据工艺、管径、地层条件、顶进距离等确定。</w:t>
      </w:r>
    </w:p>
    <w:p>
      <w:pPr>
        <w:spacing w:line="440" w:lineRule="exact"/>
        <w:rPr>
          <w:sz w:val="24"/>
        </w:rPr>
      </w:pPr>
      <w:r>
        <w:rPr>
          <w:rFonts w:hint="eastAsia"/>
          <w:b/>
          <w:bCs/>
          <w:sz w:val="24"/>
        </w:rPr>
        <w:t>7.1.5</w:t>
      </w:r>
      <w:r>
        <w:rPr>
          <w:rFonts w:hint="eastAsia"/>
          <w:sz w:val="24"/>
        </w:rPr>
        <w:t xml:space="preserve">  管节长度应满足在工作井或其他操作空间内吊放、安装的要求，并应满足施工工艺要求。</w:t>
      </w:r>
    </w:p>
    <w:p>
      <w:pPr>
        <w:spacing w:line="440" w:lineRule="exact"/>
        <w:rPr>
          <w:sz w:val="24"/>
        </w:rPr>
      </w:pPr>
      <w:r>
        <w:rPr>
          <w:rFonts w:hint="eastAsia"/>
          <w:b/>
          <w:bCs/>
          <w:sz w:val="24"/>
        </w:rPr>
        <w:t>7.1.6</w:t>
      </w:r>
      <w:r>
        <w:rPr>
          <w:rFonts w:hint="eastAsia"/>
          <w:sz w:val="24"/>
        </w:rPr>
        <w:t xml:space="preserve">  管幕顶进位置可结合测量误差、施工工艺、施工误差、施工及工后沉降等因素，沿拟建结构位置外放0mm～100mm。</w:t>
      </w:r>
    </w:p>
    <w:p>
      <w:pPr>
        <w:spacing w:line="440" w:lineRule="exact"/>
        <w:rPr>
          <w:sz w:val="24"/>
        </w:rPr>
      </w:pPr>
      <w:r>
        <w:rPr>
          <w:rFonts w:hint="eastAsia"/>
          <w:b/>
          <w:bCs/>
          <w:sz w:val="24"/>
        </w:rPr>
        <w:t>7.1.7</w:t>
      </w:r>
      <w:r>
        <w:rPr>
          <w:rFonts w:hint="eastAsia"/>
          <w:sz w:val="24"/>
        </w:rPr>
        <w:t xml:space="preserve">  施工过程应控制排土量、管幕钢管姿态和地层变形，应对管幕钢管姿态进行复核测量并及时纠偏。</w:t>
      </w:r>
    </w:p>
    <w:p>
      <w:pPr>
        <w:spacing w:line="440" w:lineRule="exact"/>
        <w:rPr>
          <w:sz w:val="24"/>
        </w:rPr>
      </w:pPr>
      <w:r>
        <w:rPr>
          <w:rFonts w:hint="eastAsia"/>
          <w:b/>
          <w:bCs/>
          <w:sz w:val="24"/>
        </w:rPr>
        <w:t>7.1.8</w:t>
      </w:r>
      <w:r>
        <w:rPr>
          <w:rFonts w:hint="eastAsia"/>
          <w:sz w:val="24"/>
        </w:rPr>
        <w:t xml:space="preserve">  弃土和泥浆处理应符合环境保护要求。</w:t>
      </w:r>
    </w:p>
    <w:p>
      <w:pPr>
        <w:spacing w:before="156" w:beforeLines="50" w:after="156" w:afterLines="50" w:line="440" w:lineRule="exact"/>
        <w:jc w:val="center"/>
        <w:outlineLvl w:val="1"/>
        <w:rPr>
          <w:sz w:val="24"/>
        </w:rPr>
      </w:pPr>
      <w:bookmarkStart w:id="81" w:name="_Toc18826"/>
      <w:bookmarkStart w:id="82" w:name="_Toc4316"/>
      <w:r>
        <w:rPr>
          <w:rFonts w:hint="eastAsia" w:eastAsia="黑体"/>
          <w:sz w:val="24"/>
        </w:rPr>
        <w:t>7.2  拉管法施工</w:t>
      </w:r>
      <w:bookmarkEnd w:id="81"/>
      <w:bookmarkEnd w:id="82"/>
    </w:p>
    <w:p>
      <w:pPr>
        <w:spacing w:line="440" w:lineRule="exact"/>
        <w:rPr>
          <w:sz w:val="24"/>
        </w:rPr>
      </w:pPr>
      <w:r>
        <w:rPr>
          <w:rFonts w:hint="eastAsia"/>
          <w:b/>
          <w:bCs/>
          <w:sz w:val="24"/>
        </w:rPr>
        <w:t>7.2.1</w:t>
      </w:r>
      <w:r>
        <w:rPr>
          <w:b/>
          <w:bCs/>
          <w:sz w:val="24"/>
        </w:rPr>
        <w:t xml:space="preserve">  </w:t>
      </w:r>
      <w:r>
        <w:rPr>
          <w:rFonts w:hint="eastAsia"/>
          <w:sz w:val="24"/>
        </w:rPr>
        <w:t>粉土、粘土、密实砂土等稳定均质地层，埋深浅的卵石、中等硬度的岩石等地层可采用拉管法施工。</w:t>
      </w:r>
    </w:p>
    <w:p>
      <w:pPr>
        <w:pStyle w:val="2"/>
        <w:spacing w:after="0" w:line="440" w:lineRule="exact"/>
        <w:ind w:left="482" w:leftChars="0" w:hanging="482" w:hangingChars="200"/>
        <w:rPr>
          <w:b/>
          <w:bCs/>
          <w:sz w:val="24"/>
        </w:rPr>
      </w:pPr>
      <w:r>
        <w:rPr>
          <w:rFonts w:hint="eastAsia"/>
          <w:b/>
          <w:bCs/>
          <w:sz w:val="24"/>
        </w:rPr>
        <w:t>7.2.2</w:t>
      </w:r>
      <w:r>
        <w:rPr>
          <w:b/>
          <w:bCs/>
          <w:sz w:val="24"/>
        </w:rPr>
        <w:t xml:space="preserve">  </w:t>
      </w:r>
      <w:r>
        <w:rPr>
          <w:sz w:val="24"/>
        </w:rPr>
        <w:t>钻机安装调试应符合下列规定</w:t>
      </w:r>
      <w:r>
        <w:rPr>
          <w:rFonts w:hint="eastAsia"/>
          <w:sz w:val="24"/>
        </w:rPr>
        <w:t>：</w:t>
      </w:r>
    </w:p>
    <w:p>
      <w:pPr>
        <w:pStyle w:val="2"/>
        <w:spacing w:after="0" w:line="440" w:lineRule="exact"/>
        <w:ind w:left="315" w:leftChars="150" w:firstLine="0" w:firstLineChars="0"/>
        <w:rPr>
          <w:sz w:val="24"/>
        </w:rPr>
      </w:pPr>
      <w:r>
        <w:rPr>
          <w:b/>
          <w:bCs/>
          <w:sz w:val="24"/>
        </w:rPr>
        <w:t xml:space="preserve">1  </w:t>
      </w:r>
      <w:r>
        <w:rPr>
          <w:sz w:val="24"/>
        </w:rPr>
        <w:t>根据施工场地规划</w:t>
      </w:r>
      <w:r>
        <w:rPr>
          <w:rFonts w:hint="eastAsia"/>
          <w:sz w:val="24"/>
        </w:rPr>
        <w:t>，</w:t>
      </w:r>
      <w:r>
        <w:rPr>
          <w:sz w:val="24"/>
        </w:rPr>
        <w:t>设备</w:t>
      </w:r>
      <w:r>
        <w:rPr>
          <w:rFonts w:hint="eastAsia"/>
          <w:sz w:val="24"/>
        </w:rPr>
        <w:t>宜</w:t>
      </w:r>
      <w:r>
        <w:rPr>
          <w:sz w:val="24"/>
        </w:rPr>
        <w:t>依次进场就位</w:t>
      </w:r>
      <w:r>
        <w:rPr>
          <w:rFonts w:hint="eastAsia"/>
          <w:sz w:val="24"/>
        </w:rPr>
        <w:t>；</w:t>
      </w:r>
      <w:r>
        <w:rPr>
          <w:sz w:val="24"/>
        </w:rPr>
        <w:br w:type="textWrapping"/>
      </w:r>
      <w:r>
        <w:rPr>
          <w:rFonts w:hint="eastAsia"/>
          <w:b/>
          <w:bCs/>
          <w:sz w:val="24"/>
        </w:rPr>
        <w:t>2</w:t>
      </w:r>
      <w:r>
        <w:rPr>
          <w:b/>
          <w:bCs/>
          <w:sz w:val="24"/>
        </w:rPr>
        <w:t xml:space="preserve">  </w:t>
      </w:r>
      <w:r>
        <w:rPr>
          <w:sz w:val="24"/>
        </w:rPr>
        <w:t>钻机宜安装在穿越中心线上</w:t>
      </w:r>
      <w:r>
        <w:rPr>
          <w:rFonts w:hint="eastAsia"/>
          <w:sz w:val="24"/>
        </w:rPr>
        <w:t>，</w:t>
      </w:r>
      <w:r>
        <w:rPr>
          <w:sz w:val="24"/>
        </w:rPr>
        <w:t>锚固件应安装牢固</w:t>
      </w:r>
      <w:r>
        <w:rPr>
          <w:rFonts w:hint="eastAsia"/>
          <w:sz w:val="24"/>
        </w:rPr>
        <w:t>；</w:t>
      </w:r>
      <w:r>
        <w:rPr>
          <w:sz w:val="24"/>
        </w:rPr>
        <w:br w:type="textWrapping"/>
      </w:r>
      <w:r>
        <w:rPr>
          <w:rFonts w:hint="eastAsia"/>
          <w:b/>
          <w:bCs/>
          <w:sz w:val="24"/>
        </w:rPr>
        <w:t>3</w:t>
      </w:r>
      <w:r>
        <w:rPr>
          <w:b/>
          <w:bCs/>
          <w:sz w:val="24"/>
        </w:rPr>
        <w:t xml:space="preserve">  </w:t>
      </w:r>
      <w:r>
        <w:rPr>
          <w:sz w:val="24"/>
        </w:rPr>
        <w:t>有线控向系统的调校地点应选在不受磁场干扰的区域</w:t>
      </w:r>
      <w:r>
        <w:rPr>
          <w:rFonts w:hint="eastAsia"/>
          <w:sz w:val="24"/>
        </w:rPr>
        <w:t>，</w:t>
      </w:r>
      <w:r>
        <w:rPr>
          <w:sz w:val="24"/>
        </w:rPr>
        <w:t>调校时探头在同一位置宜多次测量</w:t>
      </w:r>
      <w:r>
        <w:rPr>
          <w:rFonts w:hint="eastAsia"/>
          <w:sz w:val="24"/>
        </w:rPr>
        <w:t>，</w:t>
      </w:r>
      <w:r>
        <w:rPr>
          <w:sz w:val="24"/>
        </w:rPr>
        <w:t>并</w:t>
      </w:r>
      <w:r>
        <w:rPr>
          <w:rFonts w:hint="eastAsia"/>
          <w:sz w:val="24"/>
        </w:rPr>
        <w:t>应</w:t>
      </w:r>
      <w:r>
        <w:rPr>
          <w:sz w:val="24"/>
        </w:rPr>
        <w:t>取多次测量值的算术平均值作为方位角基准值</w:t>
      </w:r>
      <w:r>
        <w:rPr>
          <w:rFonts w:hint="eastAsia"/>
          <w:sz w:val="24"/>
        </w:rPr>
        <w:t>；</w:t>
      </w:r>
      <w:r>
        <w:rPr>
          <w:sz w:val="24"/>
        </w:rPr>
        <w:br w:type="textWrapping"/>
      </w:r>
      <w:r>
        <w:rPr>
          <w:rFonts w:hint="eastAsia"/>
          <w:b/>
          <w:bCs/>
          <w:sz w:val="24"/>
        </w:rPr>
        <w:t>4</w:t>
      </w:r>
      <w:r>
        <w:rPr>
          <w:b/>
          <w:bCs/>
          <w:sz w:val="24"/>
        </w:rPr>
        <w:t xml:space="preserve">  </w:t>
      </w:r>
      <w:r>
        <w:rPr>
          <w:sz w:val="24"/>
        </w:rPr>
        <w:t>设备安装完成后应进行整体试运转</w:t>
      </w:r>
      <w:r>
        <w:rPr>
          <w:rFonts w:hint="eastAsia"/>
          <w:sz w:val="24"/>
        </w:rPr>
        <w:t>，并应</w:t>
      </w:r>
      <w:r>
        <w:rPr>
          <w:sz w:val="24"/>
        </w:rPr>
        <w:t>确保设备工作正常</w:t>
      </w:r>
      <w:r>
        <w:rPr>
          <w:rFonts w:hint="eastAsia"/>
          <w:sz w:val="24"/>
        </w:rPr>
        <w:t>；</w:t>
      </w:r>
      <w:r>
        <w:rPr>
          <w:sz w:val="24"/>
        </w:rPr>
        <w:br w:type="textWrapping"/>
      </w:r>
      <w:r>
        <w:rPr>
          <w:rFonts w:hint="eastAsia"/>
          <w:b/>
          <w:bCs/>
          <w:sz w:val="24"/>
        </w:rPr>
        <w:t>5</w:t>
      </w:r>
      <w:r>
        <w:rPr>
          <w:b/>
          <w:bCs/>
          <w:sz w:val="24"/>
        </w:rPr>
        <w:t xml:space="preserve">  </w:t>
      </w:r>
      <w:r>
        <w:rPr>
          <w:sz w:val="24"/>
        </w:rPr>
        <w:t>在条件具备的情况下</w:t>
      </w:r>
      <w:r>
        <w:rPr>
          <w:rFonts w:hint="eastAsia"/>
          <w:sz w:val="24"/>
        </w:rPr>
        <w:t>，</w:t>
      </w:r>
      <w:r>
        <w:rPr>
          <w:sz w:val="24"/>
        </w:rPr>
        <w:t>应使用人工磁场。</w:t>
      </w:r>
    </w:p>
    <w:p>
      <w:pPr>
        <w:pStyle w:val="2"/>
        <w:spacing w:after="0" w:line="440" w:lineRule="exact"/>
        <w:ind w:left="482" w:leftChars="0" w:hanging="482" w:hangingChars="200"/>
      </w:pPr>
      <w:r>
        <w:rPr>
          <w:b/>
          <w:bCs/>
          <w:sz w:val="24"/>
        </w:rPr>
        <w:t>7.2.</w:t>
      </w:r>
      <w:r>
        <w:rPr>
          <w:rFonts w:hint="eastAsia"/>
          <w:b/>
          <w:bCs/>
          <w:sz w:val="24"/>
        </w:rPr>
        <w:t>3</w:t>
      </w:r>
      <w:r>
        <w:rPr>
          <w:b/>
          <w:bCs/>
          <w:sz w:val="24"/>
        </w:rPr>
        <w:t xml:space="preserve">  </w:t>
      </w:r>
      <w:r>
        <w:rPr>
          <w:sz w:val="24"/>
        </w:rPr>
        <w:t>钻机场地应符合下列规定</w:t>
      </w:r>
      <w:r>
        <w:rPr>
          <w:rFonts w:hint="eastAsia"/>
          <w:sz w:val="24"/>
        </w:rPr>
        <w:t>：</w:t>
      </w:r>
    </w:p>
    <w:p>
      <w:pPr>
        <w:pStyle w:val="2"/>
        <w:spacing w:line="440" w:lineRule="exact"/>
        <w:ind w:left="0" w:leftChars="0" w:firstLine="361" w:firstLineChars="150"/>
        <w:rPr>
          <w:sz w:val="24"/>
        </w:rPr>
      </w:pPr>
      <w:r>
        <w:rPr>
          <w:b/>
          <w:bCs/>
          <w:sz w:val="24"/>
        </w:rPr>
        <w:t xml:space="preserve">1  </w:t>
      </w:r>
      <w:r>
        <w:rPr>
          <w:sz w:val="24"/>
        </w:rPr>
        <w:t>小型</w:t>
      </w:r>
      <w:r>
        <w:fldChar w:fldCharType="begin"/>
      </w:r>
      <w:r>
        <w:instrText xml:space="preserve"> HYPERLINK "http://www.gdcyjs.com/baike-5.html" \t "_blank" </w:instrText>
      </w:r>
      <w:r>
        <w:fldChar w:fldCharType="separate"/>
      </w:r>
      <w:r>
        <w:rPr>
          <w:sz w:val="24"/>
        </w:rPr>
        <w:t>水平定向钻</w:t>
      </w:r>
      <w:r>
        <w:rPr>
          <w:sz w:val="24"/>
        </w:rPr>
        <w:fldChar w:fldCharType="end"/>
      </w:r>
      <w:r>
        <w:rPr>
          <w:sz w:val="24"/>
        </w:rPr>
        <w:t>机的安装场地</w:t>
      </w:r>
      <w:r>
        <w:rPr>
          <w:rFonts w:hint="eastAsia"/>
          <w:sz w:val="24"/>
        </w:rPr>
        <w:t>宜</w:t>
      </w:r>
      <w:r>
        <w:rPr>
          <w:sz w:val="24"/>
        </w:rPr>
        <w:t>为40m×40m</w:t>
      </w:r>
      <w:r>
        <w:rPr>
          <w:rFonts w:hint="eastAsia"/>
          <w:sz w:val="24"/>
        </w:rPr>
        <w:t>，</w:t>
      </w:r>
      <w:r>
        <w:rPr>
          <w:sz w:val="24"/>
        </w:rPr>
        <w:t>大型</w:t>
      </w:r>
      <w:r>
        <w:fldChar w:fldCharType="begin"/>
      </w:r>
      <w:r>
        <w:instrText xml:space="preserve"> HYPERLINK "http://www.gdcyjs.com/baike-5.html" \t "_blank" </w:instrText>
      </w:r>
      <w:r>
        <w:fldChar w:fldCharType="separate"/>
      </w:r>
      <w:r>
        <w:rPr>
          <w:sz w:val="24"/>
        </w:rPr>
        <w:t>水平定向钻</w:t>
      </w:r>
      <w:r>
        <w:rPr>
          <w:sz w:val="24"/>
        </w:rPr>
        <w:fldChar w:fldCharType="end"/>
      </w:r>
      <w:r>
        <w:rPr>
          <w:sz w:val="24"/>
        </w:rPr>
        <w:t>机的安装场地</w:t>
      </w:r>
      <w:r>
        <w:rPr>
          <w:rFonts w:hint="eastAsia"/>
          <w:sz w:val="24"/>
        </w:rPr>
        <w:t>宜</w:t>
      </w:r>
      <w:r>
        <w:rPr>
          <w:sz w:val="24"/>
        </w:rPr>
        <w:t>约为60m×60m</w:t>
      </w:r>
      <w:r>
        <w:rPr>
          <w:rFonts w:hint="eastAsia"/>
          <w:sz w:val="24"/>
        </w:rPr>
        <w:t>；</w:t>
      </w:r>
    </w:p>
    <w:p>
      <w:pPr>
        <w:pStyle w:val="2"/>
        <w:spacing w:line="440" w:lineRule="exact"/>
        <w:ind w:left="0" w:leftChars="0" w:firstLine="360" w:firstLineChars="150"/>
        <w:rPr>
          <w:sz w:val="24"/>
        </w:rPr>
      </w:pPr>
      <w:r>
        <w:rPr>
          <w:rFonts w:hint="eastAsia"/>
          <w:sz w:val="24"/>
        </w:rPr>
        <w:t xml:space="preserve">2  </w:t>
      </w:r>
      <w:r>
        <w:rPr>
          <w:sz w:val="24"/>
        </w:rPr>
        <w:t>安装场地应根据钻机及附属设备的要求</w:t>
      </w:r>
      <w:r>
        <w:rPr>
          <w:rFonts w:hint="eastAsia"/>
          <w:sz w:val="24"/>
        </w:rPr>
        <w:t>，</w:t>
      </w:r>
      <w:r>
        <w:rPr>
          <w:sz w:val="24"/>
        </w:rPr>
        <w:t>结合现场条件进行布置</w:t>
      </w:r>
      <w:r>
        <w:rPr>
          <w:rFonts w:hint="eastAsia"/>
          <w:sz w:val="24"/>
        </w:rPr>
        <w:t>；</w:t>
      </w:r>
      <w:r>
        <w:rPr>
          <w:sz w:val="24"/>
        </w:rPr>
        <w:br w:type="textWrapping"/>
      </w:r>
      <w:r>
        <w:rPr>
          <w:sz w:val="24"/>
        </w:rPr>
        <w:t xml:space="preserve">   </w:t>
      </w:r>
      <w:r>
        <w:rPr>
          <w:rFonts w:hint="eastAsia"/>
          <w:b/>
          <w:bCs/>
          <w:sz w:val="24"/>
        </w:rPr>
        <w:t>3</w:t>
      </w:r>
      <w:r>
        <w:rPr>
          <w:b/>
          <w:bCs/>
          <w:sz w:val="24"/>
        </w:rPr>
        <w:t xml:space="preserve">  </w:t>
      </w:r>
      <w:r>
        <w:rPr>
          <w:sz w:val="24"/>
        </w:rPr>
        <w:t>钻机场地内应设泥浆池</w:t>
      </w:r>
      <w:r>
        <w:rPr>
          <w:rFonts w:hint="eastAsia"/>
          <w:sz w:val="24"/>
        </w:rPr>
        <w:t>，</w:t>
      </w:r>
      <w:r>
        <w:rPr>
          <w:sz w:val="24"/>
        </w:rPr>
        <w:t>其大小应根据泥浆用量确定</w:t>
      </w:r>
      <w:r>
        <w:rPr>
          <w:rFonts w:hint="eastAsia"/>
          <w:sz w:val="24"/>
        </w:rPr>
        <w:t>，</w:t>
      </w:r>
      <w:r>
        <w:rPr>
          <w:sz w:val="24"/>
        </w:rPr>
        <w:t>泥浆池不宜</w:t>
      </w:r>
      <w:r>
        <w:rPr>
          <w:rFonts w:hint="eastAsia"/>
          <w:sz w:val="24"/>
        </w:rPr>
        <w:t>设</w:t>
      </w:r>
      <w:r>
        <w:rPr>
          <w:sz w:val="24"/>
        </w:rPr>
        <w:t>在穿越中心线上。</w:t>
      </w:r>
    </w:p>
    <w:p>
      <w:pPr>
        <w:spacing w:line="440" w:lineRule="exact"/>
        <w:rPr>
          <w:sz w:val="24"/>
        </w:rPr>
      </w:pPr>
      <w:r>
        <w:rPr>
          <w:rFonts w:hint="eastAsia"/>
          <w:b/>
          <w:bCs/>
          <w:sz w:val="24"/>
        </w:rPr>
        <w:t>7.2.4</w:t>
      </w:r>
      <w:r>
        <w:rPr>
          <w:rFonts w:hint="eastAsia"/>
          <w:sz w:val="24"/>
        </w:rPr>
        <w:t xml:space="preserve">  定向钻施工前应检查下列内容，确认条件具备时方可开始钻进：</w:t>
      </w:r>
    </w:p>
    <w:p>
      <w:pPr>
        <w:spacing w:line="440" w:lineRule="exact"/>
        <w:ind w:firstLine="361" w:firstLineChars="150"/>
        <w:rPr>
          <w:sz w:val="24"/>
        </w:rPr>
      </w:pPr>
      <w:r>
        <w:rPr>
          <w:rFonts w:hint="eastAsia"/>
          <w:b/>
          <w:bCs/>
          <w:sz w:val="24"/>
        </w:rPr>
        <w:t>1</w:t>
      </w:r>
      <w:r>
        <w:rPr>
          <w:rFonts w:hint="eastAsia"/>
          <w:sz w:val="24"/>
        </w:rPr>
        <w:t xml:space="preserve">  设备、人员应符合下列规定：</w:t>
      </w:r>
    </w:p>
    <w:p>
      <w:pPr>
        <w:spacing w:line="440" w:lineRule="exact"/>
        <w:ind w:firstLine="482" w:firstLineChars="200"/>
        <w:rPr>
          <w:sz w:val="24"/>
        </w:rPr>
      </w:pPr>
      <w:r>
        <w:rPr>
          <w:rFonts w:hint="eastAsia"/>
          <w:b/>
          <w:bCs/>
          <w:sz w:val="24"/>
        </w:rPr>
        <w:t>1）</w:t>
      </w:r>
      <w:r>
        <w:rPr>
          <w:rFonts w:hint="eastAsia"/>
          <w:sz w:val="24"/>
        </w:rPr>
        <w:t>设备应安装牢固、稳定，钻机导轨与水平面的夹角应符合入土角要求；</w:t>
      </w:r>
    </w:p>
    <w:p>
      <w:pPr>
        <w:spacing w:line="440" w:lineRule="exact"/>
        <w:ind w:firstLine="482" w:firstLineChars="200"/>
        <w:rPr>
          <w:sz w:val="24"/>
        </w:rPr>
      </w:pPr>
      <w:r>
        <w:rPr>
          <w:rFonts w:hint="eastAsia"/>
          <w:b/>
          <w:bCs/>
          <w:sz w:val="24"/>
        </w:rPr>
        <w:t>2）</w:t>
      </w:r>
      <w:r>
        <w:rPr>
          <w:rFonts w:hint="eastAsia"/>
          <w:sz w:val="24"/>
        </w:rPr>
        <w:t>钻机系统、动力系统、泥浆系统等应调试合格；</w:t>
      </w:r>
    </w:p>
    <w:p>
      <w:pPr>
        <w:spacing w:line="440" w:lineRule="exact"/>
        <w:ind w:firstLine="482" w:firstLineChars="200"/>
        <w:rPr>
          <w:sz w:val="24"/>
        </w:rPr>
      </w:pPr>
      <w:r>
        <w:rPr>
          <w:rFonts w:hint="eastAsia"/>
          <w:b/>
          <w:bCs/>
          <w:sz w:val="24"/>
        </w:rPr>
        <w:t>3）</w:t>
      </w:r>
      <w:r>
        <w:rPr>
          <w:rFonts w:hint="eastAsia"/>
          <w:sz w:val="24"/>
        </w:rPr>
        <w:t>导向控制系统应安装正确，校核合格，信号稳定；</w:t>
      </w:r>
    </w:p>
    <w:p>
      <w:pPr>
        <w:spacing w:line="440" w:lineRule="exact"/>
        <w:ind w:firstLine="482" w:firstLineChars="200"/>
        <w:rPr>
          <w:sz w:val="24"/>
        </w:rPr>
      </w:pPr>
      <w:r>
        <w:rPr>
          <w:rFonts w:hint="eastAsia"/>
          <w:b/>
          <w:bCs/>
          <w:sz w:val="24"/>
        </w:rPr>
        <w:t>4）</w:t>
      </w:r>
      <w:r>
        <w:rPr>
          <w:rFonts w:hint="eastAsia"/>
          <w:sz w:val="24"/>
        </w:rPr>
        <w:t>钻进、导向探测系统的操作人员应培训合格；</w:t>
      </w:r>
    </w:p>
    <w:p>
      <w:pPr>
        <w:spacing w:line="440" w:lineRule="exact"/>
        <w:ind w:firstLine="361" w:firstLineChars="150"/>
        <w:rPr>
          <w:sz w:val="24"/>
        </w:rPr>
      </w:pPr>
      <w:r>
        <w:rPr>
          <w:rFonts w:hint="eastAsia"/>
          <w:b/>
          <w:bCs/>
          <w:sz w:val="24"/>
        </w:rPr>
        <w:t>2</w:t>
      </w:r>
      <w:r>
        <w:rPr>
          <w:rFonts w:hint="eastAsia"/>
          <w:sz w:val="24"/>
        </w:rPr>
        <w:t xml:space="preserve">  管道的轴向曲率应符合设计、管材轴向弹性性能和成孔稳定性的要求；</w:t>
      </w:r>
    </w:p>
    <w:p>
      <w:pPr>
        <w:spacing w:line="440" w:lineRule="exact"/>
        <w:ind w:firstLine="361" w:firstLineChars="150"/>
        <w:rPr>
          <w:sz w:val="24"/>
        </w:rPr>
      </w:pPr>
      <w:r>
        <w:rPr>
          <w:rFonts w:hint="eastAsia"/>
          <w:b/>
          <w:bCs/>
          <w:sz w:val="24"/>
        </w:rPr>
        <w:t>3</w:t>
      </w:r>
      <w:r>
        <w:rPr>
          <w:rFonts w:hint="eastAsia"/>
          <w:sz w:val="24"/>
        </w:rPr>
        <w:t xml:space="preserve">  应按施工方案确定入土角、出土角；</w:t>
      </w:r>
    </w:p>
    <w:p>
      <w:pPr>
        <w:spacing w:line="440" w:lineRule="exact"/>
        <w:ind w:firstLine="361" w:firstLineChars="150"/>
        <w:rPr>
          <w:sz w:val="24"/>
        </w:rPr>
      </w:pPr>
      <w:r>
        <w:rPr>
          <w:rFonts w:hint="eastAsia"/>
          <w:b/>
          <w:bCs/>
          <w:sz w:val="24"/>
        </w:rPr>
        <w:t>4</w:t>
      </w:r>
      <w:r>
        <w:rPr>
          <w:rFonts w:hint="eastAsia"/>
          <w:sz w:val="24"/>
        </w:rPr>
        <w:t xml:space="preserve">  进、出控制井洞口范围的土体应稳固；</w:t>
      </w:r>
    </w:p>
    <w:p>
      <w:pPr>
        <w:spacing w:line="440" w:lineRule="exact"/>
        <w:ind w:firstLine="361" w:firstLineChars="150"/>
        <w:rPr>
          <w:sz w:val="24"/>
        </w:rPr>
      </w:pPr>
      <w:r>
        <w:rPr>
          <w:rFonts w:hint="eastAsia"/>
          <w:b/>
          <w:bCs/>
          <w:sz w:val="24"/>
        </w:rPr>
        <w:t>5</w:t>
      </w:r>
      <w:r>
        <w:rPr>
          <w:rFonts w:hint="eastAsia"/>
          <w:sz w:val="24"/>
        </w:rPr>
        <w:t xml:space="preserve">  钻机拖拉力的计算和钻机的选择应符合本规范第5.4.1条的规定；</w:t>
      </w:r>
    </w:p>
    <w:p>
      <w:pPr>
        <w:spacing w:line="440" w:lineRule="exact"/>
        <w:ind w:firstLine="361" w:firstLineChars="150"/>
        <w:rPr>
          <w:sz w:val="24"/>
        </w:rPr>
      </w:pPr>
      <w:r>
        <w:rPr>
          <w:rFonts w:hint="eastAsia"/>
          <w:b/>
          <w:bCs/>
          <w:sz w:val="24"/>
        </w:rPr>
        <w:t>6</w:t>
      </w:r>
      <w:r>
        <w:rPr>
          <w:rFonts w:hint="eastAsia"/>
          <w:sz w:val="24"/>
        </w:rPr>
        <w:t xml:space="preserve">  回拖管段的地面布置应符合下列规定：</w:t>
      </w:r>
    </w:p>
    <w:p>
      <w:pPr>
        <w:spacing w:line="440" w:lineRule="exact"/>
        <w:ind w:firstLine="482" w:firstLineChars="200"/>
        <w:rPr>
          <w:sz w:val="24"/>
        </w:rPr>
      </w:pPr>
      <w:r>
        <w:rPr>
          <w:rFonts w:hint="eastAsia"/>
          <w:b/>
          <w:bCs/>
          <w:sz w:val="24"/>
        </w:rPr>
        <w:t>1）</w:t>
      </w:r>
      <w:r>
        <w:rPr>
          <w:rFonts w:hint="eastAsia"/>
          <w:sz w:val="24"/>
        </w:rPr>
        <w:t>待回拖管段应布置在出土点一侧，并应沿管道轴线方向组对连接；</w:t>
      </w:r>
    </w:p>
    <w:p>
      <w:pPr>
        <w:spacing w:line="440" w:lineRule="exact"/>
        <w:ind w:firstLine="482" w:firstLineChars="200"/>
        <w:rPr>
          <w:sz w:val="24"/>
        </w:rPr>
      </w:pPr>
      <w:r>
        <w:rPr>
          <w:rFonts w:hint="eastAsia"/>
          <w:b/>
          <w:bCs/>
          <w:sz w:val="24"/>
        </w:rPr>
        <w:t>2）</w:t>
      </w:r>
      <w:r>
        <w:rPr>
          <w:rFonts w:hint="eastAsia"/>
          <w:sz w:val="24"/>
        </w:rPr>
        <w:t>布管场地应满足管段拼接长度要求；</w:t>
      </w:r>
    </w:p>
    <w:p>
      <w:pPr>
        <w:spacing w:line="440" w:lineRule="exact"/>
        <w:ind w:firstLine="482" w:firstLineChars="200"/>
        <w:rPr>
          <w:sz w:val="24"/>
        </w:rPr>
      </w:pPr>
      <w:r>
        <w:rPr>
          <w:rFonts w:hint="eastAsia"/>
          <w:b/>
          <w:bCs/>
          <w:sz w:val="24"/>
        </w:rPr>
        <w:t>3）</w:t>
      </w:r>
      <w:r>
        <w:rPr>
          <w:rFonts w:hint="eastAsia"/>
          <w:sz w:val="24"/>
        </w:rPr>
        <w:t>管段的组对拼接、钢管的防腐层施工、钢管接口焊接无损检验应符合设计规定；</w:t>
      </w:r>
    </w:p>
    <w:p>
      <w:pPr>
        <w:spacing w:line="440" w:lineRule="exact"/>
        <w:ind w:firstLine="361" w:firstLineChars="150"/>
        <w:rPr>
          <w:sz w:val="24"/>
        </w:rPr>
      </w:pPr>
      <w:r>
        <w:rPr>
          <w:rFonts w:hint="eastAsia"/>
          <w:b/>
          <w:bCs/>
          <w:sz w:val="24"/>
        </w:rPr>
        <w:t>7</w:t>
      </w:r>
      <w:r>
        <w:rPr>
          <w:rFonts w:hint="eastAsia"/>
          <w:sz w:val="24"/>
        </w:rPr>
        <w:t xml:space="preserve">  应根据工程具体情况选择导向探测系统。</w:t>
      </w:r>
    </w:p>
    <w:p>
      <w:pPr>
        <w:spacing w:line="440" w:lineRule="exact"/>
        <w:rPr>
          <w:sz w:val="24"/>
        </w:rPr>
      </w:pPr>
      <w:r>
        <w:rPr>
          <w:rFonts w:hint="eastAsia"/>
          <w:b/>
          <w:bCs/>
          <w:sz w:val="24"/>
        </w:rPr>
        <w:t>7.2.5</w:t>
      </w:r>
      <w:r>
        <w:rPr>
          <w:rFonts w:hint="eastAsia"/>
          <w:sz w:val="24"/>
        </w:rPr>
        <w:t xml:space="preserve">  导向孔钻进应符合下列规定：</w:t>
      </w:r>
    </w:p>
    <w:p>
      <w:pPr>
        <w:spacing w:line="440" w:lineRule="exact"/>
        <w:ind w:firstLine="361" w:firstLineChars="150"/>
        <w:rPr>
          <w:sz w:val="24"/>
        </w:rPr>
      </w:pPr>
      <w:r>
        <w:rPr>
          <w:rFonts w:hint="eastAsia"/>
          <w:b/>
          <w:bCs/>
          <w:sz w:val="24"/>
        </w:rPr>
        <w:t>1</w:t>
      </w:r>
      <w:r>
        <w:rPr>
          <w:rFonts w:hint="eastAsia"/>
          <w:sz w:val="24"/>
        </w:rPr>
        <w:t xml:space="preserve">  钻机应进行试运转，各部分应运转正常；</w:t>
      </w:r>
    </w:p>
    <w:p>
      <w:pPr>
        <w:spacing w:line="440" w:lineRule="exact"/>
        <w:ind w:firstLine="361" w:firstLineChars="150"/>
        <w:rPr>
          <w:sz w:val="24"/>
        </w:rPr>
      </w:pPr>
      <w:r>
        <w:rPr>
          <w:rFonts w:hint="eastAsia"/>
          <w:b/>
          <w:bCs/>
          <w:sz w:val="24"/>
        </w:rPr>
        <w:t>2</w:t>
      </w:r>
      <w:r>
        <w:rPr>
          <w:rFonts w:hint="eastAsia"/>
          <w:sz w:val="24"/>
        </w:rPr>
        <w:t xml:space="preserve">  第一根钻杆入土钻进时，应采取轻压慢转的方式，且入土段和出土段应为直线钻进，直线长度宜控制在20m左右；</w:t>
      </w:r>
    </w:p>
    <w:p>
      <w:pPr>
        <w:spacing w:line="440" w:lineRule="exact"/>
        <w:ind w:firstLine="361" w:firstLineChars="150"/>
        <w:rPr>
          <w:sz w:val="24"/>
        </w:rPr>
      </w:pPr>
      <w:r>
        <w:rPr>
          <w:rFonts w:hint="eastAsia"/>
          <w:b/>
          <w:bCs/>
          <w:sz w:val="24"/>
        </w:rPr>
        <w:t>3</w:t>
      </w:r>
      <w:r>
        <w:rPr>
          <w:rFonts w:hint="eastAsia"/>
          <w:sz w:val="24"/>
        </w:rPr>
        <w:t xml:space="preserve">  钻孔时应匀速钻进，并应控制钻进给进力和钻进方向；</w:t>
      </w:r>
    </w:p>
    <w:p>
      <w:pPr>
        <w:spacing w:line="440" w:lineRule="exact"/>
        <w:ind w:firstLine="361" w:firstLineChars="150"/>
        <w:rPr>
          <w:sz w:val="24"/>
        </w:rPr>
      </w:pPr>
      <w:r>
        <w:rPr>
          <w:rFonts w:hint="eastAsia"/>
          <w:b/>
          <w:bCs/>
          <w:sz w:val="24"/>
        </w:rPr>
        <w:t>4</w:t>
      </w:r>
      <w:r>
        <w:rPr>
          <w:rFonts w:hint="eastAsia"/>
          <w:sz w:val="24"/>
        </w:rPr>
        <w:t xml:space="preserve">  每进一根钻杆应进行钻进距离、深度、侧向位移等导向探测，曲线段和有相邻管线段应加密探测；</w:t>
      </w:r>
    </w:p>
    <w:p>
      <w:pPr>
        <w:spacing w:line="440" w:lineRule="exact"/>
        <w:ind w:firstLine="361" w:firstLineChars="150"/>
        <w:rPr>
          <w:sz w:val="24"/>
        </w:rPr>
      </w:pPr>
      <w:r>
        <w:rPr>
          <w:rFonts w:hint="eastAsia"/>
          <w:b/>
          <w:bCs/>
          <w:sz w:val="24"/>
        </w:rPr>
        <w:t>5</w:t>
      </w:r>
      <w:r>
        <w:rPr>
          <w:rFonts w:hint="eastAsia"/>
          <w:sz w:val="24"/>
        </w:rPr>
        <w:t xml:space="preserve">  应保持钻头正确姿态，发生偏差应及时纠正，且应采用小角度逐步纠偏；钻孔的轨迹偏差不应大于终孔直径，超出误差允许范围宜退回进行纠偏；</w:t>
      </w:r>
    </w:p>
    <w:p>
      <w:pPr>
        <w:spacing w:line="440" w:lineRule="exact"/>
        <w:ind w:firstLine="361" w:firstLineChars="150"/>
        <w:rPr>
          <w:sz w:val="24"/>
        </w:rPr>
      </w:pPr>
      <w:r>
        <w:rPr>
          <w:rFonts w:hint="eastAsia"/>
          <w:b/>
          <w:bCs/>
          <w:sz w:val="24"/>
        </w:rPr>
        <w:t>6</w:t>
      </w:r>
      <w:r>
        <w:rPr>
          <w:rFonts w:hint="eastAsia"/>
          <w:sz w:val="24"/>
        </w:rPr>
        <w:t xml:space="preserve">  应绘制钻孔轨迹平面、剖面图；</w:t>
      </w:r>
    </w:p>
    <w:p>
      <w:pPr>
        <w:spacing w:line="440" w:lineRule="exact"/>
        <w:ind w:firstLine="361" w:firstLineChars="150"/>
        <w:rPr>
          <w:sz w:val="24"/>
        </w:rPr>
      </w:pPr>
      <w:r>
        <w:rPr>
          <w:rFonts w:hint="eastAsia"/>
          <w:b/>
          <w:bCs/>
          <w:sz w:val="24"/>
        </w:rPr>
        <w:t>7</w:t>
      </w:r>
      <w:r>
        <w:rPr>
          <w:rFonts w:hint="eastAsia"/>
          <w:sz w:val="24"/>
        </w:rPr>
        <w:t xml:space="preserve">  钻导向孔时，钻杆折角宜符合表7.2.</w:t>
      </w:r>
      <w:r>
        <w:rPr>
          <w:sz w:val="24"/>
        </w:rPr>
        <w:t>7</w:t>
      </w:r>
      <w:r>
        <w:rPr>
          <w:rFonts w:hint="eastAsia"/>
          <w:sz w:val="24"/>
        </w:rPr>
        <w:t>的规定：</w:t>
      </w:r>
    </w:p>
    <w:p>
      <w:pPr>
        <w:spacing w:before="156" w:beforeLines="50"/>
        <w:jc w:val="center"/>
        <w:rPr>
          <w:rFonts w:eastAsia="黑体"/>
          <w:bCs/>
          <w:kern w:val="0"/>
          <w:szCs w:val="21"/>
        </w:rPr>
      </w:pPr>
      <w:r>
        <w:rPr>
          <w:rFonts w:hint="eastAsia" w:eastAsia="黑体"/>
          <w:bCs/>
          <w:kern w:val="0"/>
          <w:szCs w:val="21"/>
        </w:rPr>
        <w:t>表7.2.</w:t>
      </w:r>
      <w:r>
        <w:rPr>
          <w:rFonts w:eastAsia="黑体"/>
          <w:bCs/>
          <w:kern w:val="0"/>
          <w:szCs w:val="21"/>
        </w:rPr>
        <w:t xml:space="preserve">7   </w:t>
      </w:r>
      <w:r>
        <w:rPr>
          <w:rFonts w:hint="eastAsia" w:eastAsia="黑体"/>
          <w:bCs/>
          <w:kern w:val="0"/>
          <w:szCs w:val="21"/>
        </w:rPr>
        <w:t>钻杆折角</w:t>
      </w:r>
      <w:r>
        <w:rPr>
          <w:rFonts w:eastAsia="黑体"/>
          <w:bCs/>
          <w:kern w:val="0"/>
          <w:szCs w:val="21"/>
        </w:rPr>
        <w:t>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Cs/>
                <w:szCs w:val="20"/>
              </w:rPr>
            </w:pPr>
            <w:r>
              <w:rPr>
                <w:rFonts w:hint="eastAsia"/>
                <w:bCs/>
                <w:szCs w:val="20"/>
              </w:rPr>
              <w:t>钢管管径（mm）</w:t>
            </w:r>
          </w:p>
        </w:tc>
        <w:tc>
          <w:tcPr>
            <w:tcW w:w="2765" w:type="dxa"/>
          </w:tcPr>
          <w:p>
            <w:pPr>
              <w:jc w:val="center"/>
              <w:rPr>
                <w:bCs/>
                <w:szCs w:val="20"/>
              </w:rPr>
            </w:pPr>
            <w:r>
              <w:rPr>
                <w:rFonts w:hint="eastAsia"/>
                <w:bCs/>
                <w:szCs w:val="20"/>
              </w:rPr>
              <w:t>每根钻杆最大折角（°）</w:t>
            </w:r>
          </w:p>
        </w:tc>
        <w:tc>
          <w:tcPr>
            <w:tcW w:w="2766" w:type="dxa"/>
          </w:tcPr>
          <w:p>
            <w:pPr>
              <w:jc w:val="center"/>
              <w:rPr>
                <w:bCs/>
                <w:szCs w:val="20"/>
              </w:rPr>
            </w:pPr>
            <w:r>
              <w:rPr>
                <w:rFonts w:hint="eastAsia"/>
                <w:bCs/>
                <w:szCs w:val="20"/>
              </w:rPr>
              <w:t>4根钻杆累加折角（°）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Cs/>
                <w:szCs w:val="20"/>
              </w:rPr>
            </w:pPr>
            <w:r>
              <w:rPr>
                <w:rFonts w:hint="eastAsia"/>
                <w:bCs/>
                <w:szCs w:val="20"/>
              </w:rPr>
              <w:t>φ325以下</w:t>
            </w:r>
          </w:p>
        </w:tc>
        <w:tc>
          <w:tcPr>
            <w:tcW w:w="2765" w:type="dxa"/>
          </w:tcPr>
          <w:p>
            <w:pPr>
              <w:jc w:val="center"/>
              <w:rPr>
                <w:bCs/>
                <w:szCs w:val="20"/>
              </w:rPr>
            </w:pPr>
            <w:r>
              <w:rPr>
                <w:rFonts w:hint="eastAsia"/>
                <w:bCs/>
                <w:szCs w:val="20"/>
              </w:rPr>
              <w:t>2.1</w:t>
            </w:r>
          </w:p>
        </w:tc>
        <w:tc>
          <w:tcPr>
            <w:tcW w:w="2766" w:type="dxa"/>
          </w:tcPr>
          <w:p>
            <w:pPr>
              <w:jc w:val="center"/>
              <w:rPr>
                <w:bCs/>
                <w:szCs w:val="20"/>
              </w:rPr>
            </w:pPr>
            <w:r>
              <w:rPr>
                <w:rFonts w:hint="eastAsia"/>
                <w:bCs/>
                <w:szCs w:val="20"/>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Cs/>
                <w:szCs w:val="20"/>
              </w:rPr>
            </w:pPr>
            <w:r>
              <w:rPr>
                <w:rFonts w:hint="eastAsia"/>
                <w:bCs/>
                <w:szCs w:val="20"/>
              </w:rPr>
              <w:t>φ377</w:t>
            </w:r>
          </w:p>
        </w:tc>
        <w:tc>
          <w:tcPr>
            <w:tcW w:w="2765" w:type="dxa"/>
          </w:tcPr>
          <w:p>
            <w:pPr>
              <w:jc w:val="center"/>
              <w:rPr>
                <w:bCs/>
                <w:szCs w:val="20"/>
              </w:rPr>
            </w:pPr>
            <w:r>
              <w:rPr>
                <w:rFonts w:hint="eastAsia"/>
                <w:bCs/>
                <w:szCs w:val="20"/>
              </w:rPr>
              <w:t>1.7</w:t>
            </w:r>
          </w:p>
        </w:tc>
        <w:tc>
          <w:tcPr>
            <w:tcW w:w="2766" w:type="dxa"/>
          </w:tcPr>
          <w:p>
            <w:pPr>
              <w:jc w:val="center"/>
              <w:rPr>
                <w:bCs/>
                <w:szCs w:val="20"/>
              </w:rPr>
            </w:pPr>
            <w:r>
              <w:rPr>
                <w:rFonts w:hint="eastAsia"/>
                <w:bCs/>
                <w:szCs w:val="20"/>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Cs/>
                <w:szCs w:val="20"/>
              </w:rPr>
            </w:pPr>
            <w:r>
              <w:rPr>
                <w:rFonts w:hint="eastAsia"/>
                <w:bCs/>
                <w:szCs w:val="20"/>
              </w:rPr>
              <w:t>φ4.6</w:t>
            </w:r>
          </w:p>
        </w:tc>
        <w:tc>
          <w:tcPr>
            <w:tcW w:w="2765" w:type="dxa"/>
          </w:tcPr>
          <w:p>
            <w:pPr>
              <w:jc w:val="center"/>
              <w:rPr>
                <w:bCs/>
                <w:szCs w:val="20"/>
              </w:rPr>
            </w:pPr>
            <w:r>
              <w:rPr>
                <w:rFonts w:hint="eastAsia"/>
                <w:bCs/>
                <w:szCs w:val="20"/>
              </w:rPr>
              <w:t>1.6</w:t>
            </w:r>
          </w:p>
        </w:tc>
        <w:tc>
          <w:tcPr>
            <w:tcW w:w="2766" w:type="dxa"/>
          </w:tcPr>
          <w:p>
            <w:pPr>
              <w:jc w:val="center"/>
              <w:rPr>
                <w:bCs/>
                <w:szCs w:val="20"/>
              </w:rPr>
            </w:pPr>
            <w:r>
              <w:rPr>
                <w:rFonts w:hint="eastAsia"/>
                <w:bCs/>
                <w:szCs w:val="20"/>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Cs/>
                <w:szCs w:val="20"/>
              </w:rPr>
            </w:pPr>
            <w:r>
              <w:rPr>
                <w:rFonts w:hint="eastAsia"/>
                <w:bCs/>
                <w:szCs w:val="20"/>
              </w:rPr>
              <w:t>φ508</w:t>
            </w:r>
          </w:p>
        </w:tc>
        <w:tc>
          <w:tcPr>
            <w:tcW w:w="2765" w:type="dxa"/>
          </w:tcPr>
          <w:p>
            <w:pPr>
              <w:jc w:val="center"/>
              <w:rPr>
                <w:bCs/>
                <w:szCs w:val="20"/>
              </w:rPr>
            </w:pPr>
            <w:r>
              <w:rPr>
                <w:rFonts w:hint="eastAsia"/>
                <w:bCs/>
                <w:szCs w:val="20"/>
              </w:rPr>
              <w:t>1.4</w:t>
            </w:r>
          </w:p>
        </w:tc>
        <w:tc>
          <w:tcPr>
            <w:tcW w:w="2766" w:type="dxa"/>
          </w:tcPr>
          <w:p>
            <w:pPr>
              <w:jc w:val="center"/>
              <w:rPr>
                <w:bCs/>
                <w:szCs w:val="20"/>
              </w:rPr>
            </w:pPr>
            <w:r>
              <w:rPr>
                <w:rFonts w:hint="eastAsia"/>
                <w:bCs/>
                <w:szCs w:val="20"/>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Cs/>
                <w:szCs w:val="20"/>
              </w:rPr>
            </w:pPr>
            <w:r>
              <w:rPr>
                <w:rFonts w:hint="eastAsia"/>
                <w:bCs/>
                <w:szCs w:val="20"/>
              </w:rPr>
              <w:t>φ610</w:t>
            </w:r>
          </w:p>
        </w:tc>
        <w:tc>
          <w:tcPr>
            <w:tcW w:w="2765" w:type="dxa"/>
          </w:tcPr>
          <w:p>
            <w:pPr>
              <w:jc w:val="center"/>
              <w:rPr>
                <w:bCs/>
                <w:szCs w:val="20"/>
              </w:rPr>
            </w:pPr>
            <w:r>
              <w:rPr>
                <w:rFonts w:hint="eastAsia"/>
                <w:bCs/>
                <w:szCs w:val="20"/>
              </w:rPr>
              <w:t>1.2</w:t>
            </w:r>
          </w:p>
        </w:tc>
        <w:tc>
          <w:tcPr>
            <w:tcW w:w="2766" w:type="dxa"/>
          </w:tcPr>
          <w:p>
            <w:pPr>
              <w:jc w:val="center"/>
              <w:rPr>
                <w:bCs/>
                <w:szCs w:val="20"/>
              </w:rPr>
            </w:pPr>
            <w:r>
              <w:rPr>
                <w:rFonts w:hint="eastAsia"/>
                <w:bCs/>
                <w:szCs w:val="20"/>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Cs/>
                <w:szCs w:val="20"/>
              </w:rPr>
            </w:pPr>
            <w:r>
              <w:rPr>
                <w:rFonts w:hint="eastAsia"/>
                <w:bCs/>
                <w:szCs w:val="20"/>
              </w:rPr>
              <w:t>φ711</w:t>
            </w:r>
          </w:p>
        </w:tc>
        <w:tc>
          <w:tcPr>
            <w:tcW w:w="2765" w:type="dxa"/>
          </w:tcPr>
          <w:p>
            <w:pPr>
              <w:jc w:val="center"/>
              <w:rPr>
                <w:bCs/>
                <w:szCs w:val="20"/>
              </w:rPr>
            </w:pPr>
            <w:r>
              <w:rPr>
                <w:rFonts w:hint="eastAsia"/>
                <w:bCs/>
                <w:szCs w:val="20"/>
              </w:rPr>
              <w:t>1.1</w:t>
            </w:r>
          </w:p>
        </w:tc>
        <w:tc>
          <w:tcPr>
            <w:tcW w:w="2766" w:type="dxa"/>
          </w:tcPr>
          <w:p>
            <w:pPr>
              <w:jc w:val="center"/>
              <w:rPr>
                <w:bCs/>
                <w:szCs w:val="20"/>
              </w:rPr>
            </w:pPr>
            <w:r>
              <w:rPr>
                <w:rFonts w:hint="eastAsia"/>
                <w:bCs/>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Cs/>
                <w:szCs w:val="20"/>
              </w:rPr>
            </w:pPr>
            <w:r>
              <w:rPr>
                <w:rFonts w:hint="eastAsia"/>
                <w:bCs/>
                <w:szCs w:val="20"/>
              </w:rPr>
              <w:t>φ813</w:t>
            </w:r>
          </w:p>
        </w:tc>
        <w:tc>
          <w:tcPr>
            <w:tcW w:w="2765" w:type="dxa"/>
          </w:tcPr>
          <w:p>
            <w:pPr>
              <w:jc w:val="center"/>
              <w:rPr>
                <w:bCs/>
                <w:szCs w:val="20"/>
              </w:rPr>
            </w:pPr>
            <w:r>
              <w:rPr>
                <w:rFonts w:hint="eastAsia"/>
                <w:bCs/>
                <w:szCs w:val="20"/>
              </w:rPr>
              <w:t>1.0</w:t>
            </w:r>
          </w:p>
        </w:tc>
        <w:tc>
          <w:tcPr>
            <w:tcW w:w="2766" w:type="dxa"/>
          </w:tcPr>
          <w:p>
            <w:pPr>
              <w:jc w:val="center"/>
              <w:rPr>
                <w:bCs/>
                <w:szCs w:val="20"/>
              </w:rPr>
            </w:pPr>
            <w:r>
              <w:rPr>
                <w:rFonts w:hint="eastAsia"/>
                <w:bCs/>
                <w:szCs w:val="20"/>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Cs/>
                <w:szCs w:val="20"/>
              </w:rPr>
            </w:pPr>
            <w:r>
              <w:rPr>
                <w:rFonts w:hint="eastAsia"/>
                <w:bCs/>
                <w:szCs w:val="20"/>
              </w:rPr>
              <w:t>φ914</w:t>
            </w:r>
          </w:p>
        </w:tc>
        <w:tc>
          <w:tcPr>
            <w:tcW w:w="2765" w:type="dxa"/>
          </w:tcPr>
          <w:p>
            <w:pPr>
              <w:jc w:val="center"/>
              <w:rPr>
                <w:bCs/>
                <w:szCs w:val="20"/>
              </w:rPr>
            </w:pPr>
            <w:r>
              <w:rPr>
                <w:rFonts w:hint="eastAsia"/>
                <w:bCs/>
                <w:szCs w:val="20"/>
              </w:rPr>
              <w:t>0.9</w:t>
            </w:r>
          </w:p>
        </w:tc>
        <w:tc>
          <w:tcPr>
            <w:tcW w:w="2766" w:type="dxa"/>
          </w:tcPr>
          <w:p>
            <w:pPr>
              <w:jc w:val="center"/>
              <w:rPr>
                <w:bCs/>
                <w:szCs w:val="20"/>
              </w:rPr>
            </w:pPr>
            <w:r>
              <w:rPr>
                <w:rFonts w:hint="eastAsia"/>
                <w:bCs/>
                <w:szCs w:val="2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Cs/>
                <w:szCs w:val="20"/>
              </w:rPr>
            </w:pPr>
            <w:r>
              <w:rPr>
                <w:rFonts w:hint="eastAsia"/>
                <w:bCs/>
                <w:szCs w:val="20"/>
              </w:rPr>
              <w:t>φ1016以上</w:t>
            </w:r>
          </w:p>
        </w:tc>
        <w:tc>
          <w:tcPr>
            <w:tcW w:w="2765" w:type="dxa"/>
          </w:tcPr>
          <w:p>
            <w:pPr>
              <w:jc w:val="center"/>
              <w:rPr>
                <w:bCs/>
                <w:szCs w:val="20"/>
              </w:rPr>
            </w:pPr>
            <w:r>
              <w:rPr>
                <w:rFonts w:hint="eastAsia"/>
                <w:bCs/>
                <w:szCs w:val="20"/>
              </w:rPr>
              <w:t>0.8</w:t>
            </w:r>
          </w:p>
        </w:tc>
        <w:tc>
          <w:tcPr>
            <w:tcW w:w="2766" w:type="dxa"/>
          </w:tcPr>
          <w:p>
            <w:pPr>
              <w:jc w:val="center"/>
              <w:rPr>
                <w:bCs/>
                <w:szCs w:val="20"/>
              </w:rPr>
            </w:pPr>
            <w:r>
              <w:rPr>
                <w:rFonts w:hint="eastAsia"/>
                <w:bCs/>
                <w:szCs w:val="20"/>
              </w:rPr>
              <w:t>2.2</w:t>
            </w:r>
          </w:p>
        </w:tc>
      </w:tr>
    </w:tbl>
    <w:p>
      <w:pPr>
        <w:spacing w:line="440" w:lineRule="exact"/>
        <w:rPr>
          <w:sz w:val="24"/>
        </w:rPr>
      </w:pPr>
      <w:r>
        <w:rPr>
          <w:rFonts w:hint="eastAsia"/>
          <w:b/>
          <w:bCs/>
          <w:sz w:val="24"/>
        </w:rPr>
        <w:t>7.2.6</w:t>
      </w:r>
      <w:r>
        <w:rPr>
          <w:rFonts w:hint="eastAsia"/>
          <w:sz w:val="24"/>
        </w:rPr>
        <w:t xml:space="preserve">  扩孔应符合下列规定：</w:t>
      </w:r>
    </w:p>
    <w:p>
      <w:pPr>
        <w:spacing w:line="440" w:lineRule="exact"/>
        <w:ind w:firstLine="361" w:firstLineChars="150"/>
        <w:rPr>
          <w:sz w:val="24"/>
        </w:rPr>
      </w:pPr>
      <w:r>
        <w:rPr>
          <w:rFonts w:hint="eastAsia"/>
          <w:b/>
          <w:bCs/>
          <w:sz w:val="24"/>
        </w:rPr>
        <w:t>1</w:t>
      </w:r>
      <w:r>
        <w:rPr>
          <w:rFonts w:hint="eastAsia"/>
          <w:sz w:val="24"/>
        </w:rPr>
        <w:t xml:space="preserve">  应从出土点向入土点回扩，扩孔器与钻杆连接应牢固；</w:t>
      </w:r>
    </w:p>
    <w:p>
      <w:pPr>
        <w:spacing w:line="440" w:lineRule="exact"/>
        <w:ind w:firstLine="361" w:firstLineChars="150"/>
        <w:rPr>
          <w:sz w:val="24"/>
        </w:rPr>
      </w:pPr>
      <w:r>
        <w:rPr>
          <w:rFonts w:hint="eastAsia"/>
          <w:b/>
          <w:bCs/>
          <w:sz w:val="24"/>
        </w:rPr>
        <w:t>2</w:t>
      </w:r>
      <w:r>
        <w:rPr>
          <w:rFonts w:hint="eastAsia"/>
          <w:sz w:val="24"/>
        </w:rPr>
        <w:t xml:space="preserve">  应根据管径、管道曲率半径、地层条件、扩孔器类型等确定一次或分次扩孔方式；分次扩孔时每次回扩的级差宜控制在100～150mm，终孔孔径宜控制在回拖管节外径的1.2～1.5倍；</w:t>
      </w:r>
    </w:p>
    <w:p>
      <w:pPr>
        <w:spacing w:line="440" w:lineRule="exact"/>
        <w:ind w:firstLine="361" w:firstLineChars="150"/>
        <w:rPr>
          <w:strike/>
          <w:sz w:val="24"/>
        </w:rPr>
      </w:pPr>
      <w:r>
        <w:rPr>
          <w:rFonts w:hint="eastAsia"/>
          <w:b/>
          <w:bCs/>
          <w:sz w:val="24"/>
        </w:rPr>
        <w:t>3</w:t>
      </w:r>
      <w:r>
        <w:rPr>
          <w:rFonts w:hint="eastAsia"/>
          <w:sz w:val="24"/>
        </w:rPr>
        <w:t xml:space="preserve">  扩孔时宜配合扶正器；</w:t>
      </w:r>
      <w:r>
        <w:rPr>
          <w:strike/>
          <w:sz w:val="24"/>
        </w:rPr>
        <w:t xml:space="preserve"> </w:t>
      </w:r>
    </w:p>
    <w:p>
      <w:pPr>
        <w:spacing w:line="440" w:lineRule="exact"/>
        <w:ind w:firstLine="361" w:firstLineChars="150"/>
        <w:rPr>
          <w:strike/>
          <w:sz w:val="24"/>
        </w:rPr>
      </w:pPr>
      <w:r>
        <w:rPr>
          <w:rFonts w:hint="eastAsia"/>
          <w:b/>
          <w:bCs/>
          <w:sz w:val="24"/>
        </w:rPr>
        <w:t>4</w:t>
      </w:r>
      <w:r>
        <w:rPr>
          <w:rFonts w:hint="eastAsia"/>
          <w:sz w:val="24"/>
        </w:rPr>
        <w:t xml:space="preserve">  应严格控制回拉力、转速、泥浆流量等技术参数；</w:t>
      </w:r>
      <w:r>
        <w:rPr>
          <w:strike/>
          <w:sz w:val="24"/>
        </w:rPr>
        <w:t xml:space="preserve"> </w:t>
      </w:r>
    </w:p>
    <w:p>
      <w:pPr>
        <w:spacing w:line="440" w:lineRule="exact"/>
        <w:ind w:firstLine="361" w:firstLineChars="150"/>
        <w:rPr>
          <w:sz w:val="24"/>
        </w:rPr>
      </w:pPr>
      <w:r>
        <w:rPr>
          <w:rFonts w:hint="eastAsia"/>
          <w:b/>
          <w:bCs/>
          <w:sz w:val="24"/>
        </w:rPr>
        <w:t>5</w:t>
      </w:r>
      <w:r>
        <w:rPr>
          <w:rFonts w:hint="eastAsia"/>
          <w:sz w:val="24"/>
        </w:rPr>
        <w:t xml:space="preserve">  扩孔孔径达到终孔要求后应及时进行回拖管道施工。</w:t>
      </w:r>
    </w:p>
    <w:p>
      <w:pPr>
        <w:spacing w:line="440" w:lineRule="exact"/>
        <w:rPr>
          <w:sz w:val="24"/>
        </w:rPr>
      </w:pPr>
      <w:r>
        <w:rPr>
          <w:rFonts w:hint="eastAsia"/>
          <w:b/>
          <w:bCs/>
          <w:sz w:val="24"/>
        </w:rPr>
        <w:t>7.2.7</w:t>
      </w:r>
      <w:r>
        <w:rPr>
          <w:rFonts w:hint="eastAsia"/>
          <w:sz w:val="24"/>
        </w:rPr>
        <w:t xml:space="preserve">  回拖应符合下列规定：</w:t>
      </w:r>
    </w:p>
    <w:p>
      <w:pPr>
        <w:spacing w:line="440" w:lineRule="exact"/>
        <w:ind w:firstLine="361" w:firstLineChars="150"/>
        <w:rPr>
          <w:sz w:val="24"/>
        </w:rPr>
      </w:pPr>
      <w:r>
        <w:rPr>
          <w:rFonts w:hint="eastAsia"/>
          <w:b/>
          <w:bCs/>
          <w:sz w:val="24"/>
        </w:rPr>
        <w:t>1</w:t>
      </w:r>
      <w:r>
        <w:rPr>
          <w:rFonts w:hint="eastAsia"/>
          <w:sz w:val="24"/>
        </w:rPr>
        <w:t xml:space="preserve">  应从出土点向入土点回拖；</w:t>
      </w:r>
    </w:p>
    <w:p>
      <w:pPr>
        <w:spacing w:line="440" w:lineRule="exact"/>
        <w:ind w:firstLine="361" w:firstLineChars="150"/>
        <w:rPr>
          <w:sz w:val="24"/>
        </w:rPr>
      </w:pPr>
      <w:r>
        <w:rPr>
          <w:rFonts w:hint="eastAsia"/>
          <w:b/>
          <w:bCs/>
          <w:sz w:val="24"/>
        </w:rPr>
        <w:t>2</w:t>
      </w:r>
      <w:r>
        <w:rPr>
          <w:rFonts w:hint="eastAsia"/>
          <w:sz w:val="24"/>
        </w:rPr>
        <w:t xml:space="preserve">  回拖管段的质量、拖拉装置安装及其与管段连接等应经检验合格；</w:t>
      </w:r>
    </w:p>
    <w:p>
      <w:pPr>
        <w:spacing w:line="440" w:lineRule="exact"/>
        <w:ind w:firstLine="361" w:firstLineChars="150"/>
        <w:rPr>
          <w:sz w:val="24"/>
        </w:rPr>
      </w:pPr>
      <w:r>
        <w:rPr>
          <w:rFonts w:hint="eastAsia"/>
          <w:b/>
          <w:bCs/>
          <w:sz w:val="24"/>
        </w:rPr>
        <w:t>3</w:t>
      </w:r>
      <w:r>
        <w:rPr>
          <w:rFonts w:hint="eastAsia"/>
          <w:sz w:val="24"/>
        </w:rPr>
        <w:t xml:space="preserve">  应严格控制钻机回拖力、扭矩、泥浆流量、回拖速率等技术参数，不应硬拉硬拖；</w:t>
      </w:r>
    </w:p>
    <w:p>
      <w:pPr>
        <w:spacing w:line="440" w:lineRule="exact"/>
        <w:ind w:firstLine="482" w:firstLineChars="200"/>
        <w:rPr>
          <w:sz w:val="24"/>
        </w:rPr>
      </w:pPr>
      <w:r>
        <w:rPr>
          <w:rFonts w:hint="eastAsia"/>
          <w:b/>
          <w:bCs/>
          <w:sz w:val="24"/>
        </w:rPr>
        <w:t>4</w:t>
      </w:r>
      <w:r>
        <w:rPr>
          <w:rFonts w:hint="eastAsia"/>
          <w:sz w:val="24"/>
        </w:rPr>
        <w:t xml:space="preserve">  回拖过程中应有发送装置，发送装置可采用水力发送沟、滚筒管架发送道等形式，并应确保进入地层前的管段曲率半径在允许范围内。</w:t>
      </w:r>
    </w:p>
    <w:p>
      <w:pPr>
        <w:spacing w:line="440" w:lineRule="exact"/>
        <w:rPr>
          <w:sz w:val="24"/>
        </w:rPr>
      </w:pPr>
      <w:r>
        <w:rPr>
          <w:rFonts w:hint="eastAsia"/>
          <w:b/>
          <w:bCs/>
          <w:sz w:val="24"/>
        </w:rPr>
        <w:t>7.2.8</w:t>
      </w:r>
      <w:r>
        <w:rPr>
          <w:rFonts w:hint="eastAsia"/>
          <w:sz w:val="24"/>
        </w:rPr>
        <w:t xml:space="preserve">  定向钻施工的泥浆（液）配制应符合下列规定：</w:t>
      </w:r>
    </w:p>
    <w:p>
      <w:pPr>
        <w:spacing w:line="440" w:lineRule="exact"/>
        <w:ind w:firstLine="361" w:firstLineChars="150"/>
        <w:rPr>
          <w:sz w:val="24"/>
        </w:rPr>
      </w:pPr>
      <w:r>
        <w:rPr>
          <w:rFonts w:hint="eastAsia"/>
          <w:b/>
          <w:bCs/>
          <w:sz w:val="24"/>
        </w:rPr>
        <w:t>1</w:t>
      </w:r>
      <w:r>
        <w:rPr>
          <w:rFonts w:hint="eastAsia"/>
          <w:sz w:val="24"/>
        </w:rPr>
        <w:t xml:space="preserve">  导向钻进、扩孔及回拖时，应向孔内注入泥浆(液)；</w:t>
      </w:r>
    </w:p>
    <w:p>
      <w:pPr>
        <w:spacing w:line="440" w:lineRule="exact"/>
        <w:ind w:firstLine="361" w:firstLineChars="150"/>
        <w:rPr>
          <w:sz w:val="24"/>
        </w:rPr>
      </w:pPr>
      <w:r>
        <w:rPr>
          <w:rFonts w:hint="eastAsia"/>
          <w:b/>
          <w:bCs/>
          <w:sz w:val="24"/>
        </w:rPr>
        <w:t>2</w:t>
      </w:r>
      <w:r>
        <w:rPr>
          <w:rFonts w:hint="eastAsia"/>
          <w:sz w:val="24"/>
        </w:rPr>
        <w:t xml:space="preserve">  泥浆(液)的材料、配比和技术性能指标应符合施工方案要求，并应可根据地层条件、钻头技术要求、施工步骤进行调整；</w:t>
      </w:r>
    </w:p>
    <w:p>
      <w:pPr>
        <w:spacing w:line="440" w:lineRule="exact"/>
        <w:ind w:firstLine="361" w:firstLineChars="150"/>
        <w:rPr>
          <w:sz w:val="24"/>
        </w:rPr>
      </w:pPr>
      <w:r>
        <w:rPr>
          <w:rFonts w:hint="eastAsia"/>
          <w:b/>
          <w:bCs/>
          <w:sz w:val="24"/>
        </w:rPr>
        <w:t>3</w:t>
      </w:r>
      <w:r>
        <w:rPr>
          <w:rFonts w:hint="eastAsia"/>
          <w:sz w:val="24"/>
        </w:rPr>
        <w:t xml:space="preserve">  泥浆(液)应在专用的搅拌装置中配制，并应通过泥循环池使用；从钻孔中返回的泥浆应经处理后回用，剩余泥浆应妥善处置；</w:t>
      </w:r>
    </w:p>
    <w:p>
      <w:pPr>
        <w:spacing w:line="440" w:lineRule="exact"/>
        <w:ind w:firstLine="361" w:firstLineChars="150"/>
        <w:rPr>
          <w:sz w:val="24"/>
        </w:rPr>
      </w:pPr>
      <w:r>
        <w:rPr>
          <w:rFonts w:hint="eastAsia"/>
          <w:b/>
          <w:bCs/>
          <w:sz w:val="24"/>
        </w:rPr>
        <w:t>4</w:t>
      </w:r>
      <w:r>
        <w:rPr>
          <w:rFonts w:hint="eastAsia"/>
          <w:sz w:val="24"/>
        </w:rPr>
        <w:t xml:space="preserve">  泥浆（液）的压力和流量应按施工步骤分别进行控制。</w:t>
      </w:r>
    </w:p>
    <w:p>
      <w:pPr>
        <w:spacing w:line="440" w:lineRule="exact"/>
        <w:rPr>
          <w:sz w:val="24"/>
        </w:rPr>
      </w:pPr>
      <w:r>
        <w:rPr>
          <w:rFonts w:hint="eastAsia"/>
          <w:b/>
          <w:bCs/>
          <w:sz w:val="24"/>
        </w:rPr>
        <w:t>7.2.9</w:t>
      </w:r>
      <w:r>
        <w:rPr>
          <w:rFonts w:hint="eastAsia"/>
          <w:sz w:val="24"/>
        </w:rPr>
        <w:t xml:space="preserve">  出现下列情况时，应停止作业，待问题解决后方可继作业：</w:t>
      </w:r>
    </w:p>
    <w:p>
      <w:pPr>
        <w:spacing w:line="440" w:lineRule="exact"/>
        <w:ind w:firstLine="361" w:firstLineChars="150"/>
        <w:rPr>
          <w:sz w:val="24"/>
        </w:rPr>
      </w:pPr>
      <w:r>
        <w:rPr>
          <w:rFonts w:hint="eastAsia"/>
          <w:b/>
          <w:bCs/>
          <w:sz w:val="24"/>
        </w:rPr>
        <w:t>1</w:t>
      </w:r>
      <w:r>
        <w:rPr>
          <w:rFonts w:hint="eastAsia"/>
          <w:sz w:val="24"/>
        </w:rPr>
        <w:t xml:space="preserve">  设备无法正常运行或损坏，钻机导轨、工作井变形；</w:t>
      </w:r>
    </w:p>
    <w:p>
      <w:pPr>
        <w:spacing w:line="440" w:lineRule="exact"/>
        <w:ind w:firstLine="361" w:firstLineChars="150"/>
        <w:rPr>
          <w:sz w:val="24"/>
        </w:rPr>
      </w:pPr>
      <w:r>
        <w:rPr>
          <w:rFonts w:hint="eastAsia"/>
          <w:b/>
          <w:bCs/>
          <w:sz w:val="24"/>
        </w:rPr>
        <w:t>2</w:t>
      </w:r>
      <w:r>
        <w:rPr>
          <w:rFonts w:hint="eastAsia"/>
          <w:sz w:val="24"/>
        </w:rPr>
        <w:t xml:space="preserve">  钻进轨迹发生突变、钻杆发生过度弯曲；</w:t>
      </w:r>
    </w:p>
    <w:p>
      <w:pPr>
        <w:spacing w:line="440" w:lineRule="exact"/>
        <w:ind w:firstLine="361" w:firstLineChars="150"/>
        <w:rPr>
          <w:sz w:val="24"/>
        </w:rPr>
      </w:pPr>
      <w:r>
        <w:rPr>
          <w:rFonts w:hint="eastAsia"/>
          <w:b/>
          <w:bCs/>
          <w:sz w:val="24"/>
        </w:rPr>
        <w:t>3</w:t>
      </w:r>
      <w:r>
        <w:rPr>
          <w:rFonts w:hint="eastAsia"/>
          <w:sz w:val="24"/>
        </w:rPr>
        <w:t xml:space="preserve">  回转扭矩、回拖力等突变，钻杆扭曲过大或拉断；</w:t>
      </w:r>
    </w:p>
    <w:p>
      <w:pPr>
        <w:spacing w:line="440" w:lineRule="exact"/>
        <w:ind w:firstLine="361" w:firstLineChars="150"/>
        <w:rPr>
          <w:sz w:val="24"/>
        </w:rPr>
      </w:pPr>
      <w:r>
        <w:rPr>
          <w:rFonts w:hint="eastAsia"/>
          <w:b/>
          <w:bCs/>
          <w:sz w:val="24"/>
        </w:rPr>
        <w:t xml:space="preserve">4  </w:t>
      </w:r>
      <w:r>
        <w:rPr>
          <w:rFonts w:hint="eastAsia"/>
          <w:sz w:val="24"/>
        </w:rPr>
        <w:t>坍孔、缩孔、</w:t>
      </w:r>
    </w:p>
    <w:p>
      <w:pPr>
        <w:spacing w:line="440" w:lineRule="exact"/>
        <w:ind w:firstLine="361" w:firstLineChars="150"/>
        <w:rPr>
          <w:sz w:val="24"/>
        </w:rPr>
      </w:pPr>
      <w:r>
        <w:rPr>
          <w:rFonts w:hint="eastAsia"/>
          <w:b/>
          <w:bCs/>
          <w:sz w:val="24"/>
        </w:rPr>
        <w:t>5</w:t>
      </w:r>
      <w:r>
        <w:rPr>
          <w:rFonts w:hint="eastAsia"/>
          <w:sz w:val="24"/>
        </w:rPr>
        <w:t xml:space="preserve">  待回拖管表面损伤；</w:t>
      </w:r>
    </w:p>
    <w:p>
      <w:pPr>
        <w:spacing w:line="440" w:lineRule="exact"/>
        <w:ind w:firstLine="361" w:firstLineChars="150"/>
        <w:rPr>
          <w:sz w:val="24"/>
        </w:rPr>
      </w:pPr>
      <w:r>
        <w:rPr>
          <w:rFonts w:hint="eastAsia"/>
          <w:b/>
          <w:bCs/>
          <w:sz w:val="24"/>
        </w:rPr>
        <w:t>6</w:t>
      </w:r>
      <w:r>
        <w:rPr>
          <w:rFonts w:hint="eastAsia"/>
          <w:sz w:val="24"/>
        </w:rPr>
        <w:t xml:space="preserve">  遇到未预见的障碍物或意外的地质变化；</w:t>
      </w:r>
    </w:p>
    <w:p>
      <w:pPr>
        <w:spacing w:line="440" w:lineRule="exact"/>
        <w:ind w:firstLine="361" w:firstLineChars="150"/>
        <w:rPr>
          <w:sz w:val="24"/>
        </w:rPr>
      </w:pPr>
      <w:r>
        <w:rPr>
          <w:rFonts w:hint="eastAsia"/>
          <w:b/>
          <w:bCs/>
          <w:sz w:val="24"/>
        </w:rPr>
        <w:t>7</w:t>
      </w:r>
      <w:r>
        <w:rPr>
          <w:rFonts w:hint="eastAsia"/>
          <w:sz w:val="24"/>
        </w:rPr>
        <w:t xml:space="preserve">  地层、邻近建（构）筑物、管线等周围环境的变形量超出控制允许值。</w:t>
      </w:r>
    </w:p>
    <w:p>
      <w:pPr>
        <w:spacing w:before="156" w:beforeLines="50" w:after="156" w:afterLines="50" w:line="440" w:lineRule="exact"/>
        <w:jc w:val="center"/>
        <w:outlineLvl w:val="1"/>
        <w:rPr>
          <w:rFonts w:eastAsia="黑体"/>
          <w:sz w:val="24"/>
        </w:rPr>
      </w:pPr>
      <w:bookmarkStart w:id="83" w:name="_Toc13503"/>
      <w:bookmarkStart w:id="84" w:name="_Toc20759"/>
      <w:r>
        <w:rPr>
          <w:rFonts w:hint="eastAsia" w:eastAsia="黑体"/>
          <w:sz w:val="24"/>
        </w:rPr>
        <w:t>7.3  夯管法施工</w:t>
      </w:r>
      <w:bookmarkEnd w:id="83"/>
      <w:bookmarkEnd w:id="84"/>
    </w:p>
    <w:p>
      <w:pPr>
        <w:spacing w:line="440" w:lineRule="exact"/>
        <w:rPr>
          <w:b/>
          <w:bCs/>
          <w:sz w:val="24"/>
        </w:rPr>
      </w:pPr>
      <w:r>
        <w:rPr>
          <w:rFonts w:hint="eastAsia"/>
          <w:b/>
          <w:bCs/>
          <w:sz w:val="24"/>
        </w:rPr>
        <w:t xml:space="preserve">7.3.1  </w:t>
      </w:r>
      <w:r>
        <w:rPr>
          <w:rFonts w:hint="eastAsia"/>
          <w:sz w:val="24"/>
        </w:rPr>
        <w:t>除岩石</w:t>
      </w:r>
      <w:r>
        <w:rPr>
          <w:sz w:val="24"/>
        </w:rPr>
        <w:t>、砾石、砂以外的各种</w:t>
      </w:r>
      <w:r>
        <w:rPr>
          <w:rFonts w:hint="eastAsia"/>
          <w:sz w:val="24"/>
        </w:rPr>
        <w:t>土质可采用夯管法施工。</w:t>
      </w:r>
    </w:p>
    <w:p>
      <w:pPr>
        <w:spacing w:line="440" w:lineRule="exact"/>
        <w:rPr>
          <w:b/>
          <w:bCs/>
          <w:sz w:val="24"/>
        </w:rPr>
      </w:pPr>
      <w:r>
        <w:rPr>
          <w:rFonts w:hint="eastAsia"/>
          <w:b/>
          <w:bCs/>
          <w:sz w:val="24"/>
        </w:rPr>
        <w:t xml:space="preserve">7.3.2  </w:t>
      </w:r>
      <w:r>
        <w:rPr>
          <w:rFonts w:hint="eastAsia"/>
          <w:sz w:val="24"/>
        </w:rPr>
        <w:t>夯管锤顶进力的计算及设备的选择应符合本规范第5.4.2条的相关规定。</w:t>
      </w:r>
    </w:p>
    <w:p>
      <w:pPr>
        <w:spacing w:line="440" w:lineRule="exact"/>
        <w:rPr>
          <w:sz w:val="24"/>
        </w:rPr>
      </w:pPr>
      <w:r>
        <w:rPr>
          <w:rFonts w:hint="eastAsia"/>
          <w:b/>
          <w:bCs/>
          <w:sz w:val="24"/>
        </w:rPr>
        <w:t>7.3.</w:t>
      </w:r>
      <w:r>
        <w:rPr>
          <w:b/>
          <w:bCs/>
          <w:sz w:val="24"/>
        </w:rPr>
        <w:t>3</w:t>
      </w:r>
      <w:r>
        <w:rPr>
          <w:rFonts w:hint="eastAsia"/>
          <w:sz w:val="24"/>
        </w:rPr>
        <w:t xml:space="preserve">  夯管施工前检查应符合下列规定：</w:t>
      </w:r>
    </w:p>
    <w:p>
      <w:pPr>
        <w:spacing w:line="440" w:lineRule="exact"/>
        <w:ind w:firstLine="361" w:firstLineChars="150"/>
        <w:rPr>
          <w:sz w:val="24"/>
        </w:rPr>
      </w:pPr>
      <w:r>
        <w:rPr>
          <w:rFonts w:hint="eastAsia"/>
          <w:b/>
          <w:bCs/>
          <w:sz w:val="24"/>
        </w:rPr>
        <w:t>1</w:t>
      </w:r>
      <w:r>
        <w:rPr>
          <w:rFonts w:hint="eastAsia"/>
          <w:sz w:val="24"/>
        </w:rPr>
        <w:t xml:space="preserve">  工作井结构应施工符合设计文件规定，其尺寸应满足单节管长安装、接口焊接作业、夯管锤及辅助设备布置、气动软管弯曲等要求；</w:t>
      </w:r>
    </w:p>
    <w:p>
      <w:pPr>
        <w:spacing w:line="440" w:lineRule="exact"/>
        <w:ind w:firstLine="361" w:firstLineChars="150"/>
        <w:rPr>
          <w:sz w:val="24"/>
        </w:rPr>
      </w:pPr>
      <w:r>
        <w:rPr>
          <w:b/>
          <w:bCs/>
          <w:sz w:val="24"/>
        </w:rPr>
        <w:t>2</w:t>
      </w:r>
      <w:r>
        <w:rPr>
          <w:rFonts w:hint="eastAsia"/>
          <w:sz w:val="24"/>
        </w:rPr>
        <w:t xml:space="preserve">  气动系统、各类辅助系统的选择及布置应符合施工方案要求，管路连接结构应安全、无泄漏，阀门及仪器仪表的安装和使用应安全可靠；</w:t>
      </w:r>
    </w:p>
    <w:p>
      <w:pPr>
        <w:spacing w:line="440" w:lineRule="exact"/>
        <w:ind w:firstLine="361" w:firstLineChars="150"/>
        <w:rPr>
          <w:sz w:val="24"/>
        </w:rPr>
      </w:pPr>
      <w:r>
        <w:rPr>
          <w:b/>
          <w:bCs/>
          <w:sz w:val="24"/>
        </w:rPr>
        <w:t>3</w:t>
      </w:r>
      <w:r>
        <w:rPr>
          <w:rFonts w:hint="eastAsia"/>
          <w:sz w:val="24"/>
        </w:rPr>
        <w:t xml:space="preserve">  工作井内的导轨安装方向应与管道轴线一致，安装应稳固、直顺；</w:t>
      </w:r>
    </w:p>
    <w:p>
      <w:pPr>
        <w:spacing w:line="440" w:lineRule="exact"/>
        <w:ind w:firstLine="361" w:firstLineChars="150"/>
        <w:rPr>
          <w:sz w:val="24"/>
        </w:rPr>
      </w:pPr>
      <w:r>
        <w:rPr>
          <w:b/>
          <w:bCs/>
          <w:sz w:val="24"/>
        </w:rPr>
        <w:t>4</w:t>
      </w:r>
      <w:r>
        <w:rPr>
          <w:rFonts w:hint="eastAsia"/>
          <w:sz w:val="24"/>
        </w:rPr>
        <w:t xml:space="preserve">  成品钢管应质量检验合格；</w:t>
      </w:r>
    </w:p>
    <w:p>
      <w:pPr>
        <w:spacing w:line="440" w:lineRule="exact"/>
        <w:ind w:firstLine="361" w:firstLineChars="150"/>
        <w:rPr>
          <w:sz w:val="24"/>
        </w:rPr>
      </w:pPr>
      <w:r>
        <w:rPr>
          <w:b/>
          <w:bCs/>
          <w:sz w:val="24"/>
        </w:rPr>
        <w:t>5</w:t>
      </w:r>
      <w:r>
        <w:rPr>
          <w:rFonts w:hint="eastAsia"/>
          <w:sz w:val="24"/>
        </w:rPr>
        <w:t xml:space="preserve"> </w:t>
      </w:r>
      <w:r>
        <w:rPr>
          <w:sz w:val="24"/>
        </w:rPr>
        <w:t xml:space="preserve"> </w:t>
      </w:r>
      <w:r>
        <w:rPr>
          <w:rFonts w:hint="eastAsia"/>
          <w:sz w:val="24"/>
        </w:rPr>
        <w:t>连接器与穿孔机、钢管刚性连接应牢固、位置正确、中心轴线一致，第一节钢管顶入端的管靴制作和安装应符合施工方案要求；</w:t>
      </w:r>
    </w:p>
    <w:p>
      <w:pPr>
        <w:spacing w:line="440" w:lineRule="exact"/>
        <w:ind w:firstLine="361" w:firstLineChars="150"/>
        <w:rPr>
          <w:sz w:val="24"/>
        </w:rPr>
      </w:pPr>
      <w:r>
        <w:rPr>
          <w:b/>
          <w:bCs/>
          <w:sz w:val="24"/>
        </w:rPr>
        <w:t>6</w:t>
      </w:r>
      <w:r>
        <w:rPr>
          <w:rFonts w:hint="eastAsia"/>
          <w:sz w:val="24"/>
        </w:rPr>
        <w:t xml:space="preserve">  设备、系统应经检验、调试合格；</w:t>
      </w:r>
    </w:p>
    <w:p>
      <w:pPr>
        <w:spacing w:line="440" w:lineRule="exact"/>
        <w:ind w:firstLine="361" w:firstLineChars="150"/>
        <w:rPr>
          <w:sz w:val="24"/>
        </w:rPr>
      </w:pPr>
      <w:r>
        <w:rPr>
          <w:b/>
          <w:bCs/>
          <w:sz w:val="24"/>
        </w:rPr>
        <w:t>7</w:t>
      </w:r>
      <w:r>
        <w:rPr>
          <w:sz w:val="24"/>
        </w:rPr>
        <w:t xml:space="preserve">  </w:t>
      </w:r>
      <w:r>
        <w:rPr>
          <w:rFonts w:hint="eastAsia"/>
          <w:sz w:val="24"/>
        </w:rPr>
        <w:t>滑块与导轨面接触应平顺、移动应平稳；</w:t>
      </w:r>
    </w:p>
    <w:p>
      <w:pPr>
        <w:spacing w:line="440" w:lineRule="exact"/>
        <w:ind w:firstLine="361" w:firstLineChars="150"/>
        <w:rPr>
          <w:sz w:val="24"/>
        </w:rPr>
      </w:pPr>
      <w:r>
        <w:rPr>
          <w:b/>
          <w:bCs/>
          <w:sz w:val="24"/>
        </w:rPr>
        <w:t>8</w:t>
      </w:r>
      <w:r>
        <w:rPr>
          <w:rFonts w:hint="eastAsia"/>
          <w:sz w:val="24"/>
        </w:rPr>
        <w:t xml:space="preserve">  进、出洞口范围土体应稳定。</w:t>
      </w:r>
    </w:p>
    <w:p>
      <w:pPr>
        <w:spacing w:line="440" w:lineRule="exact"/>
        <w:rPr>
          <w:sz w:val="24"/>
        </w:rPr>
      </w:pPr>
      <w:bookmarkStart w:id="85" w:name="_Hlk103462218"/>
      <w:r>
        <w:rPr>
          <w:rFonts w:hint="eastAsia"/>
          <w:b/>
          <w:bCs/>
          <w:sz w:val="24"/>
        </w:rPr>
        <w:t>7.3.</w:t>
      </w:r>
      <w:r>
        <w:rPr>
          <w:b/>
          <w:bCs/>
          <w:sz w:val="24"/>
        </w:rPr>
        <w:t>4</w:t>
      </w:r>
      <w:r>
        <w:rPr>
          <w:rFonts w:hint="eastAsia"/>
          <w:sz w:val="24"/>
        </w:rPr>
        <w:t xml:space="preserve">  夯管施工应符合下列规定：</w:t>
      </w:r>
    </w:p>
    <w:bookmarkEnd w:id="85"/>
    <w:p>
      <w:pPr>
        <w:spacing w:line="440" w:lineRule="exact"/>
        <w:ind w:firstLine="361" w:firstLineChars="150"/>
        <w:rPr>
          <w:sz w:val="24"/>
        </w:rPr>
      </w:pPr>
      <w:r>
        <w:rPr>
          <w:rFonts w:hint="eastAsia"/>
          <w:b/>
          <w:bCs/>
          <w:sz w:val="24"/>
        </w:rPr>
        <w:t>1</w:t>
      </w:r>
      <w:r>
        <w:rPr>
          <w:rFonts w:hint="eastAsia"/>
          <w:sz w:val="24"/>
        </w:rPr>
        <w:t xml:space="preserve">  第一节管入土层时应检查设备运行工作情况，并控制管道轴线位置；每夯入1m应进行轴线测量，其偏差应控制在15mm以内；</w:t>
      </w:r>
    </w:p>
    <w:p>
      <w:pPr>
        <w:spacing w:line="440" w:lineRule="exact"/>
        <w:ind w:firstLine="361" w:firstLineChars="150"/>
        <w:rPr>
          <w:sz w:val="24"/>
        </w:rPr>
      </w:pPr>
      <w:r>
        <w:rPr>
          <w:rFonts w:hint="eastAsia"/>
          <w:b/>
          <w:bCs/>
          <w:sz w:val="24"/>
        </w:rPr>
        <w:t>2</w:t>
      </w:r>
      <w:r>
        <w:rPr>
          <w:rFonts w:hint="eastAsia"/>
          <w:sz w:val="24"/>
        </w:rPr>
        <w:t xml:space="preserve">  后续管节夯进应符合下列规定：</w:t>
      </w:r>
    </w:p>
    <w:p>
      <w:pPr>
        <w:spacing w:line="440" w:lineRule="exact"/>
        <w:ind w:firstLine="482" w:firstLineChars="200"/>
        <w:rPr>
          <w:sz w:val="24"/>
        </w:rPr>
      </w:pPr>
      <w:r>
        <w:rPr>
          <w:rFonts w:hint="eastAsia"/>
          <w:b/>
          <w:bCs/>
          <w:sz w:val="24"/>
        </w:rPr>
        <w:t>1）</w:t>
      </w:r>
      <w:r>
        <w:rPr>
          <w:rFonts w:hint="eastAsia"/>
          <w:sz w:val="24"/>
        </w:rPr>
        <w:t>第一节管夯至规定位置后，应将连接器与第一节管分离，并应吊入第二节管进行与第一节管接口焊接；</w:t>
      </w:r>
    </w:p>
    <w:p>
      <w:pPr>
        <w:spacing w:line="440" w:lineRule="exact"/>
        <w:ind w:firstLine="482" w:firstLineChars="200"/>
        <w:rPr>
          <w:sz w:val="24"/>
        </w:rPr>
      </w:pPr>
      <w:r>
        <w:rPr>
          <w:rFonts w:hint="eastAsia"/>
          <w:b/>
          <w:bCs/>
          <w:sz w:val="24"/>
        </w:rPr>
        <w:t>2）</w:t>
      </w:r>
      <w:r>
        <w:rPr>
          <w:rFonts w:hint="eastAsia"/>
          <w:sz w:val="24"/>
        </w:rPr>
        <w:t>后续管节每次夯进前，应待已夯入管与吊入管的管节接口焊接完成，按设计要求进行焊缝质量检验后，方可与连接器及穿孔机连接夯进施工；</w:t>
      </w:r>
    </w:p>
    <w:p>
      <w:pPr>
        <w:spacing w:line="440" w:lineRule="exact"/>
        <w:ind w:firstLine="482" w:firstLineChars="200"/>
        <w:rPr>
          <w:sz w:val="24"/>
        </w:rPr>
      </w:pPr>
      <w:r>
        <w:rPr>
          <w:rFonts w:hint="eastAsia"/>
          <w:b/>
          <w:bCs/>
          <w:sz w:val="24"/>
        </w:rPr>
        <w:t>3）</w:t>
      </w:r>
      <w:r>
        <w:rPr>
          <w:rFonts w:hint="eastAsia"/>
          <w:sz w:val="24"/>
        </w:rPr>
        <w:t>后续管节与夯入管节连接时，管节组对拼接、焊缝和补口等质量应检验合格，并应控制管节轴线，不得偏移、弯曲；</w:t>
      </w:r>
    </w:p>
    <w:p>
      <w:pPr>
        <w:spacing w:line="440" w:lineRule="exact"/>
        <w:ind w:firstLine="482" w:firstLineChars="200"/>
        <w:rPr>
          <w:sz w:val="24"/>
        </w:rPr>
      </w:pPr>
      <w:r>
        <w:rPr>
          <w:rFonts w:hint="eastAsia"/>
          <w:b/>
          <w:bCs/>
          <w:sz w:val="24"/>
        </w:rPr>
        <w:t>4）</w:t>
      </w:r>
      <w:r>
        <w:rPr>
          <w:rFonts w:hint="eastAsia"/>
          <w:sz w:val="24"/>
        </w:rPr>
        <w:t>夯管时，应将第一节管夯入接收工作井不少于500mm，并应检查露出部分管口损伤情况；</w:t>
      </w:r>
    </w:p>
    <w:p>
      <w:pPr>
        <w:spacing w:line="440" w:lineRule="exact"/>
        <w:ind w:firstLine="361" w:firstLineChars="150"/>
        <w:rPr>
          <w:sz w:val="24"/>
        </w:rPr>
      </w:pPr>
      <w:r>
        <w:rPr>
          <w:rFonts w:hint="eastAsia"/>
          <w:b/>
          <w:bCs/>
          <w:sz w:val="24"/>
        </w:rPr>
        <w:t>3</w:t>
      </w:r>
      <w:r>
        <w:rPr>
          <w:rFonts w:hint="eastAsia"/>
          <w:sz w:val="24"/>
        </w:rPr>
        <w:t xml:space="preserve">  管节夯进过程中应严格控制气动压力、夯进速率，气压应控制在穿孔机工作气压定值内，并应及时检查导轨变形情况以及设备运行、连接器连接、导轨面与滑块接触情况等；</w:t>
      </w:r>
    </w:p>
    <w:p>
      <w:pPr>
        <w:spacing w:line="440" w:lineRule="exact"/>
        <w:ind w:firstLine="361" w:firstLineChars="150"/>
        <w:rPr>
          <w:sz w:val="24"/>
        </w:rPr>
      </w:pPr>
      <w:r>
        <w:rPr>
          <w:rFonts w:hint="eastAsia"/>
          <w:b/>
          <w:bCs/>
          <w:sz w:val="24"/>
        </w:rPr>
        <w:t>4</w:t>
      </w:r>
      <w:r>
        <w:rPr>
          <w:rFonts w:hint="eastAsia"/>
          <w:sz w:val="24"/>
        </w:rPr>
        <w:t xml:space="preserve">  夯管完成后应进行排土作业，排土方式宜采用人工结合机械方式排土；小口径管道可采用气压、水压方法；排土完成后应进行余土、残土的清理；</w:t>
      </w:r>
      <w:r>
        <w:rPr>
          <w:sz w:val="24"/>
        </w:rPr>
        <w:t xml:space="preserve"> </w:t>
      </w:r>
    </w:p>
    <w:p>
      <w:pPr>
        <w:spacing w:line="440" w:lineRule="exact"/>
        <w:rPr>
          <w:sz w:val="24"/>
        </w:rPr>
      </w:pPr>
      <w:r>
        <w:rPr>
          <w:rFonts w:hint="eastAsia"/>
          <w:b/>
          <w:bCs/>
          <w:sz w:val="24"/>
        </w:rPr>
        <w:t>7.3.</w:t>
      </w:r>
      <w:r>
        <w:rPr>
          <w:b/>
          <w:bCs/>
          <w:sz w:val="24"/>
        </w:rPr>
        <w:t>5</w:t>
      </w:r>
      <w:r>
        <w:rPr>
          <w:rFonts w:hint="eastAsia"/>
          <w:sz w:val="24"/>
        </w:rPr>
        <w:t xml:space="preserve">  出现下列情况时，应停止作业，待问题解决后方可继续作业：</w:t>
      </w:r>
    </w:p>
    <w:p>
      <w:pPr>
        <w:spacing w:line="440" w:lineRule="exact"/>
        <w:ind w:firstLine="361" w:firstLineChars="150"/>
        <w:rPr>
          <w:sz w:val="24"/>
        </w:rPr>
      </w:pPr>
      <w:r>
        <w:rPr>
          <w:rFonts w:hint="eastAsia"/>
          <w:b/>
          <w:bCs/>
          <w:sz w:val="24"/>
        </w:rPr>
        <w:t>1</w:t>
      </w:r>
      <w:r>
        <w:rPr>
          <w:rFonts w:hint="eastAsia"/>
          <w:sz w:val="24"/>
        </w:rPr>
        <w:t xml:space="preserve">  设备无法正常运行或损坏，导轨、工作并变形；</w:t>
      </w:r>
    </w:p>
    <w:p>
      <w:pPr>
        <w:spacing w:line="440" w:lineRule="exact"/>
        <w:ind w:firstLine="361" w:firstLineChars="150"/>
        <w:rPr>
          <w:sz w:val="24"/>
        </w:rPr>
      </w:pPr>
      <w:r>
        <w:rPr>
          <w:rFonts w:hint="eastAsia"/>
          <w:b/>
          <w:bCs/>
          <w:sz w:val="24"/>
        </w:rPr>
        <w:t>2</w:t>
      </w:r>
      <w:r>
        <w:rPr>
          <w:rFonts w:hint="eastAsia"/>
          <w:sz w:val="24"/>
        </w:rPr>
        <w:t xml:space="preserve">  气动压力超出规定值；</w:t>
      </w:r>
    </w:p>
    <w:p>
      <w:pPr>
        <w:spacing w:line="440" w:lineRule="exact"/>
        <w:ind w:firstLine="361" w:firstLineChars="150"/>
        <w:rPr>
          <w:sz w:val="24"/>
        </w:rPr>
      </w:pPr>
      <w:r>
        <w:rPr>
          <w:rFonts w:hint="eastAsia"/>
          <w:b/>
          <w:bCs/>
          <w:sz w:val="24"/>
        </w:rPr>
        <w:t>3</w:t>
      </w:r>
      <w:r>
        <w:rPr>
          <w:rFonts w:hint="eastAsia"/>
          <w:sz w:val="24"/>
        </w:rPr>
        <w:t xml:space="preserve">  穿孔机在正常的工作气压、频率、冲击功等条件下，管节无法夯人或变形、开裂；</w:t>
      </w:r>
    </w:p>
    <w:p>
      <w:pPr>
        <w:spacing w:line="440" w:lineRule="exact"/>
        <w:ind w:firstLine="361" w:firstLineChars="150"/>
        <w:rPr>
          <w:sz w:val="24"/>
        </w:rPr>
      </w:pPr>
      <w:r>
        <w:rPr>
          <w:rFonts w:hint="eastAsia"/>
          <w:b/>
          <w:bCs/>
          <w:sz w:val="24"/>
        </w:rPr>
        <w:t>4</w:t>
      </w:r>
      <w:r>
        <w:rPr>
          <w:rFonts w:hint="eastAsia"/>
          <w:sz w:val="24"/>
        </w:rPr>
        <w:t xml:space="preserve">  钢管夯入速率突变；</w:t>
      </w:r>
    </w:p>
    <w:p>
      <w:pPr>
        <w:spacing w:line="440" w:lineRule="exact"/>
        <w:ind w:firstLine="361" w:firstLineChars="150"/>
        <w:rPr>
          <w:sz w:val="24"/>
        </w:rPr>
      </w:pPr>
      <w:r>
        <w:rPr>
          <w:rFonts w:hint="eastAsia"/>
          <w:b/>
          <w:bCs/>
          <w:sz w:val="24"/>
        </w:rPr>
        <w:t>5</w:t>
      </w:r>
      <w:r>
        <w:rPr>
          <w:rFonts w:hint="eastAsia"/>
          <w:sz w:val="24"/>
        </w:rPr>
        <w:t xml:space="preserve">  连接器损伤、管节接口破坏；</w:t>
      </w:r>
    </w:p>
    <w:p>
      <w:pPr>
        <w:spacing w:line="440" w:lineRule="exact"/>
        <w:ind w:firstLine="361" w:firstLineChars="150"/>
        <w:rPr>
          <w:sz w:val="24"/>
        </w:rPr>
      </w:pPr>
      <w:r>
        <w:rPr>
          <w:rFonts w:hint="eastAsia"/>
          <w:b/>
          <w:bCs/>
          <w:sz w:val="24"/>
        </w:rPr>
        <w:t>6</w:t>
      </w:r>
      <w:r>
        <w:rPr>
          <w:rFonts w:hint="eastAsia"/>
          <w:sz w:val="24"/>
        </w:rPr>
        <w:t xml:space="preserve">  遇到未预见的障碍物或意外的地质变化；</w:t>
      </w:r>
    </w:p>
    <w:p>
      <w:pPr>
        <w:spacing w:line="440" w:lineRule="exact"/>
        <w:ind w:firstLine="361" w:firstLineChars="150"/>
        <w:rPr>
          <w:sz w:val="24"/>
        </w:rPr>
      </w:pPr>
      <w:r>
        <w:rPr>
          <w:rFonts w:hint="eastAsia"/>
          <w:b/>
          <w:bCs/>
          <w:sz w:val="24"/>
        </w:rPr>
        <w:t>7</w:t>
      </w:r>
      <w:r>
        <w:rPr>
          <w:rFonts w:hint="eastAsia"/>
          <w:sz w:val="24"/>
        </w:rPr>
        <w:t xml:space="preserve">  地层、邻近建（构）筑物、管线等周围环境的变形量超出控制值。</w:t>
      </w:r>
    </w:p>
    <w:p>
      <w:pPr>
        <w:spacing w:before="156" w:beforeLines="50" w:after="156" w:afterLines="50" w:line="440" w:lineRule="exact"/>
        <w:jc w:val="center"/>
        <w:outlineLvl w:val="1"/>
        <w:rPr>
          <w:rFonts w:eastAsia="黑体"/>
          <w:sz w:val="24"/>
        </w:rPr>
      </w:pPr>
      <w:bookmarkStart w:id="86" w:name="_Toc4066"/>
      <w:bookmarkStart w:id="87" w:name="_Toc1213"/>
      <w:r>
        <w:rPr>
          <w:rFonts w:hint="eastAsia" w:eastAsia="黑体"/>
          <w:sz w:val="24"/>
        </w:rPr>
        <w:t>7.4  钻进顶管法施工</w:t>
      </w:r>
      <w:bookmarkEnd w:id="86"/>
      <w:bookmarkEnd w:id="87"/>
    </w:p>
    <w:p>
      <w:pPr>
        <w:spacing w:line="440" w:lineRule="exact"/>
        <w:rPr>
          <w:sz w:val="24"/>
        </w:rPr>
      </w:pPr>
      <w:bookmarkStart w:id="88" w:name="_Hlk103371108"/>
      <w:r>
        <w:rPr>
          <w:rFonts w:hint="eastAsia"/>
          <w:b/>
          <w:bCs/>
          <w:sz w:val="24"/>
        </w:rPr>
        <w:t>7.4.1</w:t>
      </w:r>
      <w:r>
        <w:rPr>
          <w:rFonts w:hint="eastAsia"/>
          <w:sz w:val="24"/>
        </w:rPr>
        <w:t xml:space="preserve">  遇到下列条件时，可采用钻进顶管法施工：</w:t>
      </w:r>
    </w:p>
    <w:p>
      <w:pPr>
        <w:spacing w:line="440" w:lineRule="exact"/>
        <w:ind w:firstLine="361" w:firstLineChars="150"/>
        <w:rPr>
          <w:sz w:val="24"/>
        </w:rPr>
      </w:pPr>
      <w:r>
        <w:rPr>
          <w:rFonts w:hint="eastAsia"/>
          <w:b/>
          <w:bCs/>
          <w:sz w:val="24"/>
        </w:rPr>
        <w:t>1</w:t>
      </w:r>
      <w:r>
        <w:rPr>
          <w:rFonts w:hint="eastAsia"/>
          <w:sz w:val="24"/>
        </w:rPr>
        <w:t xml:space="preserve">  杂填土、填土、粉土、粉质粘土、黏土、新黄土、老黄土、古土壤、软土等各种土质地层，以及最大粒径不宜超过100mm，且不应超过1/3管径的卵石地层；</w:t>
      </w:r>
    </w:p>
    <w:bookmarkEnd w:id="88"/>
    <w:p>
      <w:pPr>
        <w:spacing w:line="440" w:lineRule="exact"/>
        <w:ind w:firstLine="361" w:firstLineChars="150"/>
        <w:rPr>
          <w:sz w:val="24"/>
        </w:rPr>
      </w:pPr>
      <w:r>
        <w:rPr>
          <w:rFonts w:hint="eastAsia"/>
          <w:b/>
          <w:bCs/>
          <w:sz w:val="24"/>
        </w:rPr>
        <w:t>2</w:t>
      </w:r>
      <w:r>
        <w:rPr>
          <w:rFonts w:hint="eastAsia"/>
          <w:sz w:val="24"/>
        </w:rPr>
        <w:t xml:space="preserve">  无水、少量滞水或潜水地层；</w:t>
      </w:r>
    </w:p>
    <w:p>
      <w:pPr>
        <w:spacing w:line="440" w:lineRule="exact"/>
        <w:ind w:firstLine="361" w:firstLineChars="150"/>
        <w:rPr>
          <w:sz w:val="24"/>
        </w:rPr>
      </w:pPr>
      <w:r>
        <w:rPr>
          <w:rFonts w:hint="eastAsia"/>
          <w:b/>
          <w:bCs/>
          <w:sz w:val="24"/>
        </w:rPr>
        <w:t>3</w:t>
      </w:r>
      <w:r>
        <w:rPr>
          <w:rFonts w:hint="eastAsia"/>
          <w:sz w:val="24"/>
        </w:rPr>
        <w:t xml:space="preserve">  外径180mm～600mm、壁厚不少于10mm、长度不大于80m的直线管幕钢管顶进施工。</w:t>
      </w:r>
    </w:p>
    <w:p>
      <w:pPr>
        <w:spacing w:line="440" w:lineRule="exact"/>
        <w:rPr>
          <w:sz w:val="24"/>
        </w:rPr>
      </w:pPr>
      <w:bookmarkStart w:id="89" w:name="_Hlk103462304"/>
      <w:r>
        <w:rPr>
          <w:rFonts w:hint="eastAsia"/>
          <w:b/>
          <w:bCs/>
          <w:sz w:val="24"/>
        </w:rPr>
        <w:t>7.4.2</w:t>
      </w:r>
      <w:r>
        <w:rPr>
          <w:rFonts w:hint="eastAsia"/>
          <w:sz w:val="24"/>
        </w:rPr>
        <w:t xml:space="preserve">  施工设备应符合下列规定：</w:t>
      </w:r>
    </w:p>
    <w:bookmarkEnd w:id="89"/>
    <w:p>
      <w:pPr>
        <w:spacing w:line="440" w:lineRule="exact"/>
        <w:ind w:firstLine="361" w:firstLineChars="150"/>
        <w:rPr>
          <w:sz w:val="24"/>
        </w:rPr>
      </w:pPr>
      <w:r>
        <w:rPr>
          <w:rFonts w:hint="eastAsia"/>
          <w:b/>
          <w:bCs/>
          <w:sz w:val="24"/>
        </w:rPr>
        <w:t>1</w:t>
      </w:r>
      <w:r>
        <w:rPr>
          <w:rFonts w:hint="eastAsia"/>
          <w:sz w:val="24"/>
        </w:rPr>
        <w:t xml:space="preserve">  应为顶进系统、出土系统、支撑系统、走行系统及吊装系统五大系统高度集成的自动化平台；</w:t>
      </w:r>
    </w:p>
    <w:p>
      <w:pPr>
        <w:spacing w:line="440" w:lineRule="exact"/>
        <w:ind w:firstLine="361" w:firstLineChars="150"/>
        <w:rPr>
          <w:sz w:val="24"/>
        </w:rPr>
      </w:pPr>
      <w:r>
        <w:rPr>
          <w:rFonts w:hint="eastAsia"/>
          <w:b/>
          <w:bCs/>
          <w:sz w:val="24"/>
        </w:rPr>
        <w:t>2</w:t>
      </w:r>
      <w:r>
        <w:rPr>
          <w:rFonts w:hint="eastAsia"/>
          <w:sz w:val="24"/>
        </w:rPr>
        <w:t xml:space="preserve">  顶进系统应为长、短行程双液压系统，并可实现管幕钢管的快速顶进及过程纠偏；</w:t>
      </w:r>
    </w:p>
    <w:p>
      <w:pPr>
        <w:spacing w:line="440" w:lineRule="exact"/>
        <w:ind w:firstLine="361" w:firstLineChars="150"/>
        <w:rPr>
          <w:sz w:val="24"/>
        </w:rPr>
      </w:pPr>
      <w:r>
        <w:rPr>
          <w:rFonts w:hint="eastAsia"/>
          <w:b/>
          <w:bCs/>
          <w:sz w:val="24"/>
        </w:rPr>
        <w:t>3</w:t>
      </w:r>
      <w:r>
        <w:rPr>
          <w:rFonts w:hint="eastAsia"/>
          <w:sz w:val="24"/>
        </w:rPr>
        <w:t xml:space="preserve">  千斤顶的顶力、行程应满足顶管需要，使用前应进行标定；</w:t>
      </w:r>
    </w:p>
    <w:p>
      <w:pPr>
        <w:spacing w:line="440" w:lineRule="exact"/>
        <w:ind w:firstLine="361" w:firstLineChars="150"/>
        <w:rPr>
          <w:sz w:val="24"/>
        </w:rPr>
      </w:pPr>
      <w:r>
        <w:rPr>
          <w:rFonts w:hint="eastAsia"/>
          <w:b/>
          <w:bCs/>
          <w:sz w:val="24"/>
        </w:rPr>
        <w:t>4</w:t>
      </w:r>
      <w:r>
        <w:rPr>
          <w:rFonts w:hint="eastAsia"/>
          <w:sz w:val="24"/>
        </w:rPr>
        <w:t xml:space="preserve">  螺旋钻杆起传递钻压、扭矩以及排除土渣的作用，其直径应小于顶进钢管内径20mm为宜，总长及分节长度应与钢管相匹配；</w:t>
      </w:r>
    </w:p>
    <w:p>
      <w:pPr>
        <w:spacing w:line="440" w:lineRule="exact"/>
        <w:ind w:firstLine="361" w:firstLineChars="150"/>
        <w:rPr>
          <w:sz w:val="24"/>
        </w:rPr>
      </w:pPr>
      <w:r>
        <w:rPr>
          <w:rFonts w:hint="eastAsia"/>
          <w:b/>
          <w:bCs/>
          <w:sz w:val="24"/>
        </w:rPr>
        <w:t>5</w:t>
      </w:r>
      <w:r>
        <w:rPr>
          <w:rFonts w:hint="eastAsia"/>
          <w:sz w:val="24"/>
        </w:rPr>
        <w:t xml:space="preserve">  钻头直径宜略小于管幕钢管内径，并应根据地层条件参照表7.4.</w:t>
      </w:r>
      <w:r>
        <w:rPr>
          <w:sz w:val="24"/>
        </w:rPr>
        <w:t>2</w:t>
      </w:r>
      <w:r>
        <w:rPr>
          <w:rFonts w:hint="eastAsia"/>
          <w:sz w:val="24"/>
        </w:rPr>
        <w:t>选定；</w:t>
      </w:r>
    </w:p>
    <w:p>
      <w:pPr>
        <w:spacing w:before="156" w:beforeLines="50"/>
        <w:jc w:val="center"/>
        <w:rPr>
          <w:rFonts w:eastAsia="黑体"/>
          <w:bCs/>
          <w:kern w:val="0"/>
          <w:szCs w:val="21"/>
        </w:rPr>
      </w:pPr>
      <w:r>
        <w:rPr>
          <w:rFonts w:hint="eastAsia" w:eastAsia="黑体"/>
          <w:bCs/>
          <w:kern w:val="0"/>
          <w:szCs w:val="21"/>
        </w:rPr>
        <w:t>表7.4.</w:t>
      </w:r>
      <w:r>
        <w:rPr>
          <w:rFonts w:eastAsia="黑体"/>
          <w:bCs/>
          <w:kern w:val="0"/>
          <w:szCs w:val="21"/>
        </w:rPr>
        <w:t>2</w:t>
      </w:r>
      <w:r>
        <w:rPr>
          <w:rFonts w:hint="eastAsia" w:eastAsia="黑体"/>
          <w:bCs/>
          <w:kern w:val="0"/>
          <w:szCs w:val="21"/>
        </w:rPr>
        <w:t xml:space="preserve">  钻头类型选择</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73"/>
        <w:gridCol w:w="4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173" w:type="dxa"/>
            <w:tcBorders>
              <w:top w:val="single" w:color="auto" w:sz="4" w:space="0"/>
              <w:left w:val="single" w:color="auto" w:sz="4" w:space="0"/>
              <w:bottom w:val="single" w:color="auto" w:sz="4" w:space="0"/>
              <w:right w:val="single" w:color="auto" w:sz="4" w:space="0"/>
            </w:tcBorders>
            <w:vAlign w:val="center"/>
          </w:tcPr>
          <w:p>
            <w:pPr>
              <w:jc w:val="center"/>
              <w:rPr>
                <w:bCs/>
                <w:sz w:val="20"/>
                <w:szCs w:val="20"/>
              </w:rPr>
            </w:pPr>
            <w:r>
              <w:rPr>
                <w:rFonts w:hint="eastAsia"/>
                <w:bCs/>
                <w:sz w:val="20"/>
                <w:szCs w:val="20"/>
              </w:rPr>
              <w:t>地层类别</w:t>
            </w:r>
          </w:p>
        </w:tc>
        <w:tc>
          <w:tcPr>
            <w:tcW w:w="4173" w:type="dxa"/>
            <w:tcBorders>
              <w:top w:val="single" w:color="auto" w:sz="4" w:space="0"/>
              <w:left w:val="single" w:color="auto" w:sz="4" w:space="0"/>
              <w:bottom w:val="single" w:color="auto" w:sz="4" w:space="0"/>
              <w:right w:val="single" w:color="auto" w:sz="4" w:space="0"/>
            </w:tcBorders>
          </w:tcPr>
          <w:p>
            <w:pPr>
              <w:jc w:val="center"/>
              <w:rPr>
                <w:bCs/>
                <w:sz w:val="20"/>
                <w:szCs w:val="20"/>
              </w:rPr>
            </w:pPr>
            <w:r>
              <w:rPr>
                <w:rFonts w:hint="eastAsia"/>
                <w:bCs/>
                <w:sz w:val="20"/>
                <w:szCs w:val="20"/>
              </w:rPr>
              <w:t>使用的钻头类型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173" w:type="dxa"/>
            <w:tcBorders>
              <w:top w:val="single" w:color="auto" w:sz="4" w:space="0"/>
              <w:left w:val="single" w:color="auto" w:sz="4" w:space="0"/>
              <w:bottom w:val="single" w:color="auto" w:sz="4" w:space="0"/>
              <w:right w:val="single" w:color="auto" w:sz="4" w:space="0"/>
            </w:tcBorders>
            <w:vAlign w:val="center"/>
          </w:tcPr>
          <w:p>
            <w:pPr>
              <w:jc w:val="center"/>
              <w:rPr>
                <w:bCs/>
                <w:sz w:val="20"/>
                <w:szCs w:val="20"/>
              </w:rPr>
            </w:pPr>
            <w:r>
              <w:rPr>
                <w:rFonts w:hint="eastAsia"/>
                <w:bCs/>
                <w:sz w:val="20"/>
                <w:szCs w:val="20"/>
              </w:rPr>
              <w:t>淤泥质粘土</w:t>
            </w:r>
          </w:p>
        </w:tc>
        <w:tc>
          <w:tcPr>
            <w:tcW w:w="4173" w:type="dxa"/>
            <w:tcBorders>
              <w:top w:val="single" w:color="auto" w:sz="4" w:space="0"/>
              <w:left w:val="single" w:color="auto" w:sz="4" w:space="0"/>
              <w:bottom w:val="single" w:color="auto" w:sz="4" w:space="0"/>
              <w:right w:val="single" w:color="auto" w:sz="4" w:space="0"/>
            </w:tcBorders>
            <w:vAlign w:val="center"/>
          </w:tcPr>
          <w:p>
            <w:pPr>
              <w:jc w:val="center"/>
              <w:rPr>
                <w:bCs/>
                <w:sz w:val="20"/>
                <w:szCs w:val="20"/>
              </w:rPr>
            </w:pPr>
            <w:r>
              <w:rPr>
                <w:rFonts w:hint="eastAsia"/>
                <w:bCs/>
                <w:sz w:val="20"/>
                <w:szCs w:val="20"/>
              </w:rPr>
              <w:t>较大掌面的铲形钻头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173" w:type="dxa"/>
            <w:tcBorders>
              <w:top w:val="single" w:color="auto" w:sz="4" w:space="0"/>
              <w:left w:val="single" w:color="auto" w:sz="4" w:space="0"/>
              <w:bottom w:val="single" w:color="auto" w:sz="4" w:space="0"/>
              <w:right w:val="single" w:color="auto" w:sz="4" w:space="0"/>
            </w:tcBorders>
            <w:vAlign w:val="center"/>
          </w:tcPr>
          <w:p>
            <w:pPr>
              <w:jc w:val="center"/>
              <w:rPr>
                <w:bCs/>
                <w:sz w:val="20"/>
                <w:szCs w:val="20"/>
              </w:rPr>
            </w:pPr>
            <w:r>
              <w:rPr>
                <w:rFonts w:hint="eastAsia"/>
                <w:bCs/>
                <w:sz w:val="20"/>
                <w:szCs w:val="20"/>
              </w:rPr>
              <w:t>软粘土</w:t>
            </w:r>
          </w:p>
        </w:tc>
        <w:tc>
          <w:tcPr>
            <w:tcW w:w="4173" w:type="dxa"/>
            <w:tcBorders>
              <w:top w:val="single" w:color="auto" w:sz="4" w:space="0"/>
              <w:left w:val="single" w:color="auto" w:sz="4" w:space="0"/>
              <w:bottom w:val="single" w:color="auto" w:sz="4" w:space="0"/>
              <w:right w:val="single" w:color="auto" w:sz="4" w:space="0"/>
            </w:tcBorders>
            <w:vAlign w:val="center"/>
          </w:tcPr>
          <w:p>
            <w:pPr>
              <w:jc w:val="center"/>
              <w:rPr>
                <w:bCs/>
                <w:sz w:val="20"/>
                <w:szCs w:val="20"/>
              </w:rPr>
            </w:pPr>
            <w:r>
              <w:rPr>
                <w:rFonts w:hint="eastAsia"/>
                <w:bCs/>
                <w:sz w:val="20"/>
                <w:szCs w:val="20"/>
              </w:rPr>
              <w:t>中等掌面的铲形钻头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173" w:type="dxa"/>
            <w:tcBorders>
              <w:top w:val="single" w:color="auto" w:sz="4" w:space="0"/>
              <w:left w:val="single" w:color="auto" w:sz="4" w:space="0"/>
              <w:bottom w:val="single" w:color="auto" w:sz="4" w:space="0"/>
              <w:right w:val="single" w:color="auto" w:sz="4" w:space="0"/>
            </w:tcBorders>
            <w:vAlign w:val="center"/>
          </w:tcPr>
          <w:p>
            <w:pPr>
              <w:jc w:val="center"/>
              <w:rPr>
                <w:bCs/>
                <w:sz w:val="20"/>
                <w:szCs w:val="20"/>
              </w:rPr>
            </w:pPr>
            <w:r>
              <w:rPr>
                <w:rFonts w:hint="eastAsia"/>
                <w:bCs/>
                <w:sz w:val="20"/>
                <w:szCs w:val="20"/>
              </w:rPr>
              <w:t>砂性土</w:t>
            </w:r>
          </w:p>
        </w:tc>
        <w:tc>
          <w:tcPr>
            <w:tcW w:w="4173" w:type="dxa"/>
            <w:tcBorders>
              <w:top w:val="single" w:color="auto" w:sz="4" w:space="0"/>
              <w:left w:val="single" w:color="auto" w:sz="4" w:space="0"/>
              <w:bottom w:val="single" w:color="auto" w:sz="4" w:space="0"/>
              <w:right w:val="single" w:color="auto" w:sz="4" w:space="0"/>
            </w:tcBorders>
            <w:vAlign w:val="center"/>
          </w:tcPr>
          <w:p>
            <w:pPr>
              <w:jc w:val="center"/>
              <w:rPr>
                <w:bCs/>
                <w:sz w:val="20"/>
                <w:szCs w:val="20"/>
              </w:rPr>
            </w:pPr>
            <w:r>
              <w:rPr>
                <w:rFonts w:hint="eastAsia"/>
                <w:bCs/>
                <w:sz w:val="20"/>
                <w:szCs w:val="20"/>
              </w:rPr>
              <w:t>小锥型掌面的铲形钻头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173" w:type="dxa"/>
            <w:tcBorders>
              <w:top w:val="single" w:color="auto" w:sz="4" w:space="0"/>
              <w:left w:val="single" w:color="auto" w:sz="4" w:space="0"/>
              <w:bottom w:val="single" w:color="auto" w:sz="4" w:space="0"/>
              <w:right w:val="single" w:color="auto" w:sz="4" w:space="0"/>
            </w:tcBorders>
            <w:vAlign w:val="center"/>
          </w:tcPr>
          <w:p>
            <w:pPr>
              <w:jc w:val="center"/>
              <w:rPr>
                <w:bCs/>
                <w:sz w:val="20"/>
                <w:szCs w:val="20"/>
              </w:rPr>
            </w:pPr>
            <w:r>
              <w:rPr>
                <w:rFonts w:hint="eastAsia"/>
                <w:bCs/>
                <w:sz w:val="20"/>
                <w:szCs w:val="20"/>
              </w:rPr>
              <w:t>砂、砾石层</w:t>
            </w:r>
          </w:p>
        </w:tc>
        <w:tc>
          <w:tcPr>
            <w:tcW w:w="4173" w:type="dxa"/>
            <w:tcBorders>
              <w:top w:val="single" w:color="auto" w:sz="4" w:space="0"/>
              <w:left w:val="single" w:color="auto" w:sz="4" w:space="0"/>
              <w:bottom w:val="single" w:color="auto" w:sz="4" w:space="0"/>
              <w:right w:val="single" w:color="auto" w:sz="4" w:space="0"/>
            </w:tcBorders>
            <w:vAlign w:val="center"/>
          </w:tcPr>
          <w:p>
            <w:pPr>
              <w:jc w:val="center"/>
              <w:rPr>
                <w:bCs/>
                <w:sz w:val="20"/>
                <w:szCs w:val="20"/>
              </w:rPr>
            </w:pPr>
            <w:r>
              <w:rPr>
                <w:rFonts w:hint="eastAsia"/>
                <w:bCs/>
                <w:sz w:val="20"/>
                <w:szCs w:val="20"/>
              </w:rPr>
              <w:t>镶焊硬质合金钻头</w:t>
            </w:r>
          </w:p>
        </w:tc>
      </w:tr>
    </w:tbl>
    <w:p>
      <w:pPr>
        <w:rPr>
          <w:strike/>
          <w:sz w:val="18"/>
          <w:szCs w:val="18"/>
        </w:rPr>
      </w:pPr>
      <w:r>
        <w:rPr>
          <w:rFonts w:hint="eastAsia"/>
          <w:sz w:val="18"/>
          <w:szCs w:val="18"/>
        </w:rPr>
        <w:t>注：根据土层软硬的不同，钻头切削具的种类也不一样。</w:t>
      </w:r>
    </w:p>
    <w:p>
      <w:pPr>
        <w:spacing w:line="440" w:lineRule="exact"/>
        <w:rPr>
          <w:sz w:val="24"/>
        </w:rPr>
      </w:pPr>
      <w:bookmarkStart w:id="90" w:name="_Hlk103371227"/>
      <w:r>
        <w:rPr>
          <w:rFonts w:hint="eastAsia"/>
          <w:b/>
          <w:bCs/>
          <w:sz w:val="24"/>
        </w:rPr>
        <w:t>7.4.3</w:t>
      </w:r>
      <w:r>
        <w:rPr>
          <w:rFonts w:hint="eastAsia"/>
          <w:sz w:val="24"/>
        </w:rPr>
        <w:t xml:space="preserve">  顶进设备安装应符合下列规定：</w:t>
      </w:r>
    </w:p>
    <w:p>
      <w:pPr>
        <w:spacing w:line="440" w:lineRule="exact"/>
        <w:ind w:firstLine="361" w:firstLineChars="150"/>
        <w:rPr>
          <w:sz w:val="24"/>
        </w:rPr>
      </w:pPr>
      <w:r>
        <w:rPr>
          <w:rFonts w:hint="eastAsia"/>
          <w:b/>
          <w:bCs/>
          <w:sz w:val="24"/>
        </w:rPr>
        <w:t>1</w:t>
      </w:r>
      <w:r>
        <w:rPr>
          <w:rFonts w:hint="eastAsia"/>
          <w:sz w:val="24"/>
        </w:rPr>
        <w:t xml:space="preserve">  平台轨道应采用型钢制作，安装基础应稳固，在顶进中承受各种负载时不应产生位移、沉降和变形；</w:t>
      </w:r>
    </w:p>
    <w:p>
      <w:pPr>
        <w:spacing w:line="440" w:lineRule="exact"/>
        <w:ind w:firstLine="361" w:firstLineChars="150"/>
        <w:rPr>
          <w:sz w:val="24"/>
        </w:rPr>
      </w:pPr>
      <w:r>
        <w:rPr>
          <w:rFonts w:hint="eastAsia"/>
          <w:b/>
          <w:bCs/>
          <w:sz w:val="24"/>
        </w:rPr>
        <w:t>2</w:t>
      </w:r>
      <w:r>
        <w:rPr>
          <w:rFonts w:hint="eastAsia"/>
          <w:sz w:val="24"/>
        </w:rPr>
        <w:t xml:space="preserve">  平台应利用定位液压自锁油缸精准调整平台至设计高度，经测量复核水平后再顶进侧向油缸使平台固定牢靠，并应在施工中经常检查校核；</w:t>
      </w:r>
    </w:p>
    <w:p>
      <w:pPr>
        <w:spacing w:line="440" w:lineRule="exact"/>
        <w:ind w:firstLine="361" w:firstLineChars="150"/>
        <w:rPr>
          <w:sz w:val="24"/>
        </w:rPr>
      </w:pPr>
      <w:r>
        <w:rPr>
          <w:rFonts w:hint="eastAsia"/>
          <w:b/>
          <w:bCs/>
          <w:sz w:val="24"/>
        </w:rPr>
        <w:t>3</w:t>
      </w:r>
      <w:r>
        <w:rPr>
          <w:rFonts w:hint="eastAsia"/>
          <w:sz w:val="24"/>
        </w:rPr>
        <w:t xml:space="preserve">  千斤顶的规格和数量应根据实际需要的顶力、后背墙允许顶力及管节允许顶力确定；</w:t>
      </w:r>
    </w:p>
    <w:p>
      <w:pPr>
        <w:spacing w:line="440" w:lineRule="exact"/>
        <w:ind w:firstLine="361" w:firstLineChars="150"/>
        <w:rPr>
          <w:sz w:val="24"/>
        </w:rPr>
      </w:pPr>
      <w:r>
        <w:rPr>
          <w:rFonts w:hint="eastAsia"/>
          <w:b/>
          <w:bCs/>
          <w:sz w:val="24"/>
        </w:rPr>
        <w:t>4</w:t>
      </w:r>
      <w:r>
        <w:rPr>
          <w:rFonts w:hint="eastAsia"/>
          <w:sz w:val="24"/>
        </w:rPr>
        <w:t xml:space="preserve">  顶进系统千斤顶与后背墙之间应设置后座垫铁，后背墙的强度应按其承受的最大顶力设计计算；</w:t>
      </w:r>
    </w:p>
    <w:bookmarkEnd w:id="90"/>
    <w:p>
      <w:pPr>
        <w:spacing w:line="440" w:lineRule="exact"/>
        <w:ind w:firstLine="361" w:firstLineChars="150"/>
        <w:rPr>
          <w:sz w:val="24"/>
        </w:rPr>
      </w:pPr>
      <w:r>
        <w:rPr>
          <w:rFonts w:hint="eastAsia"/>
          <w:b/>
          <w:bCs/>
          <w:sz w:val="24"/>
        </w:rPr>
        <w:t>5</w:t>
      </w:r>
      <w:r>
        <w:rPr>
          <w:rFonts w:hint="eastAsia"/>
          <w:sz w:val="24"/>
        </w:rPr>
        <w:t xml:space="preserve">  后座垫铁与后背墙应密贴，并应与管幕轴线垂直，垂直度允许误差应不大于5mm/m。</w:t>
      </w:r>
    </w:p>
    <w:p>
      <w:pPr>
        <w:spacing w:line="440" w:lineRule="exact"/>
        <w:rPr>
          <w:sz w:val="24"/>
        </w:rPr>
      </w:pPr>
      <w:bookmarkStart w:id="91" w:name="_Hlk103371288"/>
      <w:r>
        <w:rPr>
          <w:rFonts w:hint="eastAsia"/>
          <w:b/>
          <w:bCs/>
          <w:sz w:val="24"/>
        </w:rPr>
        <w:t>7.4.4</w:t>
      </w:r>
      <w:r>
        <w:rPr>
          <w:rFonts w:hint="eastAsia"/>
          <w:sz w:val="24"/>
        </w:rPr>
        <w:t xml:space="preserve">  管口定位应符合下列规定：</w:t>
      </w:r>
    </w:p>
    <w:p>
      <w:pPr>
        <w:spacing w:line="440" w:lineRule="exact"/>
        <w:ind w:firstLine="361" w:firstLineChars="150"/>
        <w:rPr>
          <w:sz w:val="24"/>
        </w:rPr>
      </w:pPr>
      <w:r>
        <w:rPr>
          <w:rFonts w:hint="eastAsia"/>
          <w:b/>
          <w:bCs/>
          <w:sz w:val="24"/>
        </w:rPr>
        <w:t>1</w:t>
      </w:r>
      <w:r>
        <w:rPr>
          <w:rFonts w:hint="eastAsia"/>
          <w:sz w:val="24"/>
        </w:rPr>
        <w:t xml:space="preserve">  校检控制桩位后，应测放出每根管幕的准确位置并按编号标记；</w:t>
      </w:r>
    </w:p>
    <w:p>
      <w:pPr>
        <w:spacing w:line="440" w:lineRule="exact"/>
        <w:ind w:firstLine="361" w:firstLineChars="150"/>
        <w:rPr>
          <w:sz w:val="24"/>
        </w:rPr>
      </w:pPr>
      <w:r>
        <w:rPr>
          <w:rFonts w:hint="eastAsia"/>
          <w:b/>
          <w:bCs/>
          <w:sz w:val="24"/>
        </w:rPr>
        <w:t>2</w:t>
      </w:r>
      <w:r>
        <w:rPr>
          <w:rFonts w:hint="eastAsia"/>
          <w:sz w:val="24"/>
        </w:rPr>
        <w:t xml:space="preserve">  管口位置初支应人工分段破除，分段长度应符合设计规定；</w:t>
      </w:r>
    </w:p>
    <w:p>
      <w:pPr>
        <w:spacing w:line="440" w:lineRule="exact"/>
        <w:ind w:firstLine="361" w:firstLineChars="150"/>
        <w:rPr>
          <w:sz w:val="24"/>
        </w:rPr>
      </w:pPr>
      <w:r>
        <w:rPr>
          <w:rFonts w:hint="eastAsia"/>
          <w:b/>
          <w:bCs/>
          <w:sz w:val="24"/>
        </w:rPr>
        <w:t xml:space="preserve">3  </w:t>
      </w:r>
      <w:r>
        <w:rPr>
          <w:rFonts w:hint="eastAsia"/>
          <w:sz w:val="24"/>
        </w:rPr>
        <w:t>洞口破除范围应比管幕外径略大。</w:t>
      </w:r>
    </w:p>
    <w:bookmarkEnd w:id="91"/>
    <w:p>
      <w:pPr>
        <w:spacing w:line="440" w:lineRule="exact"/>
        <w:rPr>
          <w:sz w:val="24"/>
        </w:rPr>
      </w:pPr>
      <w:r>
        <w:rPr>
          <w:rFonts w:hint="eastAsia"/>
          <w:b/>
          <w:bCs/>
          <w:sz w:val="24"/>
        </w:rPr>
        <w:t>7.4.5</w:t>
      </w:r>
      <w:r>
        <w:rPr>
          <w:rFonts w:hint="eastAsia"/>
          <w:sz w:val="24"/>
        </w:rPr>
        <w:t xml:space="preserve">  钢管顶进施工应符合下列规定：</w:t>
      </w:r>
    </w:p>
    <w:p>
      <w:pPr>
        <w:spacing w:line="440" w:lineRule="exact"/>
        <w:ind w:firstLine="361" w:firstLineChars="150"/>
        <w:rPr>
          <w:sz w:val="24"/>
        </w:rPr>
      </w:pPr>
      <w:r>
        <w:rPr>
          <w:rFonts w:hint="eastAsia"/>
          <w:b/>
          <w:bCs/>
          <w:sz w:val="24"/>
        </w:rPr>
        <w:t>1</w:t>
      </w:r>
      <w:r>
        <w:rPr>
          <w:rFonts w:hint="eastAsia"/>
          <w:sz w:val="24"/>
        </w:rPr>
        <w:t xml:space="preserve">  应采用“欠土”顶进，螺旋出土器前端宜落后钢管前端两倍管径以上距离；</w:t>
      </w:r>
    </w:p>
    <w:p>
      <w:pPr>
        <w:spacing w:line="440" w:lineRule="exact"/>
        <w:ind w:firstLine="361" w:firstLineChars="150"/>
        <w:rPr>
          <w:sz w:val="24"/>
        </w:rPr>
      </w:pPr>
      <w:r>
        <w:rPr>
          <w:rFonts w:hint="eastAsia"/>
          <w:b/>
          <w:bCs/>
          <w:sz w:val="24"/>
        </w:rPr>
        <w:t>2</w:t>
      </w:r>
      <w:r>
        <w:rPr>
          <w:rFonts w:hint="eastAsia"/>
          <w:sz w:val="24"/>
        </w:rPr>
        <w:t xml:space="preserve">  钢管顶进过程应统计顶进速度与出土量，应使两者协调一致，并应保证顶进、切削与出土同时进行，实际出土量宜控制在理论出土量的98%～100%；</w:t>
      </w:r>
    </w:p>
    <w:p>
      <w:pPr>
        <w:spacing w:line="440" w:lineRule="exact"/>
        <w:ind w:firstLine="361" w:firstLineChars="150"/>
        <w:rPr>
          <w:sz w:val="24"/>
        </w:rPr>
      </w:pPr>
      <w:r>
        <w:rPr>
          <w:rFonts w:hint="eastAsia"/>
          <w:b/>
          <w:bCs/>
          <w:sz w:val="24"/>
        </w:rPr>
        <w:t>3</w:t>
      </w:r>
      <w:r>
        <w:rPr>
          <w:rFonts w:hint="eastAsia"/>
          <w:sz w:val="24"/>
        </w:rPr>
        <w:t xml:space="preserve">  钢管顶进顺序应根据锁扣型式确定，并应符合设计规定；</w:t>
      </w:r>
    </w:p>
    <w:p>
      <w:pPr>
        <w:spacing w:line="440" w:lineRule="exact"/>
        <w:ind w:firstLine="361" w:firstLineChars="150"/>
        <w:rPr>
          <w:sz w:val="24"/>
        </w:rPr>
      </w:pPr>
      <w:r>
        <w:rPr>
          <w:rFonts w:hint="eastAsia"/>
          <w:b/>
          <w:bCs/>
          <w:sz w:val="24"/>
        </w:rPr>
        <w:t>4</w:t>
      </w:r>
      <w:r>
        <w:rPr>
          <w:rFonts w:hint="eastAsia"/>
          <w:sz w:val="24"/>
        </w:rPr>
        <w:t xml:space="preserve">  首节钢管端头应采用内坡口，常规管首节公扣端头应焊接铲土板；</w:t>
      </w:r>
    </w:p>
    <w:p>
      <w:pPr>
        <w:spacing w:line="440" w:lineRule="exact"/>
        <w:ind w:firstLine="361" w:firstLineChars="150"/>
        <w:rPr>
          <w:sz w:val="24"/>
        </w:rPr>
      </w:pPr>
      <w:r>
        <w:rPr>
          <w:rFonts w:hint="eastAsia"/>
          <w:b/>
          <w:bCs/>
          <w:sz w:val="24"/>
        </w:rPr>
        <w:t>5</w:t>
      </w:r>
      <w:r>
        <w:rPr>
          <w:rFonts w:hint="eastAsia"/>
          <w:sz w:val="24"/>
        </w:rPr>
        <w:t xml:space="preserve">  应避免由于停止顶管时间过长出现“抱管”现象；</w:t>
      </w:r>
    </w:p>
    <w:p>
      <w:pPr>
        <w:spacing w:line="440" w:lineRule="exact"/>
        <w:ind w:firstLine="361" w:firstLineChars="150"/>
        <w:rPr>
          <w:sz w:val="24"/>
        </w:rPr>
      </w:pPr>
      <w:r>
        <w:rPr>
          <w:rFonts w:hint="eastAsia"/>
          <w:b/>
          <w:bCs/>
          <w:sz w:val="24"/>
        </w:rPr>
        <w:t>6</w:t>
      </w:r>
      <w:r>
        <w:rPr>
          <w:rFonts w:hint="eastAsia"/>
          <w:sz w:val="24"/>
        </w:rPr>
        <w:t xml:space="preserve"> 应按设计要求严格控制钢管的顶进精度，并应避免频繁纠偏带来的土体损失。</w:t>
      </w:r>
    </w:p>
    <w:p>
      <w:pPr>
        <w:spacing w:line="440" w:lineRule="exact"/>
        <w:rPr>
          <w:sz w:val="24"/>
        </w:rPr>
      </w:pPr>
      <w:bookmarkStart w:id="92" w:name="_Hlk103371406"/>
      <w:r>
        <w:rPr>
          <w:rFonts w:hint="eastAsia"/>
          <w:b/>
          <w:bCs/>
          <w:sz w:val="24"/>
        </w:rPr>
        <w:t>7.4.</w:t>
      </w:r>
      <w:r>
        <w:rPr>
          <w:b/>
          <w:bCs/>
          <w:sz w:val="24"/>
        </w:rPr>
        <w:t>6</w:t>
      </w:r>
      <w:r>
        <w:rPr>
          <w:rFonts w:hint="eastAsia"/>
          <w:sz w:val="24"/>
        </w:rPr>
        <w:t xml:space="preserve">  顶管方向控制应符合下列规定：</w:t>
      </w:r>
    </w:p>
    <w:p>
      <w:pPr>
        <w:spacing w:line="440" w:lineRule="exact"/>
        <w:ind w:firstLine="361" w:firstLineChars="150"/>
        <w:rPr>
          <w:sz w:val="24"/>
        </w:rPr>
      </w:pPr>
      <w:r>
        <w:rPr>
          <w:rFonts w:hint="eastAsia"/>
          <w:b/>
          <w:bCs/>
          <w:sz w:val="24"/>
        </w:rPr>
        <w:t>1</w:t>
      </w:r>
      <w:r>
        <w:rPr>
          <w:rFonts w:hint="eastAsia"/>
          <w:sz w:val="24"/>
        </w:rPr>
        <w:t xml:space="preserve">  应定期对油缸进行校核、对平台进行检查；</w:t>
      </w:r>
    </w:p>
    <w:bookmarkEnd w:id="92"/>
    <w:p>
      <w:pPr>
        <w:spacing w:line="440" w:lineRule="exact"/>
        <w:ind w:firstLine="482" w:firstLineChars="200"/>
        <w:rPr>
          <w:sz w:val="24"/>
        </w:rPr>
      </w:pPr>
      <w:r>
        <w:rPr>
          <w:rFonts w:hint="eastAsia"/>
          <w:b/>
          <w:bCs/>
          <w:sz w:val="24"/>
        </w:rPr>
        <w:t>2</w:t>
      </w:r>
      <w:r>
        <w:rPr>
          <w:rFonts w:hint="eastAsia"/>
          <w:sz w:val="24"/>
        </w:rPr>
        <w:t xml:space="preserve">  宜采用“激光成像仪”过程中管幕前端姿态实时观测；</w:t>
      </w:r>
    </w:p>
    <w:p>
      <w:pPr>
        <w:spacing w:line="440" w:lineRule="exact"/>
        <w:ind w:firstLine="482" w:firstLineChars="200"/>
        <w:rPr>
          <w:sz w:val="24"/>
        </w:rPr>
      </w:pPr>
      <w:r>
        <w:rPr>
          <w:b/>
          <w:bCs/>
          <w:sz w:val="24"/>
        </w:rPr>
        <w:t xml:space="preserve">3  </w:t>
      </w:r>
      <w:r>
        <w:rPr>
          <w:rFonts w:hint="eastAsia"/>
          <w:sz w:val="24"/>
        </w:rPr>
        <w:t>“有线导向仪”过程中管幕前端竖向偏差实时精准量测。</w:t>
      </w:r>
    </w:p>
    <w:p>
      <w:pPr>
        <w:spacing w:line="440" w:lineRule="exact"/>
        <w:ind w:firstLine="482" w:firstLineChars="200"/>
        <w:rPr>
          <w:sz w:val="24"/>
        </w:rPr>
      </w:pPr>
      <w:r>
        <w:rPr>
          <w:b/>
          <w:bCs/>
          <w:sz w:val="24"/>
        </w:rPr>
        <w:t xml:space="preserve">4  </w:t>
      </w:r>
      <w:r>
        <w:rPr>
          <w:rFonts w:hint="eastAsia"/>
          <w:sz w:val="24"/>
        </w:rPr>
        <w:t>应采用“全站仪”进行最终三维坐标测定。</w:t>
      </w:r>
    </w:p>
    <w:p>
      <w:pPr>
        <w:spacing w:line="440" w:lineRule="exact"/>
        <w:rPr>
          <w:sz w:val="24"/>
        </w:rPr>
      </w:pPr>
      <w:r>
        <w:rPr>
          <w:rFonts w:hint="eastAsia"/>
          <w:b/>
          <w:bCs/>
          <w:sz w:val="24"/>
        </w:rPr>
        <w:t>7.4.</w:t>
      </w:r>
      <w:r>
        <w:rPr>
          <w:b/>
          <w:bCs/>
          <w:sz w:val="24"/>
        </w:rPr>
        <w:t>7</w:t>
      </w:r>
      <w:r>
        <w:rPr>
          <w:rFonts w:hint="eastAsia"/>
          <w:sz w:val="24"/>
        </w:rPr>
        <w:t xml:space="preserve">  顶进过程应连续作业，如遇下列情况之一时，应暂停顶进，及时处理：</w:t>
      </w:r>
    </w:p>
    <w:p>
      <w:pPr>
        <w:spacing w:line="440" w:lineRule="exact"/>
        <w:ind w:firstLine="361" w:firstLineChars="150"/>
        <w:rPr>
          <w:sz w:val="24"/>
        </w:rPr>
      </w:pPr>
      <w:r>
        <w:rPr>
          <w:rFonts w:hint="eastAsia"/>
          <w:b/>
          <w:bCs/>
          <w:sz w:val="24"/>
        </w:rPr>
        <w:t>1</w:t>
      </w:r>
      <w:r>
        <w:rPr>
          <w:rFonts w:hint="eastAsia"/>
          <w:sz w:val="24"/>
        </w:rPr>
        <w:t xml:space="preserve">  开挖面前遇到障碍；</w:t>
      </w:r>
    </w:p>
    <w:p>
      <w:pPr>
        <w:spacing w:line="440" w:lineRule="exact"/>
        <w:ind w:firstLine="361" w:firstLineChars="150"/>
        <w:rPr>
          <w:sz w:val="24"/>
        </w:rPr>
      </w:pPr>
      <w:r>
        <w:rPr>
          <w:rFonts w:hint="eastAsia"/>
          <w:b/>
          <w:bCs/>
          <w:sz w:val="24"/>
        </w:rPr>
        <w:t>2</w:t>
      </w:r>
      <w:r>
        <w:rPr>
          <w:rFonts w:hint="eastAsia"/>
          <w:sz w:val="24"/>
        </w:rPr>
        <w:t xml:space="preserve">  后背墙变形严重；</w:t>
      </w:r>
    </w:p>
    <w:p>
      <w:pPr>
        <w:spacing w:line="440" w:lineRule="exact"/>
        <w:ind w:firstLine="361" w:firstLineChars="150"/>
        <w:rPr>
          <w:sz w:val="24"/>
        </w:rPr>
      </w:pPr>
      <w:r>
        <w:rPr>
          <w:rFonts w:hint="eastAsia"/>
          <w:b/>
          <w:bCs/>
          <w:sz w:val="24"/>
        </w:rPr>
        <w:t>3</w:t>
      </w:r>
      <w:r>
        <w:rPr>
          <w:rFonts w:hint="eastAsia"/>
          <w:sz w:val="24"/>
        </w:rPr>
        <w:t xml:space="preserve">  顶推力异常；</w:t>
      </w:r>
    </w:p>
    <w:p>
      <w:pPr>
        <w:spacing w:line="440" w:lineRule="exact"/>
        <w:ind w:firstLine="361" w:firstLineChars="150"/>
        <w:rPr>
          <w:sz w:val="24"/>
        </w:rPr>
      </w:pPr>
      <w:r>
        <w:rPr>
          <w:rFonts w:hint="eastAsia"/>
          <w:b/>
          <w:bCs/>
          <w:sz w:val="24"/>
        </w:rPr>
        <w:t>4</w:t>
      </w:r>
      <w:r>
        <w:rPr>
          <w:rFonts w:hint="eastAsia"/>
          <w:sz w:val="24"/>
        </w:rPr>
        <w:t xml:space="preserve">  钻机或平台移位；</w:t>
      </w:r>
    </w:p>
    <w:p>
      <w:pPr>
        <w:spacing w:line="440" w:lineRule="exact"/>
        <w:ind w:firstLine="361" w:firstLineChars="150"/>
        <w:rPr>
          <w:sz w:val="24"/>
        </w:rPr>
      </w:pPr>
      <w:r>
        <w:rPr>
          <w:rFonts w:hint="eastAsia"/>
          <w:b/>
          <w:bCs/>
          <w:sz w:val="24"/>
        </w:rPr>
        <w:t>5</w:t>
      </w:r>
      <w:r>
        <w:rPr>
          <w:rFonts w:hint="eastAsia"/>
          <w:sz w:val="24"/>
        </w:rPr>
        <w:t xml:space="preserve">  设备发生异常；</w:t>
      </w:r>
    </w:p>
    <w:p>
      <w:pPr>
        <w:spacing w:line="440" w:lineRule="exact"/>
        <w:ind w:firstLine="361" w:firstLineChars="150"/>
        <w:rPr>
          <w:sz w:val="24"/>
        </w:rPr>
      </w:pPr>
      <w:r>
        <w:rPr>
          <w:rFonts w:hint="eastAsia"/>
          <w:b/>
          <w:bCs/>
          <w:sz w:val="24"/>
        </w:rPr>
        <w:t>6</w:t>
      </w:r>
      <w:r>
        <w:rPr>
          <w:rFonts w:hint="eastAsia"/>
          <w:sz w:val="24"/>
        </w:rPr>
        <w:t xml:space="preserve">  管位偏差过大且纠偏无效；</w:t>
      </w:r>
    </w:p>
    <w:p>
      <w:pPr>
        <w:spacing w:line="440" w:lineRule="exact"/>
        <w:ind w:firstLine="361" w:firstLineChars="150"/>
        <w:rPr>
          <w:sz w:val="24"/>
        </w:rPr>
      </w:pPr>
      <w:r>
        <w:rPr>
          <w:rFonts w:hint="eastAsia"/>
          <w:b/>
          <w:bCs/>
          <w:sz w:val="24"/>
        </w:rPr>
        <w:t>7</w:t>
      </w:r>
      <w:r>
        <w:rPr>
          <w:rFonts w:hint="eastAsia"/>
          <w:sz w:val="24"/>
        </w:rPr>
        <w:t xml:space="preserve">  对作业影响范围内的建（构)筑物、地下管线或地面沉降等监测数据超过预警值；</w:t>
      </w:r>
    </w:p>
    <w:p>
      <w:pPr>
        <w:spacing w:line="440" w:lineRule="exact"/>
        <w:ind w:firstLine="361" w:firstLineChars="150"/>
        <w:rPr>
          <w:sz w:val="24"/>
        </w:rPr>
      </w:pPr>
      <w:r>
        <w:rPr>
          <w:rFonts w:hint="eastAsia"/>
          <w:b/>
          <w:bCs/>
          <w:sz w:val="24"/>
        </w:rPr>
        <w:t>8</w:t>
      </w:r>
      <w:r>
        <w:rPr>
          <w:rFonts w:hint="eastAsia"/>
          <w:sz w:val="24"/>
        </w:rPr>
        <w:t xml:space="preserve">  地层出现实质性异常；</w:t>
      </w:r>
    </w:p>
    <w:p>
      <w:pPr>
        <w:spacing w:line="440" w:lineRule="exact"/>
        <w:ind w:firstLine="361" w:firstLineChars="150"/>
        <w:rPr>
          <w:sz w:val="24"/>
        </w:rPr>
      </w:pPr>
      <w:r>
        <w:rPr>
          <w:rFonts w:hint="eastAsia"/>
          <w:b/>
          <w:bCs/>
          <w:sz w:val="24"/>
        </w:rPr>
        <w:t>9</w:t>
      </w:r>
      <w:r>
        <w:rPr>
          <w:rFonts w:hint="eastAsia"/>
          <w:sz w:val="24"/>
        </w:rPr>
        <w:t xml:space="preserve">  顶进过程中应检查并记录千斤顶顶力、钢管进尺、钢管轴线偏差等顶进数据。</w:t>
      </w:r>
    </w:p>
    <w:p>
      <w:pPr>
        <w:spacing w:line="440" w:lineRule="exact"/>
        <w:rPr>
          <w:sz w:val="24"/>
          <w:u w:val="single"/>
        </w:rPr>
      </w:pPr>
      <w:r>
        <w:rPr>
          <w:rFonts w:hint="eastAsia"/>
          <w:b/>
          <w:bCs/>
          <w:sz w:val="24"/>
        </w:rPr>
        <w:t xml:space="preserve">7.4.8 </w:t>
      </w:r>
      <w:r>
        <w:rPr>
          <w:rFonts w:hint="eastAsia"/>
          <w:sz w:val="24"/>
        </w:rPr>
        <w:t xml:space="preserve"> 宜采用辅助油缸和楔形钻头进行纠偏，</w:t>
      </w:r>
      <w:r>
        <w:rPr>
          <w:rFonts w:hint="eastAsia"/>
          <w:sz w:val="24"/>
          <w:u w:val="single"/>
        </w:rPr>
        <w:t>并应遵循“勤测量、勤纠偏、微纠偏”的原则。</w:t>
      </w:r>
    </w:p>
    <w:p>
      <w:pPr>
        <w:spacing w:before="156" w:beforeLines="50" w:after="156" w:afterLines="50" w:line="440" w:lineRule="exact"/>
        <w:jc w:val="center"/>
        <w:outlineLvl w:val="1"/>
        <w:rPr>
          <w:rFonts w:eastAsia="黑体"/>
          <w:sz w:val="24"/>
        </w:rPr>
      </w:pPr>
      <w:bookmarkStart w:id="93" w:name="_Toc16388"/>
      <w:bookmarkStart w:id="94" w:name="_Toc27798"/>
      <w:r>
        <w:rPr>
          <w:rFonts w:hint="eastAsia" w:eastAsia="黑体"/>
          <w:sz w:val="24"/>
        </w:rPr>
        <w:t>7.5  机械顶管法施工</w:t>
      </w:r>
      <w:bookmarkEnd w:id="93"/>
      <w:bookmarkEnd w:id="94"/>
    </w:p>
    <w:p>
      <w:pPr>
        <w:spacing w:line="440" w:lineRule="exact"/>
        <w:rPr>
          <w:sz w:val="24"/>
        </w:rPr>
      </w:pPr>
      <w:r>
        <w:rPr>
          <w:rFonts w:hint="eastAsia"/>
          <w:b/>
          <w:bCs/>
          <w:sz w:val="24"/>
        </w:rPr>
        <w:t>7.5.1</w:t>
      </w:r>
      <w:r>
        <w:rPr>
          <w:rFonts w:hint="eastAsia"/>
          <w:sz w:val="24"/>
        </w:rPr>
        <w:t xml:space="preserve"> </w:t>
      </w:r>
      <w:r>
        <w:rPr>
          <w:sz w:val="24"/>
        </w:rPr>
        <w:t xml:space="preserve"> </w:t>
      </w:r>
      <w:r>
        <w:rPr>
          <w:rFonts w:hint="eastAsia"/>
          <w:sz w:val="24"/>
        </w:rPr>
        <w:t>淤泥质黏土、黏土、粉土及砂土、软岩等地层可采用机械顶管法施工，下列地层中不宜采用机械顶管法施工：</w:t>
      </w:r>
    </w:p>
    <w:p>
      <w:pPr>
        <w:spacing w:line="440" w:lineRule="exact"/>
        <w:ind w:firstLine="361" w:firstLineChars="150"/>
        <w:rPr>
          <w:sz w:val="24"/>
        </w:rPr>
      </w:pPr>
      <w:r>
        <w:rPr>
          <w:rFonts w:hint="eastAsia"/>
          <w:b/>
          <w:bCs/>
          <w:sz w:val="24"/>
        </w:rPr>
        <w:t>1</w:t>
      </w:r>
      <w:r>
        <w:rPr>
          <w:rFonts w:hint="eastAsia"/>
          <w:sz w:val="24"/>
        </w:rPr>
        <w:t xml:space="preserve">  标贯击数小于2的软土层；</w:t>
      </w:r>
    </w:p>
    <w:p>
      <w:pPr>
        <w:spacing w:line="440" w:lineRule="exact"/>
        <w:ind w:firstLine="361" w:firstLineChars="150"/>
        <w:rPr>
          <w:sz w:val="24"/>
        </w:rPr>
      </w:pPr>
      <w:r>
        <w:rPr>
          <w:rFonts w:hint="eastAsia"/>
          <w:b/>
          <w:bCs/>
          <w:sz w:val="24"/>
        </w:rPr>
        <w:t>2</w:t>
      </w:r>
      <w:r>
        <w:rPr>
          <w:rFonts w:hint="eastAsia"/>
          <w:sz w:val="24"/>
        </w:rPr>
        <w:t xml:space="preserve">  花岗岩球状风化强烈的土层；</w:t>
      </w:r>
    </w:p>
    <w:p>
      <w:pPr>
        <w:spacing w:line="440" w:lineRule="exact"/>
        <w:ind w:firstLine="361" w:firstLineChars="150"/>
        <w:rPr>
          <w:sz w:val="24"/>
        </w:rPr>
      </w:pPr>
      <w:r>
        <w:rPr>
          <w:rFonts w:hint="eastAsia"/>
          <w:b/>
          <w:bCs/>
          <w:sz w:val="24"/>
        </w:rPr>
        <w:t>3</w:t>
      </w:r>
      <w:r>
        <w:rPr>
          <w:rFonts w:hint="eastAsia"/>
          <w:sz w:val="24"/>
        </w:rPr>
        <w:t xml:space="preserve">  地下水位以下且粒径大于50mm以上的卵砾石地层。</w:t>
      </w:r>
    </w:p>
    <w:p>
      <w:pPr>
        <w:spacing w:line="440" w:lineRule="exact"/>
        <w:rPr>
          <w:b/>
          <w:sz w:val="24"/>
        </w:rPr>
      </w:pPr>
      <w:r>
        <w:rPr>
          <w:rFonts w:hint="eastAsia"/>
          <w:b/>
          <w:bCs/>
          <w:sz w:val="24"/>
        </w:rPr>
        <w:t>7.5.2</w:t>
      </w:r>
      <w:r>
        <w:rPr>
          <w:rFonts w:hint="eastAsia"/>
          <w:sz w:val="24"/>
        </w:rPr>
        <w:t xml:space="preserve">  顶管设备的选型应根据工程地质条件、水文地质条件、周边环境条件、顶进长度、覆土深度、顶进线型、顶进力等因素综合确定，宜采用土压平衡式顶管机或泥水平衡式顶管机，直径</w:t>
      </w:r>
      <w:r>
        <w:rPr>
          <w:sz w:val="24"/>
        </w:rPr>
        <w:t>800mm</w:t>
      </w:r>
      <w:r>
        <w:rPr>
          <w:rFonts w:hint="eastAsia"/>
          <w:sz w:val="24"/>
        </w:rPr>
        <w:t>以上的管幕钢管顶进施工宜采用机械顶管法施工</w:t>
      </w:r>
    </w:p>
    <w:p>
      <w:pPr>
        <w:spacing w:line="440" w:lineRule="exact"/>
        <w:rPr>
          <w:sz w:val="24"/>
        </w:rPr>
      </w:pPr>
      <w:r>
        <w:rPr>
          <w:rFonts w:hint="eastAsia"/>
          <w:b/>
          <w:bCs/>
          <w:sz w:val="24"/>
        </w:rPr>
        <w:t>7.5.3</w:t>
      </w:r>
      <w:r>
        <w:rPr>
          <w:rFonts w:hint="eastAsia"/>
          <w:sz w:val="24"/>
        </w:rPr>
        <w:t xml:space="preserve">  机械顶管法钢管的选用应符合下列规定：</w:t>
      </w:r>
    </w:p>
    <w:p>
      <w:pPr>
        <w:spacing w:line="440" w:lineRule="exact"/>
        <w:ind w:firstLine="361" w:firstLineChars="150"/>
        <w:rPr>
          <w:sz w:val="24"/>
        </w:rPr>
      </w:pPr>
      <w:r>
        <w:rPr>
          <w:rFonts w:hint="eastAsia"/>
          <w:b/>
          <w:bCs/>
          <w:sz w:val="24"/>
        </w:rPr>
        <w:t>1</w:t>
      </w:r>
      <w:r>
        <w:rPr>
          <w:rFonts w:hint="eastAsia"/>
          <w:sz w:val="24"/>
        </w:rPr>
        <w:t xml:space="preserve">  钢管的材质、外径、内径、管间距</w:t>
      </w:r>
      <w:bookmarkStart w:id="95" w:name="_Hlk102930567"/>
      <w:r>
        <w:rPr>
          <w:rFonts w:hint="eastAsia"/>
          <w:sz w:val="24"/>
        </w:rPr>
        <w:t>应符合顶管设计文件规定</w:t>
      </w:r>
      <w:bookmarkEnd w:id="95"/>
      <w:r>
        <w:rPr>
          <w:rFonts w:hint="eastAsia"/>
          <w:sz w:val="24"/>
        </w:rPr>
        <w:t>；</w:t>
      </w:r>
    </w:p>
    <w:p>
      <w:pPr>
        <w:spacing w:line="440" w:lineRule="exact"/>
        <w:ind w:firstLine="361" w:firstLineChars="150"/>
        <w:rPr>
          <w:sz w:val="24"/>
        </w:rPr>
      </w:pPr>
      <w:r>
        <w:rPr>
          <w:rFonts w:hint="eastAsia"/>
          <w:b/>
          <w:bCs/>
          <w:sz w:val="24"/>
        </w:rPr>
        <w:t>2</w:t>
      </w:r>
      <w:r>
        <w:rPr>
          <w:rFonts w:hint="eastAsia"/>
          <w:sz w:val="24"/>
        </w:rPr>
        <w:t xml:space="preserve">  钢管的接口连接形式和管间连接形式应符合顶管设计文件规定；</w:t>
      </w:r>
    </w:p>
    <w:p>
      <w:pPr>
        <w:spacing w:line="440" w:lineRule="exact"/>
        <w:ind w:firstLine="361" w:firstLineChars="150"/>
        <w:rPr>
          <w:sz w:val="24"/>
        </w:rPr>
      </w:pPr>
      <w:r>
        <w:rPr>
          <w:rFonts w:hint="eastAsia"/>
          <w:b/>
          <w:bCs/>
          <w:sz w:val="24"/>
        </w:rPr>
        <w:t>3</w:t>
      </w:r>
      <w:r>
        <w:rPr>
          <w:rFonts w:hint="eastAsia"/>
          <w:sz w:val="24"/>
        </w:rPr>
        <w:t xml:space="preserve">  每节钢管长度应满足在工作井内吊放、安装的要求。</w:t>
      </w:r>
    </w:p>
    <w:p>
      <w:pPr>
        <w:spacing w:line="440" w:lineRule="exact"/>
        <w:rPr>
          <w:sz w:val="24"/>
        </w:rPr>
      </w:pPr>
      <w:r>
        <w:rPr>
          <w:rFonts w:hint="eastAsia"/>
          <w:b/>
          <w:bCs/>
          <w:sz w:val="24"/>
        </w:rPr>
        <w:t>7.5.4</w:t>
      </w:r>
      <w:r>
        <w:rPr>
          <w:rFonts w:hint="eastAsia"/>
          <w:sz w:val="24"/>
        </w:rPr>
        <w:t xml:space="preserve">  机械顶管法管幕钢管施工前应完成下列验收工作：</w:t>
      </w:r>
    </w:p>
    <w:p>
      <w:pPr>
        <w:spacing w:line="440" w:lineRule="exact"/>
        <w:ind w:firstLine="361" w:firstLineChars="150"/>
        <w:rPr>
          <w:sz w:val="24"/>
        </w:rPr>
      </w:pPr>
      <w:r>
        <w:rPr>
          <w:rFonts w:hint="eastAsia"/>
          <w:b/>
          <w:bCs/>
          <w:sz w:val="24"/>
        </w:rPr>
        <w:t>1</w:t>
      </w:r>
      <w:r>
        <w:rPr>
          <w:rFonts w:hint="eastAsia"/>
          <w:sz w:val="24"/>
        </w:rPr>
        <w:t xml:space="preserve">  地下管线和障碍物情况应已查明，地面和地下既有障碍物应已清除，穿越铁路、高速公路、轨道交通等重要建（构）筑物应已完成进行探测试验；</w:t>
      </w:r>
    </w:p>
    <w:p>
      <w:pPr>
        <w:spacing w:line="440" w:lineRule="exact"/>
        <w:ind w:firstLine="361" w:firstLineChars="150"/>
        <w:rPr>
          <w:sz w:val="24"/>
        </w:rPr>
      </w:pPr>
      <w:r>
        <w:rPr>
          <w:rFonts w:hint="eastAsia"/>
          <w:b/>
          <w:bCs/>
          <w:sz w:val="24"/>
        </w:rPr>
        <w:t>2</w:t>
      </w:r>
      <w:r>
        <w:rPr>
          <w:rFonts w:hint="eastAsia"/>
          <w:sz w:val="24"/>
        </w:rPr>
        <w:t xml:space="preserve">  顶管工作井洞口施工影响范围内的土层应已进行预加固处理，加固处理后的土体强度和渗漏水情况应符合施工方案的规定；</w:t>
      </w:r>
    </w:p>
    <w:p>
      <w:pPr>
        <w:spacing w:line="440" w:lineRule="exact"/>
        <w:ind w:firstLine="361" w:firstLineChars="150"/>
        <w:rPr>
          <w:sz w:val="24"/>
        </w:rPr>
      </w:pPr>
      <w:r>
        <w:rPr>
          <w:rFonts w:hint="eastAsia"/>
          <w:b/>
          <w:bCs/>
          <w:sz w:val="24"/>
        </w:rPr>
        <w:t>3</w:t>
      </w:r>
      <w:r>
        <w:rPr>
          <w:rFonts w:hint="eastAsia"/>
          <w:sz w:val="24"/>
        </w:rPr>
        <w:t xml:space="preserve">  工程所用的管材、构配件和施工材料应已进入施工现场，并应完成进场验收；</w:t>
      </w:r>
    </w:p>
    <w:p>
      <w:pPr>
        <w:spacing w:line="440" w:lineRule="exact"/>
        <w:ind w:firstLine="361" w:firstLineChars="150"/>
        <w:rPr>
          <w:sz w:val="24"/>
        </w:rPr>
      </w:pPr>
      <w:r>
        <w:rPr>
          <w:rFonts w:hint="eastAsia"/>
          <w:b/>
          <w:bCs/>
          <w:sz w:val="24"/>
        </w:rPr>
        <w:t>4</w:t>
      </w:r>
      <w:r>
        <w:rPr>
          <w:rFonts w:hint="eastAsia"/>
          <w:sz w:val="24"/>
        </w:rPr>
        <w:t xml:space="preserve">  顶管设备、辅助配套装备等设备应已完成进场验收，并应完成单机、整机联动调试；</w:t>
      </w:r>
    </w:p>
    <w:p>
      <w:pPr>
        <w:spacing w:line="440" w:lineRule="exact"/>
        <w:ind w:firstLine="361" w:firstLineChars="150"/>
        <w:rPr>
          <w:sz w:val="24"/>
        </w:rPr>
      </w:pPr>
      <w:r>
        <w:rPr>
          <w:b/>
          <w:bCs/>
          <w:sz w:val="24"/>
        </w:rPr>
        <w:t>5</w:t>
      </w:r>
      <w:r>
        <w:rPr>
          <w:rFonts w:hint="eastAsia"/>
          <w:sz w:val="24"/>
        </w:rPr>
        <w:t xml:space="preserve">  施工测量、导向测控专用设备及仪器应已完成计量检定。</w:t>
      </w:r>
    </w:p>
    <w:p>
      <w:pPr>
        <w:spacing w:line="440" w:lineRule="exact"/>
        <w:rPr>
          <w:sz w:val="24"/>
        </w:rPr>
      </w:pPr>
      <w:r>
        <w:rPr>
          <w:rFonts w:hint="eastAsia"/>
          <w:b/>
          <w:bCs/>
          <w:sz w:val="24"/>
        </w:rPr>
        <w:t>7.5.5</w:t>
      </w:r>
      <w:r>
        <w:rPr>
          <w:rFonts w:hint="eastAsia"/>
          <w:sz w:val="24"/>
        </w:rPr>
        <w:t xml:space="preserve">  </w:t>
      </w:r>
      <w:bookmarkStart w:id="96" w:name="_Hlk103462875"/>
      <w:r>
        <w:rPr>
          <w:rFonts w:hint="eastAsia"/>
          <w:sz w:val="24"/>
        </w:rPr>
        <w:t>机械顶管法钢管施工应符合下列规定：</w:t>
      </w:r>
      <w:bookmarkEnd w:id="96"/>
    </w:p>
    <w:p>
      <w:pPr>
        <w:spacing w:line="440" w:lineRule="exact"/>
        <w:ind w:firstLine="361" w:firstLineChars="150"/>
        <w:rPr>
          <w:sz w:val="24"/>
        </w:rPr>
      </w:pPr>
      <w:r>
        <w:rPr>
          <w:rFonts w:hint="eastAsia"/>
          <w:b/>
          <w:bCs/>
          <w:sz w:val="24"/>
        </w:rPr>
        <w:t>1</w:t>
      </w:r>
      <w:r>
        <w:rPr>
          <w:rFonts w:hint="eastAsia"/>
          <w:sz w:val="24"/>
        </w:rPr>
        <w:t xml:space="preserve">  顶管始发和接收预留洞口的位置、几何尺寸、封堵方式应符合设计文件和施工方案的规定；</w:t>
      </w:r>
    </w:p>
    <w:p>
      <w:pPr>
        <w:spacing w:line="440" w:lineRule="exact"/>
        <w:ind w:firstLine="361" w:firstLineChars="150"/>
        <w:rPr>
          <w:sz w:val="24"/>
        </w:rPr>
      </w:pPr>
      <w:r>
        <w:rPr>
          <w:rFonts w:hint="eastAsia"/>
          <w:b/>
          <w:bCs/>
          <w:sz w:val="24"/>
        </w:rPr>
        <w:t>2</w:t>
      </w:r>
      <w:r>
        <w:rPr>
          <w:rFonts w:hint="eastAsia"/>
          <w:sz w:val="24"/>
        </w:rPr>
        <w:t xml:space="preserve">  管幕钢管安装时，应确保接口连接紧密，并应满足顶管掘进及防水要求；</w:t>
      </w:r>
    </w:p>
    <w:p>
      <w:pPr>
        <w:spacing w:line="440" w:lineRule="exact"/>
        <w:ind w:firstLine="361" w:firstLineChars="150"/>
        <w:rPr>
          <w:sz w:val="24"/>
        </w:rPr>
      </w:pPr>
      <w:r>
        <w:rPr>
          <w:rFonts w:hint="eastAsia"/>
          <w:b/>
          <w:bCs/>
          <w:sz w:val="24"/>
        </w:rPr>
        <w:t>3</w:t>
      </w:r>
      <w:r>
        <w:rPr>
          <w:rFonts w:hint="eastAsia"/>
          <w:sz w:val="24"/>
        </w:rPr>
        <w:t xml:space="preserve">  顶管施工过程中应控制掘进量与出泥量（或出土量）的平衡；</w:t>
      </w:r>
    </w:p>
    <w:p>
      <w:pPr>
        <w:spacing w:line="440" w:lineRule="exact"/>
        <w:ind w:firstLine="361" w:firstLineChars="150"/>
        <w:rPr>
          <w:sz w:val="24"/>
        </w:rPr>
      </w:pPr>
      <w:r>
        <w:rPr>
          <w:rFonts w:hint="eastAsia"/>
          <w:b/>
          <w:bCs/>
          <w:sz w:val="24"/>
        </w:rPr>
        <w:t>4</w:t>
      </w:r>
      <w:r>
        <w:rPr>
          <w:rFonts w:hint="eastAsia"/>
          <w:sz w:val="24"/>
        </w:rPr>
        <w:t xml:space="preserve">  顶进施工中应向管外壁与土体间压注触变泥浆进行减阻；</w:t>
      </w:r>
    </w:p>
    <w:p>
      <w:pPr>
        <w:spacing w:line="440" w:lineRule="exact"/>
        <w:ind w:firstLine="361" w:firstLineChars="150"/>
        <w:rPr>
          <w:sz w:val="24"/>
        </w:rPr>
      </w:pPr>
      <w:r>
        <w:rPr>
          <w:rFonts w:hint="eastAsia"/>
          <w:b/>
          <w:bCs/>
          <w:sz w:val="24"/>
        </w:rPr>
        <w:t>5</w:t>
      </w:r>
      <w:r>
        <w:rPr>
          <w:rFonts w:hint="eastAsia"/>
          <w:sz w:val="24"/>
        </w:rPr>
        <w:t xml:space="preserve">  当采用土压平衡式顶进施工时宜对开挖面土体进行改良；</w:t>
      </w:r>
    </w:p>
    <w:p>
      <w:pPr>
        <w:spacing w:line="440" w:lineRule="exact"/>
        <w:ind w:firstLine="361" w:firstLineChars="150"/>
        <w:rPr>
          <w:sz w:val="24"/>
        </w:rPr>
      </w:pPr>
      <w:r>
        <w:rPr>
          <w:rFonts w:hint="eastAsia"/>
          <w:b/>
          <w:bCs/>
          <w:sz w:val="24"/>
        </w:rPr>
        <w:t>6</w:t>
      </w:r>
      <w:r>
        <w:rPr>
          <w:rFonts w:hint="eastAsia"/>
          <w:sz w:val="24"/>
        </w:rPr>
        <w:t xml:space="preserve">  顶管贯通后应向管外壁注入土体固结浆液置换管外壁的触变泥浆；</w:t>
      </w:r>
    </w:p>
    <w:p>
      <w:pPr>
        <w:spacing w:line="440" w:lineRule="exact"/>
        <w:ind w:firstLine="361" w:firstLineChars="150"/>
        <w:rPr>
          <w:sz w:val="24"/>
        </w:rPr>
      </w:pPr>
      <w:r>
        <w:rPr>
          <w:rFonts w:hint="eastAsia"/>
          <w:b/>
          <w:bCs/>
          <w:sz w:val="24"/>
        </w:rPr>
        <w:t>7</w:t>
      </w:r>
      <w:r>
        <w:rPr>
          <w:rFonts w:hint="eastAsia"/>
          <w:sz w:val="24"/>
        </w:rPr>
        <w:t xml:space="preserve">  应根据管幕钢管一次顶进长度，估算总顶进力、管材允许承载力或后靠背反力装置所允许的最大荷载计算确定中继间设置的位置和数量；</w:t>
      </w:r>
    </w:p>
    <w:p>
      <w:pPr>
        <w:spacing w:line="440" w:lineRule="exact"/>
        <w:ind w:firstLine="361" w:firstLineChars="150"/>
        <w:rPr>
          <w:sz w:val="24"/>
        </w:rPr>
      </w:pPr>
      <w:r>
        <w:rPr>
          <w:b/>
          <w:bCs/>
          <w:sz w:val="24"/>
        </w:rPr>
        <w:t>8</w:t>
      </w:r>
      <w:r>
        <w:rPr>
          <w:rFonts w:hint="eastAsia"/>
          <w:sz w:val="24"/>
        </w:rPr>
        <w:t xml:space="preserve">  顶管掘进过程中应严格控制顶管掘进姿态和掘进速度，并应根据监测数据及时调整掘进参数并及时纠偏；</w:t>
      </w:r>
    </w:p>
    <w:p>
      <w:pPr>
        <w:spacing w:line="440" w:lineRule="exact"/>
        <w:ind w:firstLine="361" w:firstLineChars="150"/>
        <w:rPr>
          <w:sz w:val="24"/>
        </w:rPr>
      </w:pPr>
      <w:r>
        <w:rPr>
          <w:b/>
          <w:bCs/>
          <w:sz w:val="24"/>
        </w:rPr>
        <w:t xml:space="preserve">9 </w:t>
      </w:r>
      <w:r>
        <w:rPr>
          <w:rFonts w:hint="eastAsia"/>
          <w:sz w:val="24"/>
        </w:rPr>
        <w:t xml:space="preserve"> 当管幕邻近或近距离穿越地下管线或建（构）筑物时，应适当降低顶管机掘进速度。</w:t>
      </w:r>
    </w:p>
    <w:p>
      <w:pPr>
        <w:spacing w:line="440" w:lineRule="exact"/>
        <w:rPr>
          <w:sz w:val="24"/>
        </w:rPr>
      </w:pPr>
      <w:r>
        <w:rPr>
          <w:rFonts w:hint="eastAsia"/>
          <w:b/>
          <w:bCs/>
          <w:sz w:val="24"/>
        </w:rPr>
        <w:t>7.5.6</w:t>
      </w:r>
      <w:r>
        <w:rPr>
          <w:rFonts w:hint="eastAsia"/>
          <w:sz w:val="24"/>
        </w:rPr>
        <w:t xml:space="preserve">  机械顶管法施工的总顶力应按下式计算：</w:t>
      </w:r>
    </w:p>
    <w:p>
      <w:pPr>
        <w:spacing w:before="156" w:beforeLines="50" w:after="156" w:afterLines="50"/>
        <w:ind w:firstLine="960" w:firstLineChars="400"/>
        <w:rPr>
          <w:sz w:val="24"/>
        </w:rPr>
      </w:pPr>
      <m:oMath>
        <m:r>
          <m:rPr>
            <m:nor/>
          </m:rPr>
          <w:rPr>
            <w:rFonts w:ascii="Cambria Math" w:hAnsi="Cambria Math"/>
            <w:i/>
            <w:sz w:val="24"/>
          </w:rPr>
          <m:t>F=</m:t>
        </m:r>
        <m:sSub>
          <m:sSubPr>
            <m:ctrlPr>
              <w:rPr>
                <w:rFonts w:ascii="Cambria Math" w:hAnsi="Cambria Math"/>
                <w:i/>
                <w:sz w:val="24"/>
              </w:rPr>
            </m:ctrlPr>
          </m:sSubPr>
          <m:e>
            <m:r>
              <m:rPr>
                <m:nor/>
              </m:rPr>
              <w:rPr>
                <w:rFonts w:ascii="Cambria Math" w:hAnsi="Cambria Math"/>
                <w:i/>
                <w:sz w:val="24"/>
              </w:rPr>
              <m:t>F</m:t>
            </m:r>
            <m:ctrlPr>
              <w:rPr>
                <w:rFonts w:ascii="Cambria Math" w:hAnsi="Cambria Math"/>
                <w:i/>
                <w:sz w:val="24"/>
              </w:rPr>
            </m:ctrlPr>
          </m:e>
          <m:sub>
            <m:r>
              <m:rPr>
                <m:nor/>
              </m:rPr>
              <w:rPr>
                <w:rFonts w:ascii="Cambria Math" w:hAnsi="Cambria Math"/>
                <w:i/>
                <w:sz w:val="24"/>
              </w:rPr>
              <m:t>1</m:t>
            </m:r>
            <m:ctrlPr>
              <w:rPr>
                <w:rFonts w:ascii="Cambria Math" w:hAnsi="Cambria Math"/>
                <w:i/>
                <w:sz w:val="24"/>
              </w:rPr>
            </m:ctrlPr>
          </m:sub>
        </m:sSub>
        <m:r>
          <m:rPr>
            <m:nor/>
          </m:rPr>
          <w:rPr>
            <w:rFonts w:ascii="Cambria Math" w:hAnsi="Cambria Math"/>
            <w:i/>
            <w:sz w:val="24"/>
          </w:rPr>
          <m:t>+</m:t>
        </m:r>
        <m:sSub>
          <m:sSubPr>
            <m:ctrlPr>
              <w:rPr>
                <w:rFonts w:ascii="Cambria Math" w:hAnsi="Cambria Math"/>
                <w:i/>
                <w:sz w:val="24"/>
              </w:rPr>
            </m:ctrlPr>
          </m:sSubPr>
          <m:e>
            <m:r>
              <m:rPr>
                <m:nor/>
              </m:rPr>
              <w:rPr>
                <w:rFonts w:ascii="Cambria Math" w:hAnsi="Cambria Math"/>
                <w:i/>
                <w:sz w:val="24"/>
              </w:rPr>
              <m:t>F</m:t>
            </m:r>
            <m:ctrlPr>
              <w:rPr>
                <w:rFonts w:ascii="Cambria Math" w:hAnsi="Cambria Math"/>
                <w:i/>
                <w:sz w:val="24"/>
              </w:rPr>
            </m:ctrlPr>
          </m:e>
          <m:sub>
            <m:r>
              <m:rPr>
                <m:nor/>
              </m:rPr>
              <w:rPr>
                <w:rFonts w:ascii="Cambria Math" w:hAnsi="Cambria Math"/>
                <w:i/>
                <w:sz w:val="24"/>
              </w:rPr>
              <m:t>2</m:t>
            </m:r>
            <m:ctrlPr>
              <w:rPr>
                <w:rFonts w:ascii="Cambria Math" w:hAnsi="Cambria Math"/>
                <w:i/>
                <w:sz w:val="24"/>
              </w:rPr>
            </m:ctrlPr>
          </m:sub>
        </m:sSub>
      </m:oMath>
      <w:r>
        <w:rPr>
          <w:rFonts w:hint="eastAsia"/>
          <w:sz w:val="24"/>
        </w:rPr>
        <w:t xml:space="preserve">                                             （7.5.</w:t>
      </w:r>
      <w:r>
        <w:rPr>
          <w:sz w:val="24"/>
        </w:rPr>
        <w:t>6</w:t>
      </w:r>
      <w:r>
        <w:rPr>
          <w:rFonts w:hint="eastAsia"/>
          <w:sz w:val="24"/>
        </w:rPr>
        <w:t>-1）</w:t>
      </w:r>
    </w:p>
    <w:p>
      <w:pPr>
        <w:ind w:firstLine="960" w:firstLineChars="400"/>
        <w:rPr>
          <w:sz w:val="24"/>
        </w:rPr>
      </w:pPr>
      <m:oMath>
        <m:sSub>
          <m:sSubPr>
            <m:ctrlPr>
              <w:rPr>
                <w:rFonts w:hint="eastAsia" w:ascii="Cambria Math" w:hAnsi="Cambria Math"/>
                <w:i/>
                <w:sz w:val="24"/>
              </w:rPr>
            </m:ctrlPr>
          </m:sSubPr>
          <m:e>
            <m:r>
              <m:rPr>
                <m:nor/>
              </m:rPr>
              <w:rPr>
                <w:rFonts w:hint="eastAsia" w:ascii="Cambria Math" w:hAnsi="Cambria Math"/>
                <w:i/>
                <w:sz w:val="24"/>
              </w:rPr>
              <m:t>F</m:t>
            </m:r>
            <m:ctrlPr>
              <w:rPr>
                <w:rFonts w:hint="eastAsia" w:ascii="Cambria Math" w:hAnsi="Cambria Math"/>
                <w:i/>
                <w:sz w:val="24"/>
              </w:rPr>
            </m:ctrlPr>
          </m:e>
          <m:sub>
            <m:r>
              <m:rPr>
                <m:nor/>
              </m:rPr>
              <w:rPr>
                <w:rFonts w:hint="eastAsia" w:ascii="Cambria Math" w:hAnsi="Cambria Math"/>
                <w:i/>
                <w:sz w:val="24"/>
              </w:rPr>
              <m:t>1</m:t>
            </m:r>
            <m:ctrlPr>
              <w:rPr>
                <w:rFonts w:hint="eastAsia" w:ascii="Cambria Math" w:hAnsi="Cambria Math"/>
                <w:i/>
                <w:sz w:val="24"/>
              </w:rPr>
            </m:ctrlPr>
          </m:sub>
        </m:sSub>
        <m:r>
          <m:rPr>
            <m:nor/>
          </m:rPr>
          <w:rPr>
            <w:rFonts w:hint="eastAsia" w:ascii="Cambria Math" w:hAnsi="Cambria Math"/>
            <w:i/>
            <w:sz w:val="24"/>
          </w:rPr>
          <m:t>=πD²（P+20）/4</m:t>
        </m:r>
      </m:oMath>
      <w:r>
        <w:rPr>
          <w:rFonts w:hint="eastAsia"/>
          <w:sz w:val="24"/>
        </w:rPr>
        <w:t xml:space="preserve">                                  （7.5.</w:t>
      </w:r>
      <w:r>
        <w:rPr>
          <w:sz w:val="24"/>
        </w:rPr>
        <w:t>6</w:t>
      </w:r>
      <w:r>
        <w:rPr>
          <w:rFonts w:hint="eastAsia"/>
          <w:sz w:val="24"/>
        </w:rPr>
        <w:t>-2）</w:t>
      </w:r>
    </w:p>
    <w:p>
      <w:pPr>
        <w:ind w:firstLine="960" w:firstLineChars="400"/>
        <w:rPr>
          <w:sz w:val="24"/>
        </w:rPr>
      </w:pPr>
      <m:oMath>
        <m:sSub>
          <m:sSubPr>
            <m:ctrlPr>
              <w:rPr>
                <w:rFonts w:hint="eastAsia" w:ascii="Cambria Math" w:hAnsi="Cambria Math"/>
                <w:i/>
                <w:sz w:val="24"/>
              </w:rPr>
            </m:ctrlPr>
          </m:sSubPr>
          <m:e>
            <m:r>
              <m:rPr>
                <m:nor/>
              </m:rPr>
              <w:rPr>
                <w:rFonts w:hint="eastAsia" w:ascii="Cambria Math" w:hAnsi="Cambria Math"/>
                <w:i/>
                <w:sz w:val="24"/>
              </w:rPr>
              <m:t>F</m:t>
            </m:r>
            <m:ctrlPr>
              <w:rPr>
                <w:rFonts w:hint="eastAsia" w:ascii="Cambria Math" w:hAnsi="Cambria Math"/>
                <w:i/>
                <w:sz w:val="24"/>
              </w:rPr>
            </m:ctrlPr>
          </m:e>
          <m:sub>
            <m:r>
              <m:rPr>
                <m:nor/>
              </m:rPr>
              <w:rPr>
                <w:rFonts w:hint="eastAsia" w:ascii="Cambria Math" w:hAnsi="Cambria Math"/>
                <w:i/>
                <w:sz w:val="24"/>
              </w:rPr>
              <m:t>2</m:t>
            </m:r>
            <m:ctrlPr>
              <w:rPr>
                <w:rFonts w:hint="eastAsia" w:ascii="Cambria Math" w:hAnsi="Cambria Math"/>
                <w:i/>
                <w:sz w:val="24"/>
              </w:rPr>
            </m:ctrlPr>
          </m:sub>
        </m:sSub>
        <m:r>
          <m:rPr>
            <m:nor/>
          </m:rPr>
          <w:rPr>
            <w:rFonts w:hint="eastAsia" w:ascii="Cambria Math" w:hAnsi="Cambria Math"/>
            <w:i/>
            <w:sz w:val="24"/>
          </w:rPr>
          <m:t>=πf DL</m:t>
        </m:r>
        <m:r>
          <m:rPr>
            <m:nor/>
            <m:sty m:val="p"/>
          </m:rPr>
          <w:rPr>
            <w:rFonts w:hint="eastAsia" w:ascii="Cambria Math" w:hAnsi="Cambria Math"/>
            <w:b w:val="0"/>
            <w:i w:val="0"/>
            <w:sz w:val="24"/>
          </w:rPr>
          <m:t xml:space="preserve"> </m:t>
        </m:r>
      </m:oMath>
      <w:r>
        <w:rPr>
          <w:rFonts w:hint="eastAsia"/>
          <w:sz w:val="24"/>
        </w:rPr>
        <w:t xml:space="preserve">                                            （7.5.</w:t>
      </w:r>
      <w:r>
        <w:rPr>
          <w:sz w:val="24"/>
        </w:rPr>
        <w:t>6</w:t>
      </w:r>
      <w:r>
        <w:rPr>
          <w:rFonts w:hint="eastAsia"/>
          <w:sz w:val="24"/>
        </w:rPr>
        <w:t>-3）</w:t>
      </w:r>
    </w:p>
    <w:p>
      <w:pPr>
        <w:spacing w:line="440" w:lineRule="exact"/>
        <w:rPr>
          <w:sz w:val="24"/>
          <w:szCs w:val="32"/>
        </w:rPr>
      </w:pPr>
      <w:r>
        <w:rPr>
          <w:sz w:val="24"/>
          <w:szCs w:val="32"/>
        </w:rPr>
        <w:t>式中：</w:t>
      </w:r>
      <w:r>
        <w:rPr>
          <w:rFonts w:hint="eastAsia"/>
          <w:i/>
          <w:sz w:val="24"/>
          <w:szCs w:val="32"/>
        </w:rPr>
        <w:t>F</w:t>
      </w:r>
      <w:r>
        <w:rPr>
          <w:sz w:val="24"/>
          <w:szCs w:val="32"/>
        </w:rPr>
        <w:t>——顶管</w:t>
      </w:r>
      <w:r>
        <w:rPr>
          <w:rFonts w:hint="eastAsia"/>
          <w:sz w:val="24"/>
          <w:szCs w:val="32"/>
        </w:rPr>
        <w:t>顶进施工总顶力</w:t>
      </w:r>
      <w:r>
        <w:rPr>
          <w:sz w:val="24"/>
          <w:szCs w:val="32"/>
        </w:rPr>
        <w:t>（kN)；</w:t>
      </w:r>
    </w:p>
    <w:p>
      <w:pPr>
        <w:autoSpaceDE w:val="0"/>
        <w:autoSpaceDN w:val="0"/>
        <w:adjustRightInd w:val="0"/>
        <w:spacing w:line="440" w:lineRule="exact"/>
        <w:ind w:firstLine="720" w:firstLineChars="300"/>
        <w:jc w:val="left"/>
        <w:rPr>
          <w:kern w:val="0"/>
          <w:sz w:val="24"/>
        </w:rPr>
      </w:pPr>
      <w:r>
        <w:rPr>
          <w:rFonts w:hint="eastAsia"/>
          <w:kern w:val="0"/>
          <w:sz w:val="24"/>
        </w:rPr>
        <w:t>F</w:t>
      </w:r>
      <w:r>
        <w:rPr>
          <w:rFonts w:hint="eastAsia"/>
          <w:kern w:val="0"/>
          <w:sz w:val="24"/>
          <w:vertAlign w:val="subscript"/>
        </w:rPr>
        <w:t>1</w:t>
      </w:r>
      <w:r>
        <w:rPr>
          <w:kern w:val="0"/>
          <w:sz w:val="24"/>
        </w:rPr>
        <w:t>——顶管机的迎面阻力（kN)；</w:t>
      </w:r>
    </w:p>
    <w:p>
      <w:pPr>
        <w:autoSpaceDE w:val="0"/>
        <w:autoSpaceDN w:val="0"/>
        <w:adjustRightInd w:val="0"/>
        <w:spacing w:line="440" w:lineRule="exact"/>
        <w:ind w:firstLine="720" w:firstLineChars="300"/>
        <w:jc w:val="left"/>
        <w:rPr>
          <w:kern w:val="0"/>
          <w:sz w:val="24"/>
        </w:rPr>
      </w:pPr>
      <w:r>
        <w:rPr>
          <w:kern w:val="0"/>
          <w:sz w:val="24"/>
        </w:rPr>
        <w:t>F</w:t>
      </w:r>
      <w:r>
        <w:rPr>
          <w:rFonts w:hint="eastAsia"/>
          <w:kern w:val="0"/>
          <w:sz w:val="24"/>
          <w:vertAlign w:val="subscript"/>
        </w:rPr>
        <w:t>2</w:t>
      </w:r>
      <w:r>
        <w:rPr>
          <w:kern w:val="0"/>
          <w:sz w:val="24"/>
        </w:rPr>
        <w:t>——顶管总摩擦阻力（kN）</w:t>
      </w:r>
      <w:r>
        <w:rPr>
          <w:rFonts w:hint="eastAsia"/>
          <w:kern w:val="0"/>
          <w:sz w:val="24"/>
        </w:rPr>
        <w:t>；</w:t>
      </w:r>
    </w:p>
    <w:p>
      <w:pPr>
        <w:autoSpaceDE w:val="0"/>
        <w:autoSpaceDN w:val="0"/>
        <w:adjustRightInd w:val="0"/>
        <w:spacing w:line="440" w:lineRule="exact"/>
        <w:ind w:firstLine="720" w:firstLineChars="300"/>
        <w:jc w:val="left"/>
        <w:rPr>
          <w:kern w:val="0"/>
          <w:sz w:val="24"/>
        </w:rPr>
      </w:pPr>
      <w:r>
        <w:rPr>
          <w:rFonts w:hint="eastAsia"/>
          <w:kern w:val="0"/>
          <w:sz w:val="24"/>
        </w:rPr>
        <w:t>D</w:t>
      </w:r>
      <w:r>
        <w:rPr>
          <w:kern w:val="0"/>
          <w:sz w:val="24"/>
        </w:rPr>
        <w:t>——</w:t>
      </w:r>
      <w:r>
        <w:rPr>
          <w:rFonts w:hint="eastAsia"/>
          <w:kern w:val="0"/>
          <w:sz w:val="24"/>
        </w:rPr>
        <w:t>管道的</w:t>
      </w:r>
      <w:r>
        <w:rPr>
          <w:kern w:val="0"/>
          <w:sz w:val="24"/>
        </w:rPr>
        <w:t>外径（m）；</w:t>
      </w:r>
    </w:p>
    <w:p>
      <w:pPr>
        <w:autoSpaceDE w:val="0"/>
        <w:autoSpaceDN w:val="0"/>
        <w:adjustRightInd w:val="0"/>
        <w:spacing w:line="440" w:lineRule="exact"/>
        <w:ind w:firstLine="720" w:firstLineChars="300"/>
        <w:jc w:val="left"/>
        <w:rPr>
          <w:kern w:val="0"/>
          <w:sz w:val="24"/>
        </w:rPr>
      </w:pPr>
      <w:r>
        <w:rPr>
          <w:kern w:val="0"/>
          <w:sz w:val="24"/>
        </w:rPr>
        <w:t>L——顶管顶进施工长度（m）</w:t>
      </w:r>
      <w:r>
        <w:rPr>
          <w:rFonts w:hint="eastAsia"/>
          <w:kern w:val="0"/>
          <w:sz w:val="24"/>
        </w:rPr>
        <w:t>；</w:t>
      </w:r>
    </w:p>
    <w:p>
      <w:pPr>
        <w:autoSpaceDE w:val="0"/>
        <w:autoSpaceDN w:val="0"/>
        <w:adjustRightInd w:val="0"/>
        <w:spacing w:line="440" w:lineRule="exact"/>
        <w:ind w:firstLine="720" w:firstLineChars="300"/>
        <w:jc w:val="left"/>
        <w:rPr>
          <w:kern w:val="0"/>
          <w:sz w:val="24"/>
        </w:rPr>
      </w:pPr>
      <w:r>
        <w:rPr>
          <w:rFonts w:hint="eastAsia"/>
          <w:kern w:val="0"/>
          <w:sz w:val="24"/>
        </w:rPr>
        <w:t>P</w:t>
      </w:r>
      <w:r>
        <w:rPr>
          <w:kern w:val="0"/>
          <w:sz w:val="24"/>
        </w:rPr>
        <w:t>——</w:t>
      </w:r>
      <w:r>
        <w:rPr>
          <w:rFonts w:hint="eastAsia"/>
          <w:kern w:val="0"/>
          <w:sz w:val="24"/>
        </w:rPr>
        <w:t>顶管机</w:t>
      </w:r>
      <w:r>
        <w:rPr>
          <w:kern w:val="0"/>
          <w:sz w:val="24"/>
        </w:rPr>
        <w:t>截面中部的压力（kN</w:t>
      </w:r>
      <w:r>
        <w:rPr>
          <w:rFonts w:hint="eastAsia"/>
          <w:kern w:val="0"/>
          <w:sz w:val="24"/>
        </w:rPr>
        <w:t xml:space="preserve"> /m</w:t>
      </w:r>
      <w:r>
        <w:rPr>
          <w:kern w:val="0"/>
          <w:sz w:val="24"/>
        </w:rPr>
        <w:t>2）</w:t>
      </w:r>
      <w:r>
        <w:rPr>
          <w:rFonts w:hint="eastAsia"/>
          <w:kern w:val="0"/>
          <w:sz w:val="24"/>
        </w:rPr>
        <w:t>。</w:t>
      </w:r>
      <w:r>
        <w:rPr>
          <w:kern w:val="0"/>
          <w:sz w:val="24"/>
        </w:rPr>
        <w:t>对于泥水平衡顶管取顶管机截面中部的地下水压力</w:t>
      </w:r>
      <w:r>
        <w:rPr>
          <w:rFonts w:hint="eastAsia"/>
          <w:kern w:val="0"/>
          <w:sz w:val="24"/>
        </w:rPr>
        <w:t>，</w:t>
      </w:r>
      <w:r>
        <w:rPr>
          <w:kern w:val="0"/>
          <w:sz w:val="24"/>
        </w:rPr>
        <w:t>对于土压平衡顶管取顶管机截面中部的主动土压力和水压力</w:t>
      </w:r>
      <w:r>
        <w:rPr>
          <w:rFonts w:hint="eastAsia"/>
          <w:kern w:val="0"/>
          <w:sz w:val="24"/>
        </w:rPr>
        <w:t>之和；</w:t>
      </w:r>
    </w:p>
    <w:p>
      <w:pPr>
        <w:autoSpaceDE w:val="0"/>
        <w:autoSpaceDN w:val="0"/>
        <w:adjustRightInd w:val="0"/>
        <w:spacing w:line="440" w:lineRule="exact"/>
        <w:ind w:firstLine="720" w:firstLineChars="300"/>
        <w:jc w:val="left"/>
        <w:rPr>
          <w:kern w:val="0"/>
          <w:sz w:val="24"/>
        </w:rPr>
      </w:pPr>
      <w:r>
        <w:rPr>
          <w:kern w:val="0"/>
          <w:sz w:val="24"/>
        </w:rPr>
        <w:t>f——管节与土体接触面的摩阻力（kN</w:t>
      </w:r>
      <w:r>
        <w:rPr>
          <w:rFonts w:hint="eastAsia"/>
          <w:kern w:val="0"/>
          <w:sz w:val="24"/>
        </w:rPr>
        <w:t xml:space="preserve"> /m</w:t>
      </w:r>
      <w:r>
        <w:rPr>
          <w:kern w:val="0"/>
          <w:sz w:val="24"/>
        </w:rPr>
        <w:t>2）</w:t>
      </w:r>
      <w:r>
        <w:rPr>
          <w:rFonts w:hint="eastAsia"/>
          <w:kern w:val="0"/>
          <w:sz w:val="24"/>
        </w:rPr>
        <w:t>。</w:t>
      </w:r>
      <w:r>
        <w:rPr>
          <w:kern w:val="0"/>
          <w:sz w:val="24"/>
        </w:rPr>
        <w:t>宜通过试验确定f</w:t>
      </w:r>
      <w:r>
        <w:rPr>
          <w:rFonts w:hint="eastAsia"/>
          <w:kern w:val="0"/>
          <w:sz w:val="24"/>
        </w:rPr>
        <w:t>值，对于采用触变泥浆减阻技术正常顶进时宜</w:t>
      </w:r>
      <w:r>
        <w:rPr>
          <w:kern w:val="0"/>
          <w:sz w:val="24"/>
        </w:rPr>
        <w:t>按下表7.5.</w:t>
      </w:r>
      <w:r>
        <w:rPr>
          <w:rFonts w:hint="eastAsia"/>
          <w:kern w:val="0"/>
          <w:sz w:val="24"/>
        </w:rPr>
        <w:t>6</w:t>
      </w:r>
      <w:r>
        <w:rPr>
          <w:kern w:val="0"/>
          <w:sz w:val="24"/>
        </w:rPr>
        <w:t>选用；对于长时间停止顶进时</w:t>
      </w:r>
      <w:r>
        <w:rPr>
          <w:rFonts w:hint="eastAsia"/>
          <w:kern w:val="0"/>
          <w:sz w:val="24"/>
        </w:rPr>
        <w:t>，</w:t>
      </w:r>
      <w:r>
        <w:rPr>
          <w:kern w:val="0"/>
          <w:sz w:val="24"/>
        </w:rPr>
        <w:t>该系数应按土层情况增加到原来的</w:t>
      </w:r>
      <w:r>
        <w:rPr>
          <w:rFonts w:hint="eastAsia"/>
          <w:kern w:val="0"/>
          <w:sz w:val="24"/>
        </w:rPr>
        <w:t>1.5~3倍。</w:t>
      </w:r>
    </w:p>
    <w:p>
      <w:pPr>
        <w:spacing w:before="156" w:beforeLines="50"/>
        <w:jc w:val="center"/>
        <w:rPr>
          <w:rFonts w:eastAsia="黑体"/>
          <w:bCs/>
          <w:kern w:val="0"/>
          <w:szCs w:val="21"/>
        </w:rPr>
      </w:pPr>
      <w:r>
        <w:rPr>
          <w:rFonts w:hint="eastAsia" w:eastAsia="黑体"/>
          <w:bCs/>
          <w:kern w:val="0"/>
          <w:szCs w:val="21"/>
        </w:rPr>
        <w:t>表7.5.6  钢管幕外壁与土体接触面的平均摩阻力（kN /m</w:t>
      </w:r>
      <w:r>
        <w:rPr>
          <w:rFonts w:hint="eastAsia" w:eastAsia="黑体"/>
          <w:bCs/>
          <w:kern w:val="0"/>
          <w:szCs w:val="21"/>
          <w:vertAlign w:val="superscript"/>
        </w:rPr>
        <w:t>2</w:t>
      </w:r>
      <w:r>
        <w:rPr>
          <w:rFonts w:hint="eastAsia" w:eastAsia="黑体"/>
          <w:bCs/>
          <w:kern w:val="0"/>
          <w:szCs w:val="21"/>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Align w:val="center"/>
          </w:tcPr>
          <w:p>
            <w:pPr>
              <w:jc w:val="center"/>
              <w:rPr>
                <w:bCs/>
                <w:sz w:val="20"/>
                <w:szCs w:val="20"/>
              </w:rPr>
            </w:pPr>
            <w:r>
              <w:rPr>
                <w:rFonts w:hint="eastAsia"/>
                <w:bCs/>
                <w:sz w:val="20"/>
                <w:szCs w:val="20"/>
              </w:rPr>
              <w:t>类别</w:t>
            </w:r>
          </w:p>
        </w:tc>
        <w:tc>
          <w:tcPr>
            <w:tcW w:w="1701" w:type="dxa"/>
            <w:vAlign w:val="center"/>
          </w:tcPr>
          <w:p>
            <w:pPr>
              <w:jc w:val="center"/>
              <w:rPr>
                <w:bCs/>
                <w:sz w:val="20"/>
                <w:szCs w:val="20"/>
              </w:rPr>
            </w:pPr>
            <w:r>
              <w:rPr>
                <w:rFonts w:hint="eastAsia"/>
                <w:bCs/>
                <w:sz w:val="20"/>
                <w:szCs w:val="20"/>
              </w:rPr>
              <w:t>黏性土</w:t>
            </w:r>
          </w:p>
        </w:tc>
        <w:tc>
          <w:tcPr>
            <w:tcW w:w="1701" w:type="dxa"/>
            <w:vAlign w:val="center"/>
          </w:tcPr>
          <w:p>
            <w:pPr>
              <w:jc w:val="center"/>
              <w:rPr>
                <w:bCs/>
                <w:sz w:val="20"/>
                <w:szCs w:val="20"/>
              </w:rPr>
            </w:pPr>
            <w:r>
              <w:rPr>
                <w:rFonts w:hint="eastAsia"/>
                <w:bCs/>
                <w:sz w:val="20"/>
                <w:szCs w:val="20"/>
              </w:rPr>
              <w:t>粉土</w:t>
            </w:r>
          </w:p>
        </w:tc>
        <w:tc>
          <w:tcPr>
            <w:tcW w:w="1701" w:type="dxa"/>
            <w:vAlign w:val="center"/>
          </w:tcPr>
          <w:p>
            <w:pPr>
              <w:jc w:val="center"/>
              <w:rPr>
                <w:bCs/>
                <w:sz w:val="20"/>
                <w:szCs w:val="20"/>
              </w:rPr>
            </w:pPr>
            <w:r>
              <w:rPr>
                <w:rFonts w:hint="eastAsia"/>
                <w:bCs/>
                <w:sz w:val="20"/>
                <w:szCs w:val="20"/>
              </w:rPr>
              <w:t>粉、细砂土</w:t>
            </w:r>
          </w:p>
        </w:tc>
        <w:tc>
          <w:tcPr>
            <w:tcW w:w="1701" w:type="dxa"/>
            <w:vAlign w:val="center"/>
          </w:tcPr>
          <w:p>
            <w:pPr>
              <w:jc w:val="center"/>
              <w:rPr>
                <w:bCs/>
                <w:sz w:val="20"/>
                <w:szCs w:val="20"/>
              </w:rPr>
            </w:pPr>
            <w:r>
              <w:rPr>
                <w:rFonts w:hint="eastAsia"/>
                <w:bCs/>
                <w:sz w:val="20"/>
                <w:szCs w:val="20"/>
              </w:rPr>
              <w:t>中、粗砂土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vAlign w:val="center"/>
          </w:tcPr>
          <w:p>
            <w:pPr>
              <w:jc w:val="center"/>
              <w:rPr>
                <w:bCs/>
                <w:sz w:val="20"/>
                <w:szCs w:val="20"/>
              </w:rPr>
            </w:pPr>
            <w:r>
              <w:rPr>
                <w:rFonts w:hint="eastAsia"/>
                <w:bCs/>
                <w:sz w:val="20"/>
                <w:szCs w:val="20"/>
              </w:rPr>
              <w:t>钢管幕与土体</w:t>
            </w:r>
          </w:p>
        </w:tc>
        <w:tc>
          <w:tcPr>
            <w:tcW w:w="1701" w:type="dxa"/>
            <w:vAlign w:val="center"/>
          </w:tcPr>
          <w:p>
            <w:pPr>
              <w:jc w:val="center"/>
              <w:rPr>
                <w:bCs/>
                <w:sz w:val="20"/>
                <w:szCs w:val="20"/>
              </w:rPr>
            </w:pPr>
            <w:r>
              <w:rPr>
                <w:rFonts w:hint="eastAsia"/>
                <w:bCs/>
                <w:sz w:val="20"/>
                <w:szCs w:val="20"/>
              </w:rPr>
              <w:t>3.0~4.0</w:t>
            </w:r>
          </w:p>
        </w:tc>
        <w:tc>
          <w:tcPr>
            <w:tcW w:w="1701" w:type="dxa"/>
            <w:vAlign w:val="center"/>
          </w:tcPr>
          <w:p>
            <w:pPr>
              <w:jc w:val="center"/>
              <w:rPr>
                <w:bCs/>
                <w:sz w:val="20"/>
                <w:szCs w:val="20"/>
              </w:rPr>
            </w:pPr>
            <w:r>
              <w:rPr>
                <w:rFonts w:hint="eastAsia"/>
                <w:bCs/>
                <w:sz w:val="20"/>
                <w:szCs w:val="20"/>
              </w:rPr>
              <w:t>4.0~7.0</w:t>
            </w:r>
          </w:p>
        </w:tc>
        <w:tc>
          <w:tcPr>
            <w:tcW w:w="1701" w:type="dxa"/>
            <w:vAlign w:val="center"/>
          </w:tcPr>
          <w:p>
            <w:pPr>
              <w:jc w:val="center"/>
              <w:rPr>
                <w:bCs/>
                <w:sz w:val="20"/>
                <w:szCs w:val="20"/>
              </w:rPr>
            </w:pPr>
            <w:r>
              <w:rPr>
                <w:rFonts w:hint="eastAsia"/>
                <w:bCs/>
                <w:sz w:val="20"/>
                <w:szCs w:val="20"/>
              </w:rPr>
              <w:t>7.0~10.0</w:t>
            </w:r>
          </w:p>
        </w:tc>
        <w:tc>
          <w:tcPr>
            <w:tcW w:w="1701" w:type="dxa"/>
            <w:vAlign w:val="center"/>
          </w:tcPr>
          <w:p>
            <w:pPr>
              <w:jc w:val="center"/>
              <w:rPr>
                <w:bCs/>
                <w:sz w:val="20"/>
                <w:szCs w:val="20"/>
              </w:rPr>
            </w:pPr>
            <w:r>
              <w:rPr>
                <w:rFonts w:hint="eastAsia"/>
                <w:bCs/>
                <w:sz w:val="20"/>
                <w:szCs w:val="20"/>
              </w:rPr>
              <w:t>10.0~13.0</w:t>
            </w:r>
          </w:p>
        </w:tc>
      </w:tr>
    </w:tbl>
    <w:p>
      <w:pPr>
        <w:spacing w:line="440" w:lineRule="exact"/>
        <w:rPr>
          <w:sz w:val="24"/>
        </w:rPr>
      </w:pPr>
      <w:r>
        <w:rPr>
          <w:rFonts w:hint="eastAsia"/>
          <w:b/>
          <w:bCs/>
          <w:sz w:val="24"/>
        </w:rPr>
        <w:t xml:space="preserve">7.5.7 </w:t>
      </w:r>
      <w:r>
        <w:rPr>
          <w:rFonts w:hint="eastAsia"/>
          <w:sz w:val="24"/>
        </w:rPr>
        <w:t xml:space="preserve"> 管幕钢管的允许顶力应按下式计算：</w:t>
      </w:r>
    </w:p>
    <w:p>
      <w:pPr>
        <w:ind w:firstLine="960" w:firstLineChars="400"/>
        <w:rPr>
          <w:rFonts w:ascii="Cambria Math" w:hAnsi="Cambria Math"/>
          <w:i/>
          <w:sz w:val="24"/>
        </w:rPr>
      </w:pPr>
      <m:oMath>
        <m:r>
          <m:rPr>
            <m:nor/>
          </m:rPr>
          <w:rPr>
            <w:rFonts w:hint="eastAsia" w:ascii="Cambria Math" w:hAnsi="Cambria Math"/>
            <w:i/>
            <w:sz w:val="24"/>
          </w:rPr>
          <m:t>N=1000</m:t>
        </m:r>
        <m:sSub>
          <m:sSubPr>
            <m:ctrlPr>
              <w:rPr>
                <w:rFonts w:hint="eastAsia" w:ascii="Cambria Math" w:hAnsi="Cambria Math"/>
                <w:i/>
                <w:sz w:val="24"/>
              </w:rPr>
            </m:ctrlPr>
          </m:sSubPr>
          <m:e>
            <m:sSub>
              <m:sSubPr>
                <m:ctrlPr>
                  <w:rPr>
                    <w:rFonts w:hint="eastAsia" w:ascii="Cambria Math" w:hAnsi="Cambria Math"/>
                    <w:i/>
                    <w:sz w:val="24"/>
                  </w:rPr>
                </m:ctrlPr>
              </m:sSubPr>
              <m:e>
                <m:r>
                  <m:rPr>
                    <m:nor/>
                  </m:rPr>
                  <w:rPr>
                    <w:rFonts w:hint="eastAsia" w:ascii="Cambria Math" w:hAnsi="Cambria Math"/>
                    <w:i/>
                    <w:sz w:val="24"/>
                  </w:rPr>
                  <m:t>ηf</m:t>
                </m:r>
                <m:ctrlPr>
                  <w:rPr>
                    <w:rFonts w:hint="eastAsia" w:ascii="Cambria Math" w:hAnsi="Cambria Math"/>
                    <w:i/>
                    <w:sz w:val="24"/>
                  </w:rPr>
                </m:ctrlPr>
              </m:e>
              <m:sub>
                <m:r>
                  <m:rPr>
                    <m:nor/>
                  </m:rPr>
                  <w:rPr>
                    <w:rFonts w:hint="eastAsia" w:ascii="Cambria Math" w:hAnsi="Cambria Math"/>
                    <w:i/>
                    <w:sz w:val="24"/>
                  </w:rPr>
                  <m:t>c</m:t>
                </m:r>
                <m:ctrlPr>
                  <w:rPr>
                    <w:rFonts w:hint="eastAsia" w:ascii="Cambria Math" w:hAnsi="Cambria Math"/>
                    <w:i/>
                    <w:sz w:val="24"/>
                  </w:rPr>
                </m:ctrlPr>
              </m:sub>
            </m:sSub>
            <m:r>
              <m:rPr>
                <m:nor/>
              </m:rPr>
              <w:rPr>
                <w:rFonts w:hint="eastAsia" w:ascii="Cambria Math" w:hAnsi="Cambria Math"/>
                <w:i/>
                <w:sz w:val="24"/>
              </w:rPr>
              <m:t>A</m:t>
            </m:r>
            <m:ctrlPr>
              <w:rPr>
                <w:rFonts w:hint="eastAsia" w:ascii="Cambria Math" w:hAnsi="Cambria Math"/>
                <w:i/>
                <w:sz w:val="24"/>
              </w:rPr>
            </m:ctrlPr>
          </m:e>
          <m:sub>
            <m:r>
              <m:rPr>
                <m:nor/>
              </m:rPr>
              <w:rPr>
                <w:rFonts w:hint="eastAsia" w:ascii="Cambria Math" w:hAnsi="Cambria Math"/>
                <w:i/>
                <w:sz w:val="24"/>
              </w:rPr>
              <m:t>o</m:t>
            </m:r>
            <m:ctrlPr>
              <w:rPr>
                <w:rFonts w:hint="eastAsia" w:ascii="Cambria Math" w:hAnsi="Cambria Math"/>
                <w:i/>
                <w:sz w:val="24"/>
              </w:rPr>
            </m:ctrlPr>
          </m:sub>
        </m:sSub>
      </m:oMath>
      <w:r>
        <w:rPr>
          <w:rFonts w:hint="eastAsia" w:ascii="Cambria Math" w:hAnsi="Cambria Math"/>
          <w:i/>
          <w:sz w:val="24"/>
        </w:rPr>
        <w:t xml:space="preserve">                                        </w:t>
      </w:r>
      <w:r>
        <w:rPr>
          <w:rFonts w:hint="eastAsia"/>
          <w:sz w:val="24"/>
        </w:rPr>
        <w:t xml:space="preserve">   (7.5.7)</w:t>
      </w:r>
    </w:p>
    <w:p>
      <w:pPr>
        <w:spacing w:line="440" w:lineRule="exact"/>
        <w:rPr>
          <w:sz w:val="24"/>
          <w:szCs w:val="32"/>
        </w:rPr>
      </w:pPr>
      <w:r>
        <w:rPr>
          <w:sz w:val="24"/>
          <w:szCs w:val="32"/>
        </w:rPr>
        <w:t>式中：</w:t>
      </w:r>
      <w:r>
        <w:rPr>
          <w:rFonts w:hint="eastAsia"/>
          <w:sz w:val="24"/>
          <w:szCs w:val="32"/>
        </w:rPr>
        <w:t>N</w:t>
      </w:r>
      <w:r>
        <w:rPr>
          <w:sz w:val="24"/>
          <w:szCs w:val="32"/>
        </w:rPr>
        <w:t>——</w:t>
      </w:r>
      <w:r>
        <w:rPr>
          <w:rFonts w:hint="eastAsia"/>
          <w:sz w:val="24"/>
          <w:szCs w:val="32"/>
        </w:rPr>
        <w:t>管材允许顶力</w:t>
      </w:r>
      <w:r>
        <w:rPr>
          <w:sz w:val="24"/>
          <w:szCs w:val="32"/>
        </w:rPr>
        <w:t>（kN)；</w:t>
      </w:r>
    </w:p>
    <w:p>
      <w:pPr>
        <w:autoSpaceDE w:val="0"/>
        <w:autoSpaceDN w:val="0"/>
        <w:adjustRightInd w:val="0"/>
        <w:spacing w:line="440" w:lineRule="exact"/>
        <w:ind w:firstLine="720" w:firstLineChars="300"/>
        <w:jc w:val="left"/>
        <w:rPr>
          <w:kern w:val="0"/>
          <w:sz w:val="24"/>
        </w:rPr>
      </w:pPr>
      <w:r>
        <w:rPr>
          <w:kern w:val="0"/>
          <w:sz w:val="24"/>
        </w:rPr>
        <w:t>F</w:t>
      </w:r>
      <w:r>
        <w:rPr>
          <w:rFonts w:hint="eastAsia"/>
          <w:kern w:val="0"/>
          <w:sz w:val="24"/>
        </w:rPr>
        <w:t>c</w:t>
      </w:r>
      <w:r>
        <w:rPr>
          <w:kern w:val="0"/>
          <w:sz w:val="24"/>
        </w:rPr>
        <w:t>——</w:t>
      </w:r>
      <w:r>
        <w:rPr>
          <w:rFonts w:hint="eastAsia"/>
          <w:kern w:val="0"/>
          <w:sz w:val="24"/>
        </w:rPr>
        <w:t>管材的纵向抗压设计强度</w:t>
      </w:r>
      <w:r>
        <w:rPr>
          <w:kern w:val="0"/>
          <w:sz w:val="24"/>
        </w:rPr>
        <w:t>（</w:t>
      </w:r>
      <w:r>
        <w:rPr>
          <w:rFonts w:hint="eastAsia"/>
          <w:kern w:val="0"/>
          <w:sz w:val="24"/>
        </w:rPr>
        <w:t>MPa</w:t>
      </w:r>
      <w:r>
        <w:rPr>
          <w:kern w:val="0"/>
          <w:sz w:val="24"/>
        </w:rPr>
        <w:t>)；</w:t>
      </w:r>
    </w:p>
    <w:p>
      <w:pPr>
        <w:autoSpaceDE w:val="0"/>
        <w:autoSpaceDN w:val="0"/>
        <w:adjustRightInd w:val="0"/>
        <w:spacing w:line="440" w:lineRule="exact"/>
        <w:ind w:firstLine="720" w:firstLineChars="300"/>
        <w:jc w:val="left"/>
        <w:rPr>
          <w:kern w:val="0"/>
          <w:sz w:val="24"/>
        </w:rPr>
      </w:pPr>
      <w:r>
        <w:rPr>
          <w:rFonts w:hint="eastAsia"/>
          <w:kern w:val="0"/>
          <w:sz w:val="24"/>
        </w:rPr>
        <w:t>Ao</w:t>
      </w:r>
      <w:r>
        <w:rPr>
          <w:kern w:val="0"/>
          <w:sz w:val="24"/>
        </w:rPr>
        <w:t>——</w:t>
      </w:r>
      <w:r>
        <w:rPr>
          <w:rFonts w:hint="eastAsia"/>
          <w:kern w:val="0"/>
          <w:sz w:val="24"/>
        </w:rPr>
        <w:t>管材</w:t>
      </w:r>
      <w:r>
        <w:rPr>
          <w:kern w:val="0"/>
          <w:sz w:val="24"/>
        </w:rPr>
        <w:t>环向最小截面面积（</w:t>
      </w:r>
      <w:r>
        <w:rPr>
          <w:rFonts w:hint="eastAsia"/>
          <w:kern w:val="0"/>
          <w:sz w:val="24"/>
        </w:rPr>
        <w:t>m²</w:t>
      </w:r>
      <w:r>
        <w:rPr>
          <w:kern w:val="0"/>
          <w:sz w:val="24"/>
        </w:rPr>
        <w:t>）</w:t>
      </w:r>
      <w:r>
        <w:rPr>
          <w:rFonts w:hint="eastAsia"/>
          <w:kern w:val="0"/>
          <w:sz w:val="24"/>
        </w:rPr>
        <w:t>；</w:t>
      </w:r>
    </w:p>
    <w:p>
      <w:pPr>
        <w:autoSpaceDE w:val="0"/>
        <w:autoSpaceDN w:val="0"/>
        <w:adjustRightInd w:val="0"/>
        <w:spacing w:line="440" w:lineRule="exact"/>
        <w:ind w:firstLine="720" w:firstLineChars="300"/>
        <w:jc w:val="left"/>
        <w:rPr>
          <w:kern w:val="0"/>
          <w:sz w:val="24"/>
        </w:rPr>
      </w:pPr>
      <w:r>
        <w:rPr>
          <w:rFonts w:hint="eastAsia"/>
          <w:kern w:val="0"/>
          <w:sz w:val="24"/>
        </w:rPr>
        <w:t>η</w:t>
      </w:r>
      <w:r>
        <w:rPr>
          <w:kern w:val="0"/>
          <w:sz w:val="24"/>
        </w:rPr>
        <w:t>——</w:t>
      </w:r>
      <w:r>
        <w:rPr>
          <w:rFonts w:hint="eastAsia"/>
          <w:kern w:val="0"/>
          <w:sz w:val="24"/>
        </w:rPr>
        <w:t>管材的折减系数，</w:t>
      </w:r>
      <w:r>
        <w:rPr>
          <w:kern w:val="0"/>
          <w:sz w:val="24"/>
        </w:rPr>
        <w:t>钢管管材取</w:t>
      </w:r>
      <w:r>
        <w:rPr>
          <w:rFonts w:hint="eastAsia"/>
          <w:kern w:val="0"/>
          <w:sz w:val="24"/>
        </w:rPr>
        <w:t>0.5。</w:t>
      </w:r>
    </w:p>
    <w:p>
      <w:pPr>
        <w:spacing w:line="440" w:lineRule="exact"/>
        <w:rPr>
          <w:sz w:val="24"/>
        </w:rPr>
      </w:pPr>
      <w:r>
        <w:rPr>
          <w:rFonts w:hint="eastAsia"/>
          <w:b/>
          <w:bCs/>
          <w:sz w:val="24"/>
        </w:rPr>
        <w:t>7.5.8</w:t>
      </w:r>
      <w:r>
        <w:rPr>
          <w:rFonts w:hint="eastAsia"/>
          <w:sz w:val="24"/>
        </w:rPr>
        <w:t xml:space="preserve">  机械顶管法施工宜连续作业，当出现下列情况时，应停止顶进，及时处理：</w:t>
      </w:r>
    </w:p>
    <w:p>
      <w:pPr>
        <w:spacing w:line="440" w:lineRule="exact"/>
        <w:ind w:firstLine="361" w:firstLineChars="150"/>
        <w:rPr>
          <w:sz w:val="24"/>
        </w:rPr>
      </w:pPr>
      <w:r>
        <w:rPr>
          <w:rFonts w:hint="eastAsia"/>
          <w:b/>
          <w:bCs/>
          <w:sz w:val="24"/>
        </w:rPr>
        <w:t>1</w:t>
      </w:r>
      <w:r>
        <w:rPr>
          <w:rFonts w:hint="eastAsia"/>
          <w:sz w:val="24"/>
        </w:rPr>
        <w:t xml:space="preserve">  顶管机遇障碍；</w:t>
      </w:r>
    </w:p>
    <w:p>
      <w:pPr>
        <w:spacing w:line="440" w:lineRule="exact"/>
        <w:ind w:firstLine="361" w:firstLineChars="150"/>
        <w:rPr>
          <w:sz w:val="24"/>
        </w:rPr>
      </w:pPr>
      <w:r>
        <w:rPr>
          <w:rFonts w:hint="eastAsia"/>
          <w:b/>
          <w:bCs/>
          <w:sz w:val="24"/>
        </w:rPr>
        <w:t>2</w:t>
      </w:r>
      <w:r>
        <w:rPr>
          <w:rFonts w:hint="eastAsia"/>
          <w:sz w:val="24"/>
        </w:rPr>
        <w:t xml:space="preserve">  井壁结构破坏或反力墙严重变形；</w:t>
      </w:r>
    </w:p>
    <w:p>
      <w:pPr>
        <w:spacing w:line="440" w:lineRule="exact"/>
        <w:ind w:firstLine="361" w:firstLineChars="150"/>
        <w:rPr>
          <w:sz w:val="24"/>
        </w:rPr>
      </w:pPr>
      <w:r>
        <w:rPr>
          <w:rFonts w:hint="eastAsia"/>
          <w:b/>
          <w:bCs/>
          <w:sz w:val="24"/>
        </w:rPr>
        <w:t>3</w:t>
      </w:r>
      <w:r>
        <w:rPr>
          <w:rFonts w:hint="eastAsia"/>
          <w:sz w:val="24"/>
        </w:rPr>
        <w:t xml:space="preserve">  设备损坏或故障；</w:t>
      </w:r>
    </w:p>
    <w:p>
      <w:pPr>
        <w:spacing w:line="440" w:lineRule="exact"/>
        <w:ind w:firstLine="361" w:firstLineChars="150"/>
        <w:rPr>
          <w:sz w:val="24"/>
        </w:rPr>
      </w:pPr>
      <w:r>
        <w:rPr>
          <w:rFonts w:hint="eastAsia"/>
          <w:b/>
          <w:bCs/>
          <w:sz w:val="24"/>
        </w:rPr>
        <w:t>4</w:t>
      </w:r>
      <w:r>
        <w:rPr>
          <w:rFonts w:hint="eastAsia"/>
          <w:sz w:val="24"/>
        </w:rPr>
        <w:t xml:space="preserve">  管幕轴线偏差过大或纠正无效；</w:t>
      </w:r>
    </w:p>
    <w:p>
      <w:pPr>
        <w:spacing w:line="440" w:lineRule="exact"/>
        <w:ind w:firstLine="361" w:firstLineChars="150"/>
        <w:rPr>
          <w:sz w:val="24"/>
        </w:rPr>
      </w:pPr>
      <w:r>
        <w:rPr>
          <w:rFonts w:hint="eastAsia"/>
          <w:b/>
          <w:bCs/>
          <w:sz w:val="24"/>
        </w:rPr>
        <w:t>5</w:t>
      </w:r>
      <w:r>
        <w:rPr>
          <w:rFonts w:hint="eastAsia"/>
          <w:sz w:val="24"/>
        </w:rPr>
        <w:t xml:space="preserve">  顶力突变超过管幕管材的允许顶力；</w:t>
      </w:r>
    </w:p>
    <w:p>
      <w:pPr>
        <w:spacing w:line="440" w:lineRule="exact"/>
        <w:ind w:firstLine="361" w:firstLineChars="150"/>
        <w:rPr>
          <w:sz w:val="24"/>
        </w:rPr>
      </w:pPr>
      <w:r>
        <w:rPr>
          <w:rFonts w:hint="eastAsia"/>
          <w:b/>
          <w:bCs/>
          <w:sz w:val="24"/>
        </w:rPr>
        <w:t>6</w:t>
      </w:r>
      <w:r>
        <w:rPr>
          <w:rFonts w:hint="eastAsia"/>
          <w:sz w:val="24"/>
        </w:rPr>
        <w:t xml:space="preserve">  对作业影响范围内的建（构）筑物、地下管线、地面沉降等监测数据超过预警值。</w:t>
      </w:r>
    </w:p>
    <w:p>
      <w:pPr>
        <w:spacing w:before="156" w:beforeLines="50" w:after="156" w:afterLines="50" w:line="440" w:lineRule="exact"/>
        <w:jc w:val="center"/>
        <w:outlineLvl w:val="1"/>
        <w:rPr>
          <w:rFonts w:eastAsia="黑体"/>
          <w:sz w:val="24"/>
        </w:rPr>
      </w:pPr>
      <w:bookmarkStart w:id="97" w:name="_Toc26927"/>
      <w:bookmarkStart w:id="98" w:name="_Toc18334"/>
      <w:r>
        <w:rPr>
          <w:rFonts w:hint="eastAsia" w:eastAsia="黑体"/>
          <w:sz w:val="24"/>
        </w:rPr>
        <w:t>7.6  管幕钢管连接</w:t>
      </w:r>
      <w:bookmarkEnd w:id="97"/>
      <w:bookmarkEnd w:id="98"/>
    </w:p>
    <w:p>
      <w:pPr>
        <w:spacing w:line="440" w:lineRule="exact"/>
        <w:rPr>
          <w:sz w:val="24"/>
        </w:rPr>
      </w:pPr>
      <w:r>
        <w:rPr>
          <w:rFonts w:hint="eastAsia"/>
          <w:b/>
          <w:bCs/>
          <w:sz w:val="24"/>
        </w:rPr>
        <w:t>7.6.1</w:t>
      </w:r>
      <w:r>
        <w:rPr>
          <w:rFonts w:hint="eastAsia"/>
          <w:sz w:val="24"/>
        </w:rPr>
        <w:t xml:space="preserve">  管幕钢管宜采用焊接连接，焊缝宜采用单面对接焊V形坡口（带钝边），其参数及质量要求应符合现行国家标准《气焊、焊条电弧焊、气体保护焊和高能束焊的推荐坡口》GB/T985.1、《钢结构焊接规范》GB50661的有关规定。</w:t>
      </w:r>
    </w:p>
    <w:p>
      <w:pPr>
        <w:spacing w:line="440" w:lineRule="exact"/>
        <w:rPr>
          <w:sz w:val="24"/>
        </w:rPr>
      </w:pPr>
      <w:r>
        <w:rPr>
          <w:rFonts w:hint="eastAsia"/>
          <w:b/>
          <w:bCs/>
          <w:sz w:val="24"/>
        </w:rPr>
        <w:t>7.6.2</w:t>
      </w:r>
      <w:r>
        <w:rPr>
          <w:rFonts w:hint="eastAsia"/>
          <w:sz w:val="24"/>
        </w:rPr>
        <w:t xml:space="preserve">  相邻管幕钢管应错缝连接，接缝宜位于相邻管幕钢管中间位置。</w:t>
      </w:r>
    </w:p>
    <w:p>
      <w:pPr>
        <w:spacing w:line="440" w:lineRule="exact"/>
        <w:rPr>
          <w:sz w:val="24"/>
        </w:rPr>
      </w:pPr>
      <w:r>
        <w:rPr>
          <w:rFonts w:hint="eastAsia"/>
          <w:b/>
          <w:bCs/>
          <w:sz w:val="24"/>
        </w:rPr>
        <w:t>7.6.</w:t>
      </w:r>
      <w:r>
        <w:rPr>
          <w:b/>
          <w:bCs/>
          <w:sz w:val="24"/>
        </w:rPr>
        <w:t>3</w:t>
      </w:r>
      <w:r>
        <w:rPr>
          <w:rFonts w:hint="eastAsia"/>
          <w:sz w:val="24"/>
        </w:rPr>
        <w:t xml:space="preserve">  管幕锁扣、注浆管等辅助构件应与钢管同步连接。</w:t>
      </w:r>
    </w:p>
    <w:p>
      <w:pPr>
        <w:spacing w:line="440" w:lineRule="exact"/>
        <w:rPr>
          <w:sz w:val="24"/>
        </w:rPr>
      </w:pPr>
      <w:bookmarkStart w:id="99" w:name="_Hlk103372700"/>
      <w:r>
        <w:rPr>
          <w:rFonts w:hint="eastAsia"/>
          <w:b/>
          <w:bCs/>
          <w:sz w:val="24"/>
        </w:rPr>
        <w:t>7.6.</w:t>
      </w:r>
      <w:r>
        <w:rPr>
          <w:b/>
          <w:bCs/>
          <w:sz w:val="24"/>
        </w:rPr>
        <w:t>4</w:t>
      </w:r>
      <w:r>
        <w:rPr>
          <w:rFonts w:hint="eastAsia"/>
          <w:sz w:val="24"/>
        </w:rPr>
        <w:t xml:space="preserve">  管幕钢管连接还应符合下列规定：</w:t>
      </w:r>
    </w:p>
    <w:p>
      <w:pPr>
        <w:spacing w:line="440" w:lineRule="exact"/>
        <w:ind w:firstLine="361" w:firstLineChars="150"/>
        <w:rPr>
          <w:sz w:val="24"/>
        </w:rPr>
      </w:pPr>
      <w:r>
        <w:rPr>
          <w:rFonts w:hint="eastAsia"/>
          <w:b/>
          <w:bCs/>
          <w:sz w:val="24"/>
        </w:rPr>
        <w:t xml:space="preserve">1 </w:t>
      </w:r>
      <w:r>
        <w:rPr>
          <w:rFonts w:hint="eastAsia"/>
          <w:sz w:val="24"/>
        </w:rPr>
        <w:t xml:space="preserve"> 钢管连接坡口应在工厂车床精准加工，并应保证坡口质量；</w:t>
      </w:r>
    </w:p>
    <w:p>
      <w:pPr>
        <w:spacing w:line="440" w:lineRule="exact"/>
        <w:ind w:firstLine="361" w:firstLineChars="150"/>
        <w:rPr>
          <w:sz w:val="24"/>
        </w:rPr>
      </w:pPr>
      <w:r>
        <w:rPr>
          <w:rFonts w:hint="eastAsia"/>
          <w:b/>
          <w:bCs/>
          <w:sz w:val="24"/>
        </w:rPr>
        <w:t xml:space="preserve">2 </w:t>
      </w:r>
      <w:r>
        <w:rPr>
          <w:rFonts w:hint="eastAsia"/>
          <w:sz w:val="24"/>
        </w:rPr>
        <w:t xml:space="preserve"> 应将坡口及其内外侧表面不小于10mm范围内清除干净，不应有夹层、裂纹、损伤、毛刺及火焰切割熔渣等缺陷；</w:t>
      </w:r>
    </w:p>
    <w:p>
      <w:pPr>
        <w:spacing w:line="440" w:lineRule="exact"/>
        <w:ind w:firstLine="361" w:firstLineChars="150"/>
        <w:rPr>
          <w:sz w:val="24"/>
        </w:rPr>
      </w:pPr>
      <w:r>
        <w:rPr>
          <w:rFonts w:hint="eastAsia"/>
          <w:b/>
          <w:bCs/>
          <w:sz w:val="24"/>
        </w:rPr>
        <w:t>3</w:t>
      </w:r>
      <w:r>
        <w:rPr>
          <w:rFonts w:hint="eastAsia"/>
          <w:sz w:val="24"/>
        </w:rPr>
        <w:t xml:space="preserve">  应在孔口及顶管机前端（接近孔口处）各设置钢管固定托架，并应控制相邻钢管的错边量不大于</w:t>
      </w:r>
      <w:r>
        <w:rPr>
          <w:sz w:val="24"/>
        </w:rPr>
        <w:t>2</w:t>
      </w:r>
      <w:r>
        <w:rPr>
          <w:rFonts w:hint="eastAsia"/>
          <w:sz w:val="24"/>
        </w:rPr>
        <w:t>.0mm，管外应辅以靠尺及水平管、地质罗盘进行对位控制；</w:t>
      </w:r>
    </w:p>
    <w:p>
      <w:pPr>
        <w:spacing w:line="440" w:lineRule="exact"/>
        <w:ind w:firstLine="361" w:firstLineChars="150"/>
        <w:rPr>
          <w:sz w:val="24"/>
        </w:rPr>
      </w:pPr>
      <w:r>
        <w:rPr>
          <w:rFonts w:hint="eastAsia"/>
          <w:b/>
          <w:bCs/>
          <w:sz w:val="24"/>
        </w:rPr>
        <w:t>4</w:t>
      </w:r>
      <w:r>
        <w:rPr>
          <w:rFonts w:hint="eastAsia"/>
          <w:sz w:val="24"/>
        </w:rPr>
        <w:t xml:space="preserve">  顶进后的管节端部外露不应小于0.3m；</w:t>
      </w:r>
    </w:p>
    <w:p>
      <w:pPr>
        <w:spacing w:line="440" w:lineRule="exact"/>
        <w:ind w:firstLine="361" w:firstLineChars="150"/>
        <w:rPr>
          <w:sz w:val="24"/>
        </w:rPr>
      </w:pPr>
      <w:r>
        <w:rPr>
          <w:rFonts w:hint="eastAsia"/>
          <w:b/>
          <w:bCs/>
          <w:sz w:val="24"/>
        </w:rPr>
        <w:t>5</w:t>
      </w:r>
      <w:r>
        <w:rPr>
          <w:rFonts w:hint="eastAsia"/>
          <w:sz w:val="24"/>
        </w:rPr>
        <w:t xml:space="preserve">  管节之间应采用等强焊接连接，相邻钢管焊缝应错开1.0m以上布置。</w:t>
      </w:r>
    </w:p>
    <w:bookmarkEnd w:id="99"/>
    <w:p>
      <w:pPr>
        <w:spacing w:line="440" w:lineRule="exact"/>
        <w:rPr>
          <w:sz w:val="24"/>
        </w:rPr>
      </w:pPr>
      <w:r>
        <w:rPr>
          <w:rFonts w:hint="eastAsia"/>
          <w:b/>
          <w:bCs/>
          <w:sz w:val="24"/>
        </w:rPr>
        <w:t>7.6.</w:t>
      </w:r>
      <w:r>
        <w:rPr>
          <w:b/>
          <w:bCs/>
          <w:sz w:val="24"/>
        </w:rPr>
        <w:t>5</w:t>
      </w:r>
      <w:r>
        <w:rPr>
          <w:rFonts w:hint="eastAsia"/>
          <w:sz w:val="24"/>
        </w:rPr>
        <w:t xml:space="preserve">  钢管切割、焊接过程中应做好洞内通风，并应做好安全、防火、环保工作。</w:t>
      </w:r>
    </w:p>
    <w:p>
      <w:pPr>
        <w:spacing w:before="156" w:beforeLines="50" w:after="156" w:afterLines="50" w:line="440" w:lineRule="exact"/>
        <w:jc w:val="center"/>
        <w:outlineLvl w:val="1"/>
        <w:rPr>
          <w:rFonts w:eastAsia="黑体"/>
          <w:sz w:val="24"/>
        </w:rPr>
      </w:pPr>
      <w:bookmarkStart w:id="100" w:name="_Toc1639"/>
      <w:bookmarkStart w:id="101" w:name="_Toc28159"/>
      <w:r>
        <w:rPr>
          <w:rFonts w:hint="eastAsia" w:eastAsia="黑体"/>
          <w:sz w:val="24"/>
        </w:rPr>
        <w:t>7.7  施工测量</w:t>
      </w:r>
      <w:bookmarkEnd w:id="100"/>
      <w:bookmarkEnd w:id="101"/>
    </w:p>
    <w:p>
      <w:pPr>
        <w:spacing w:line="440" w:lineRule="exact"/>
        <w:rPr>
          <w:sz w:val="24"/>
        </w:rPr>
      </w:pPr>
      <w:r>
        <w:rPr>
          <w:rFonts w:hint="eastAsia"/>
          <w:b/>
          <w:bCs/>
          <w:sz w:val="24"/>
        </w:rPr>
        <w:t>7.7.1</w:t>
      </w:r>
      <w:r>
        <w:rPr>
          <w:rFonts w:hint="eastAsia"/>
          <w:sz w:val="24"/>
        </w:rPr>
        <w:t xml:space="preserve">  施工过程中应对管幕钢管姿态进行测量，内容应包括地面控制测量、联系测量、地下控制测量、管幕施工测量。</w:t>
      </w:r>
    </w:p>
    <w:p>
      <w:pPr>
        <w:spacing w:line="440" w:lineRule="exact"/>
        <w:rPr>
          <w:sz w:val="24"/>
        </w:rPr>
      </w:pPr>
      <w:r>
        <w:rPr>
          <w:rFonts w:hint="eastAsia"/>
          <w:b/>
          <w:bCs/>
          <w:sz w:val="24"/>
        </w:rPr>
        <w:t>7.7.2</w:t>
      </w:r>
      <w:r>
        <w:rPr>
          <w:rFonts w:hint="eastAsia"/>
          <w:sz w:val="24"/>
        </w:rPr>
        <w:t xml:space="preserve">  施工中应建立地面与地下测量控制系统；工作井开挖至操作平台位置时，应采用联系测量方法，将平面和高程数据传入井下控制点，并应满足设备设施安装及管幕钢管作业要求。</w:t>
      </w:r>
    </w:p>
    <w:p>
      <w:pPr>
        <w:spacing w:line="440" w:lineRule="exact"/>
        <w:rPr>
          <w:sz w:val="24"/>
        </w:rPr>
      </w:pPr>
      <w:bookmarkStart w:id="102" w:name="_Hlk103409708"/>
      <w:r>
        <w:rPr>
          <w:rFonts w:hint="eastAsia"/>
          <w:b/>
          <w:bCs/>
          <w:sz w:val="24"/>
        </w:rPr>
        <w:t>7.7.3</w:t>
      </w:r>
      <w:r>
        <w:rPr>
          <w:rFonts w:hint="eastAsia"/>
          <w:sz w:val="24"/>
        </w:rPr>
        <w:t xml:space="preserve">  钢管顶进方向与设计轴线偏差应符合设计文件规定，可设置激光成像仪、激光定向仪等自动测量设施，作为测量导向设备。</w:t>
      </w:r>
      <w:bookmarkEnd w:id="102"/>
    </w:p>
    <w:p>
      <w:pPr>
        <w:spacing w:line="440" w:lineRule="exact"/>
        <w:rPr>
          <w:sz w:val="24"/>
        </w:rPr>
      </w:pPr>
      <w:r>
        <w:rPr>
          <w:rFonts w:hint="eastAsia"/>
          <w:b/>
          <w:bCs/>
          <w:sz w:val="24"/>
        </w:rPr>
        <w:t>7.7.4</w:t>
      </w:r>
      <w:r>
        <w:rPr>
          <w:rFonts w:hint="eastAsia"/>
          <w:sz w:val="24"/>
        </w:rPr>
        <w:t xml:space="preserve">  在施工中应对以下参数进行测量，并应及时对测量控制基准点进行复核，发生偏差时应及时纠正：</w:t>
      </w:r>
    </w:p>
    <w:p>
      <w:pPr>
        <w:spacing w:line="440" w:lineRule="exact"/>
        <w:ind w:firstLine="361" w:firstLineChars="150"/>
        <w:rPr>
          <w:sz w:val="24"/>
        </w:rPr>
      </w:pPr>
      <w:r>
        <w:rPr>
          <w:rFonts w:hint="eastAsia"/>
          <w:b/>
          <w:bCs/>
          <w:sz w:val="24"/>
        </w:rPr>
        <w:t>1</w:t>
      </w:r>
      <w:r>
        <w:rPr>
          <w:rFonts w:hint="eastAsia"/>
          <w:sz w:val="24"/>
        </w:rPr>
        <w:t xml:space="preserve">  顶进方向的垂直偏差；</w:t>
      </w:r>
    </w:p>
    <w:p>
      <w:pPr>
        <w:spacing w:line="440" w:lineRule="exact"/>
        <w:ind w:firstLine="361" w:firstLineChars="150"/>
        <w:rPr>
          <w:sz w:val="24"/>
        </w:rPr>
      </w:pPr>
      <w:r>
        <w:rPr>
          <w:rFonts w:hint="eastAsia"/>
          <w:b/>
          <w:bCs/>
          <w:sz w:val="24"/>
        </w:rPr>
        <w:t>2</w:t>
      </w:r>
      <w:r>
        <w:rPr>
          <w:rFonts w:hint="eastAsia"/>
          <w:sz w:val="24"/>
        </w:rPr>
        <w:t xml:space="preserve">  顶进方向的水平偏差；</w:t>
      </w:r>
    </w:p>
    <w:p>
      <w:pPr>
        <w:spacing w:line="440" w:lineRule="exact"/>
        <w:ind w:firstLine="361" w:firstLineChars="150"/>
        <w:rPr>
          <w:sz w:val="24"/>
        </w:rPr>
      </w:pPr>
      <w:r>
        <w:rPr>
          <w:rFonts w:hint="eastAsia"/>
          <w:b/>
          <w:bCs/>
          <w:sz w:val="24"/>
        </w:rPr>
        <w:t>3</w:t>
      </w:r>
      <w:r>
        <w:rPr>
          <w:rFonts w:hint="eastAsia"/>
          <w:sz w:val="24"/>
        </w:rPr>
        <w:t xml:space="preserve">  管端的转动角度；</w:t>
      </w:r>
    </w:p>
    <w:p>
      <w:pPr>
        <w:spacing w:line="440" w:lineRule="exact"/>
        <w:ind w:firstLine="361" w:firstLineChars="150"/>
        <w:rPr>
          <w:sz w:val="24"/>
        </w:rPr>
      </w:pPr>
      <w:r>
        <w:rPr>
          <w:rFonts w:hint="eastAsia"/>
          <w:b/>
          <w:bCs/>
          <w:sz w:val="24"/>
        </w:rPr>
        <w:t>4</w:t>
      </w:r>
      <w:r>
        <w:rPr>
          <w:rFonts w:hint="eastAsia"/>
          <w:sz w:val="24"/>
        </w:rPr>
        <w:t xml:space="preserve">  管端相对管口倾角；</w:t>
      </w:r>
    </w:p>
    <w:p>
      <w:pPr>
        <w:spacing w:line="440" w:lineRule="exact"/>
        <w:ind w:firstLine="361" w:firstLineChars="150"/>
        <w:rPr>
          <w:sz w:val="24"/>
        </w:rPr>
      </w:pPr>
      <w:r>
        <w:rPr>
          <w:rFonts w:hint="eastAsia"/>
          <w:b/>
          <w:bCs/>
          <w:sz w:val="24"/>
        </w:rPr>
        <w:t>5</w:t>
      </w:r>
      <w:r>
        <w:rPr>
          <w:rFonts w:hint="eastAsia"/>
          <w:sz w:val="24"/>
        </w:rPr>
        <w:t xml:space="preserve">  钢管顶进长度；</w:t>
      </w:r>
    </w:p>
    <w:p>
      <w:pPr>
        <w:spacing w:line="440" w:lineRule="exact"/>
        <w:ind w:firstLine="361" w:firstLineChars="150"/>
        <w:rPr>
          <w:sz w:val="24"/>
        </w:rPr>
      </w:pPr>
      <w:r>
        <w:rPr>
          <w:rFonts w:hint="eastAsia"/>
          <w:b/>
          <w:bCs/>
          <w:sz w:val="24"/>
        </w:rPr>
        <w:t>6</w:t>
      </w:r>
      <w:r>
        <w:rPr>
          <w:rFonts w:hint="eastAsia"/>
          <w:sz w:val="24"/>
        </w:rPr>
        <w:t xml:space="preserve">  钢管整体姿态。</w:t>
      </w:r>
    </w:p>
    <w:p>
      <w:pPr>
        <w:spacing w:line="440" w:lineRule="exact"/>
        <w:rPr>
          <w:sz w:val="24"/>
        </w:rPr>
      </w:pPr>
      <w:r>
        <w:rPr>
          <w:rFonts w:hint="eastAsia"/>
          <w:b/>
          <w:bCs/>
          <w:sz w:val="24"/>
        </w:rPr>
        <w:t>7.7.5</w:t>
      </w:r>
      <w:r>
        <w:rPr>
          <w:rFonts w:hint="eastAsia"/>
          <w:sz w:val="24"/>
        </w:rPr>
        <w:t xml:space="preserve">  在安装测量装置时（如激光导向仪），所用的测量仪器应与操作平台、工作井的井底和井壁分开。</w:t>
      </w:r>
    </w:p>
    <w:p>
      <w:pPr>
        <w:spacing w:line="440" w:lineRule="exact"/>
        <w:rPr>
          <w:sz w:val="24"/>
        </w:rPr>
      </w:pPr>
      <w:r>
        <w:rPr>
          <w:rFonts w:hint="eastAsia"/>
          <w:b/>
          <w:bCs/>
          <w:sz w:val="24"/>
        </w:rPr>
        <w:t>7.7.6</w:t>
      </w:r>
      <w:r>
        <w:rPr>
          <w:rFonts w:hint="eastAsia"/>
          <w:sz w:val="24"/>
        </w:rPr>
        <w:t xml:space="preserve">  管幕钢管施工过程中，每次测量前应对工作内的测量控制基准点进行复核，发生工作井位移、沉降、变形时应及时对基准点进行调整。</w:t>
      </w:r>
    </w:p>
    <w:p>
      <w:pPr>
        <w:spacing w:line="440" w:lineRule="exact"/>
        <w:rPr>
          <w:sz w:val="24"/>
        </w:rPr>
      </w:pPr>
      <w:r>
        <w:rPr>
          <w:rFonts w:hint="eastAsia"/>
          <w:b/>
          <w:bCs/>
          <w:sz w:val="24"/>
        </w:rPr>
        <w:t>7.7.7</w:t>
      </w:r>
      <w:r>
        <w:rPr>
          <w:rFonts w:hint="eastAsia"/>
          <w:sz w:val="24"/>
        </w:rPr>
        <w:t xml:space="preserve">  初始顶进前、正常顶进和到达顶进应由人工测量复核顶管机自动测量系统准确度。人工复核应测量管道高程、中心线位置、顶进距离。</w:t>
      </w:r>
    </w:p>
    <w:p>
      <w:pPr>
        <w:spacing w:line="440" w:lineRule="exact"/>
        <w:rPr>
          <w:sz w:val="24"/>
        </w:rPr>
      </w:pPr>
      <w:r>
        <w:rPr>
          <w:rFonts w:hint="eastAsia"/>
          <w:b/>
          <w:bCs/>
          <w:sz w:val="24"/>
        </w:rPr>
        <w:t>7.7.8</w:t>
      </w:r>
      <w:r>
        <w:rPr>
          <w:rFonts w:hint="eastAsia"/>
          <w:sz w:val="24"/>
        </w:rPr>
        <w:t xml:space="preserve">  管幕钢管顶进前应测定管端轴线和标高，顶进施工中的原始数据记录应连续、真实、完整。</w:t>
      </w:r>
    </w:p>
    <w:p>
      <w:pPr>
        <w:spacing w:line="440" w:lineRule="exact"/>
        <w:rPr>
          <w:sz w:val="24"/>
        </w:rPr>
      </w:pPr>
      <w:r>
        <w:rPr>
          <w:rFonts w:hint="eastAsia"/>
          <w:b/>
          <w:bCs/>
          <w:sz w:val="24"/>
        </w:rPr>
        <w:t>7.7.9</w:t>
      </w:r>
      <w:r>
        <w:rPr>
          <w:rFonts w:hint="eastAsia"/>
          <w:sz w:val="24"/>
        </w:rPr>
        <w:t xml:space="preserve">  每根管幕钢管顶进结束后，应进行姿态测量，并应绘制轨迹图，应包含管幕钢管高程、方向、顶进力曲线等。</w:t>
      </w:r>
    </w:p>
    <w:p>
      <w:pPr>
        <w:spacing w:before="156" w:beforeLines="50" w:after="156" w:afterLines="50" w:line="440" w:lineRule="exact"/>
        <w:jc w:val="center"/>
        <w:outlineLvl w:val="1"/>
        <w:rPr>
          <w:rFonts w:eastAsia="黑体"/>
          <w:sz w:val="24"/>
        </w:rPr>
      </w:pPr>
      <w:bookmarkStart w:id="103" w:name="_Toc18144"/>
      <w:bookmarkStart w:id="104" w:name="_Toc21574"/>
      <w:r>
        <w:rPr>
          <w:rFonts w:hint="eastAsia" w:eastAsia="黑体"/>
          <w:sz w:val="24"/>
        </w:rPr>
        <w:t>7.8  导向控制与纠偏</w:t>
      </w:r>
      <w:bookmarkEnd w:id="103"/>
      <w:bookmarkEnd w:id="104"/>
    </w:p>
    <w:p>
      <w:pPr>
        <w:spacing w:line="440" w:lineRule="exact"/>
        <w:rPr>
          <w:sz w:val="24"/>
        </w:rPr>
      </w:pPr>
      <w:r>
        <w:rPr>
          <w:rFonts w:hint="eastAsia"/>
          <w:b/>
          <w:bCs/>
          <w:sz w:val="24"/>
        </w:rPr>
        <w:t xml:space="preserve">7.8.1 </w:t>
      </w:r>
      <w:r>
        <w:rPr>
          <w:rFonts w:hint="eastAsia"/>
          <w:sz w:val="24"/>
        </w:rPr>
        <w:t>管幕钢管施工导向控制与纠偏应符合下列规定：</w:t>
      </w:r>
    </w:p>
    <w:p>
      <w:pPr>
        <w:spacing w:line="440" w:lineRule="exact"/>
        <w:ind w:firstLine="361" w:firstLineChars="150"/>
        <w:rPr>
          <w:b/>
          <w:bCs/>
          <w:sz w:val="24"/>
        </w:rPr>
      </w:pPr>
      <w:r>
        <w:rPr>
          <w:rFonts w:hint="eastAsia"/>
          <w:b/>
          <w:bCs/>
          <w:sz w:val="24"/>
        </w:rPr>
        <w:t xml:space="preserve">1  </w:t>
      </w:r>
      <w:r>
        <w:rPr>
          <w:rFonts w:hint="eastAsia"/>
          <w:bCs/>
          <w:sz w:val="24"/>
        </w:rPr>
        <w:t>在不同的地层中顶进、不同的施工方式应采用不同的导向控制方法和纠偏方法；</w:t>
      </w:r>
    </w:p>
    <w:p>
      <w:pPr>
        <w:spacing w:line="440" w:lineRule="exact"/>
        <w:ind w:firstLine="361" w:firstLineChars="150"/>
        <w:rPr>
          <w:bCs/>
          <w:sz w:val="24"/>
        </w:rPr>
      </w:pPr>
      <w:r>
        <w:rPr>
          <w:rFonts w:hint="eastAsia"/>
          <w:b/>
          <w:bCs/>
          <w:sz w:val="24"/>
        </w:rPr>
        <w:t xml:space="preserve">2  </w:t>
      </w:r>
      <w:r>
        <w:rPr>
          <w:rFonts w:hint="eastAsia"/>
          <w:bCs/>
          <w:sz w:val="24"/>
        </w:rPr>
        <w:t>管幕钢管根据形状不同既有水平偏差也有垂直偏差，宜先纠正一个方向的偏差，完成后，再对另一个方向进行纠偏操作；</w:t>
      </w:r>
    </w:p>
    <w:p>
      <w:pPr>
        <w:spacing w:line="440" w:lineRule="exact"/>
        <w:ind w:firstLine="361" w:firstLineChars="150"/>
        <w:rPr>
          <w:bCs/>
          <w:sz w:val="24"/>
        </w:rPr>
      </w:pPr>
      <w:r>
        <w:rPr>
          <w:rFonts w:hint="eastAsia"/>
          <w:b/>
          <w:bCs/>
          <w:sz w:val="24"/>
        </w:rPr>
        <w:t xml:space="preserve">3  </w:t>
      </w:r>
      <w:r>
        <w:rPr>
          <w:rFonts w:hint="eastAsia"/>
          <w:bCs/>
          <w:sz w:val="24"/>
        </w:rPr>
        <w:t>若施工中偏差超过质量标准、纠偏操作目标难以实现时，应暂时停止作业。</w:t>
      </w:r>
    </w:p>
    <w:p>
      <w:pPr>
        <w:spacing w:line="440" w:lineRule="exact"/>
        <w:rPr>
          <w:sz w:val="24"/>
        </w:rPr>
      </w:pPr>
      <w:r>
        <w:rPr>
          <w:rFonts w:hint="eastAsia"/>
        </w:rPr>
        <w:t xml:space="preserve"> </w:t>
      </w:r>
      <w:r>
        <w:rPr>
          <w:rFonts w:hint="eastAsia"/>
          <w:b/>
          <w:bCs/>
          <w:sz w:val="24"/>
        </w:rPr>
        <w:t>7.8.2</w:t>
      </w:r>
      <w:r>
        <w:rPr>
          <w:rFonts w:hint="eastAsia"/>
          <w:sz w:val="24"/>
        </w:rPr>
        <w:t>管幕拉管法施工导向控制与纠偏应符合下列规定：</w:t>
      </w:r>
    </w:p>
    <w:p>
      <w:pPr>
        <w:spacing w:line="440" w:lineRule="exact"/>
        <w:ind w:firstLine="361" w:firstLineChars="150"/>
        <w:rPr>
          <w:strike/>
          <w:sz w:val="24"/>
        </w:rPr>
      </w:pPr>
      <w:r>
        <w:rPr>
          <w:rFonts w:hint="eastAsia"/>
          <w:b/>
          <w:bCs/>
          <w:sz w:val="24"/>
        </w:rPr>
        <w:t>1</w:t>
      </w:r>
      <w:r>
        <w:rPr>
          <w:rFonts w:hint="eastAsia"/>
          <w:sz w:val="24"/>
        </w:rPr>
        <w:t xml:space="preserve">  管幕拉管法施工前应先进行导向孔钻进，并应按设计轨迹参数进行控制，应及时将测量数据与设计轨迹进行对比；</w:t>
      </w:r>
    </w:p>
    <w:p>
      <w:pPr>
        <w:spacing w:line="440" w:lineRule="exact"/>
        <w:ind w:firstLine="361" w:firstLineChars="150"/>
        <w:rPr>
          <w:sz w:val="24"/>
        </w:rPr>
      </w:pPr>
      <w:r>
        <w:rPr>
          <w:rFonts w:hint="eastAsia"/>
          <w:b/>
          <w:bCs/>
          <w:sz w:val="24"/>
        </w:rPr>
        <w:t>2</w:t>
      </w:r>
      <w:r>
        <w:rPr>
          <w:rFonts w:hint="eastAsia"/>
          <w:sz w:val="24"/>
        </w:rPr>
        <w:t xml:space="preserve">  对于距离短、埋深浅、电磁干扰弱、地面有通行条件的穿越工程，宜采用无缆式导向仪进行导向钻进，反之宜采用有缆式导向仪进行导向钻进；</w:t>
      </w:r>
    </w:p>
    <w:p>
      <w:pPr>
        <w:spacing w:line="440" w:lineRule="exact"/>
        <w:ind w:firstLine="361" w:firstLineChars="150"/>
        <w:rPr>
          <w:sz w:val="24"/>
        </w:rPr>
      </w:pPr>
      <w:r>
        <w:rPr>
          <w:rFonts w:hint="eastAsia"/>
          <w:b/>
          <w:bCs/>
          <w:sz w:val="24"/>
        </w:rPr>
        <w:t>3</w:t>
      </w:r>
      <w:r>
        <w:rPr>
          <w:rFonts w:hint="eastAsia"/>
          <w:sz w:val="24"/>
        </w:rPr>
        <w:t xml:space="preserve">  应根据工程实际情况选择导向钻具组合和导向探测系统；</w:t>
      </w:r>
    </w:p>
    <w:p>
      <w:pPr>
        <w:spacing w:line="440" w:lineRule="exact"/>
        <w:ind w:firstLine="361" w:firstLineChars="150"/>
        <w:rPr>
          <w:sz w:val="24"/>
        </w:rPr>
      </w:pPr>
      <w:r>
        <w:rPr>
          <w:rFonts w:hint="eastAsia"/>
          <w:b/>
          <w:bCs/>
          <w:sz w:val="24"/>
        </w:rPr>
        <w:t>4</w:t>
      </w:r>
      <w:r>
        <w:rPr>
          <w:rFonts w:hint="eastAsia"/>
          <w:sz w:val="24"/>
        </w:rPr>
        <w:t xml:space="preserve">  穿越地下管线或调整导向轨迹等节点段导向时应加密轨迹控制点；</w:t>
      </w:r>
    </w:p>
    <w:p>
      <w:pPr>
        <w:spacing w:line="440" w:lineRule="exact"/>
        <w:ind w:firstLine="361" w:firstLineChars="150"/>
        <w:rPr>
          <w:sz w:val="24"/>
        </w:rPr>
      </w:pPr>
      <w:r>
        <w:rPr>
          <w:rFonts w:hint="eastAsia"/>
          <w:b/>
          <w:bCs/>
          <w:sz w:val="24"/>
        </w:rPr>
        <w:t>5</w:t>
      </w:r>
      <w:r>
        <w:rPr>
          <w:rFonts w:hint="eastAsia"/>
          <w:sz w:val="24"/>
        </w:rPr>
        <w:t xml:space="preserve">  管幕钢管直径大于DN800mm的导向孔轨迹控制点的间距不应大于5m；</w:t>
      </w:r>
    </w:p>
    <w:p>
      <w:pPr>
        <w:spacing w:line="440" w:lineRule="exact"/>
        <w:ind w:firstLine="361" w:firstLineChars="150"/>
        <w:rPr>
          <w:sz w:val="24"/>
        </w:rPr>
      </w:pPr>
      <w:r>
        <w:rPr>
          <w:rFonts w:hint="eastAsia"/>
          <w:b/>
          <w:bCs/>
          <w:sz w:val="24"/>
        </w:rPr>
        <w:t>6</w:t>
      </w:r>
      <w:r>
        <w:rPr>
          <w:rFonts w:hint="eastAsia"/>
          <w:sz w:val="24"/>
        </w:rPr>
        <w:t xml:space="preserve">  导向孔钻进纠偏应平缓，避免出现较大的转角；</w:t>
      </w:r>
    </w:p>
    <w:p>
      <w:pPr>
        <w:spacing w:line="440" w:lineRule="exact"/>
        <w:ind w:firstLine="361" w:firstLineChars="150"/>
        <w:rPr>
          <w:sz w:val="24"/>
        </w:rPr>
      </w:pPr>
      <w:r>
        <w:rPr>
          <w:rFonts w:hint="eastAsia"/>
          <w:b/>
          <w:bCs/>
          <w:sz w:val="24"/>
        </w:rPr>
        <w:t>7</w:t>
      </w:r>
      <w:r>
        <w:rPr>
          <w:rFonts w:hint="eastAsia"/>
          <w:sz w:val="24"/>
        </w:rPr>
        <w:t xml:space="preserve">  管幕钢管进入钻孔时应确保钢管轴线与钻孔轴线在出土端的延长线重合，避免管幕与钻孔形成夹角。</w:t>
      </w:r>
    </w:p>
    <w:p>
      <w:pPr>
        <w:spacing w:line="440" w:lineRule="exact"/>
        <w:rPr>
          <w:sz w:val="24"/>
        </w:rPr>
      </w:pPr>
      <w:r>
        <w:rPr>
          <w:rFonts w:hint="eastAsia"/>
          <w:b/>
          <w:bCs/>
          <w:sz w:val="24"/>
        </w:rPr>
        <w:t>7.8.3</w:t>
      </w:r>
      <w:bookmarkStart w:id="105" w:name="_Hlk103463055"/>
      <w:r>
        <w:rPr>
          <w:rFonts w:hint="eastAsia"/>
          <w:sz w:val="24"/>
        </w:rPr>
        <w:t>管幕夯管法施工导向控制与纠偏应符合下列规定：</w:t>
      </w:r>
      <w:bookmarkEnd w:id="105"/>
    </w:p>
    <w:p>
      <w:pPr>
        <w:spacing w:line="440" w:lineRule="exact"/>
        <w:ind w:firstLine="361" w:firstLineChars="150"/>
        <w:rPr>
          <w:sz w:val="24"/>
        </w:rPr>
      </w:pPr>
      <w:r>
        <w:rPr>
          <w:rFonts w:hint="eastAsia"/>
          <w:b/>
          <w:bCs/>
          <w:sz w:val="24"/>
        </w:rPr>
        <w:t>1</w:t>
      </w:r>
      <w:r>
        <w:rPr>
          <w:rFonts w:hint="eastAsia"/>
          <w:sz w:val="24"/>
        </w:rPr>
        <w:t xml:space="preserve">  夯管法施工宜采用水平钻机导向成孔，导向仪器应严格遵守相关使用技术规程控制导向精度；</w:t>
      </w:r>
    </w:p>
    <w:p>
      <w:pPr>
        <w:spacing w:line="440" w:lineRule="exact"/>
        <w:ind w:firstLine="361" w:firstLineChars="150"/>
        <w:rPr>
          <w:bCs/>
          <w:sz w:val="24"/>
        </w:rPr>
      </w:pPr>
      <w:r>
        <w:rPr>
          <w:rFonts w:hint="eastAsia"/>
          <w:b/>
          <w:bCs/>
          <w:sz w:val="24"/>
        </w:rPr>
        <w:t xml:space="preserve">2  </w:t>
      </w:r>
      <w:r>
        <w:rPr>
          <w:rFonts w:hint="eastAsia"/>
          <w:bCs/>
          <w:sz w:val="24"/>
        </w:rPr>
        <w:t>导向钻孔应严格按照设计轨迹施工；</w:t>
      </w:r>
    </w:p>
    <w:p>
      <w:pPr>
        <w:spacing w:line="440" w:lineRule="exact"/>
        <w:ind w:firstLine="361" w:firstLineChars="150"/>
        <w:rPr>
          <w:b/>
          <w:bCs/>
          <w:sz w:val="24"/>
        </w:rPr>
      </w:pPr>
      <w:r>
        <w:rPr>
          <w:rFonts w:hint="eastAsia"/>
          <w:b/>
          <w:bCs/>
          <w:sz w:val="24"/>
        </w:rPr>
        <w:t xml:space="preserve">3  </w:t>
      </w:r>
      <w:r>
        <w:rPr>
          <w:rFonts w:hint="eastAsia"/>
          <w:bCs/>
          <w:sz w:val="24"/>
        </w:rPr>
        <w:t>夯进施工中应严格控制孔位轴线，当出现与设计轴线有偏差时，应及时进行纠偏，并应遵循“勤纠少纠”的原则；</w:t>
      </w:r>
    </w:p>
    <w:p>
      <w:pPr>
        <w:spacing w:line="440" w:lineRule="exact"/>
        <w:ind w:firstLine="361" w:firstLineChars="150"/>
        <w:rPr>
          <w:sz w:val="24"/>
        </w:rPr>
      </w:pPr>
      <w:r>
        <w:rPr>
          <w:rFonts w:hint="eastAsia"/>
          <w:b/>
          <w:bCs/>
          <w:sz w:val="24"/>
        </w:rPr>
        <w:t xml:space="preserve">4 </w:t>
      </w:r>
      <w:r>
        <w:rPr>
          <w:rFonts w:hint="eastAsia"/>
          <w:sz w:val="24"/>
        </w:rPr>
        <w:t xml:space="preserve"> 正常夯进前应测量管幕钢管中心线的偏差，夯进结束后应进行贯通测量；</w:t>
      </w:r>
    </w:p>
    <w:p>
      <w:pPr>
        <w:spacing w:line="440" w:lineRule="exact"/>
        <w:ind w:firstLine="361" w:firstLineChars="150"/>
        <w:rPr>
          <w:sz w:val="24"/>
        </w:rPr>
      </w:pPr>
      <w:r>
        <w:rPr>
          <w:rFonts w:hint="eastAsia"/>
          <w:b/>
          <w:bCs/>
          <w:sz w:val="24"/>
        </w:rPr>
        <w:t>5</w:t>
      </w:r>
      <w:r>
        <w:rPr>
          <w:rFonts w:hint="eastAsia"/>
          <w:sz w:val="24"/>
        </w:rPr>
        <w:t xml:space="preserve">  夯管过程中应随时观察管幕行进状况，当出现管幕异常、超出允许偏差时，应停止夯进、查明原因，处理后方可继续施工。</w:t>
      </w:r>
    </w:p>
    <w:p>
      <w:pPr>
        <w:spacing w:line="440" w:lineRule="exact"/>
        <w:rPr>
          <w:sz w:val="24"/>
        </w:rPr>
      </w:pPr>
      <w:r>
        <w:rPr>
          <w:rFonts w:hint="eastAsia"/>
          <w:b/>
          <w:bCs/>
          <w:sz w:val="24"/>
        </w:rPr>
        <w:t>7.8.4</w:t>
      </w:r>
      <w:r>
        <w:rPr>
          <w:rFonts w:hint="eastAsia"/>
          <w:sz w:val="24"/>
        </w:rPr>
        <w:t xml:space="preserve"> </w:t>
      </w:r>
      <w:bookmarkStart w:id="106" w:name="_Hlk103463079"/>
      <w:r>
        <w:rPr>
          <w:rFonts w:hint="eastAsia"/>
          <w:sz w:val="24"/>
        </w:rPr>
        <w:t>管幕</w:t>
      </w:r>
      <w:bookmarkStart w:id="107" w:name="_Hlk102941667"/>
      <w:r>
        <w:rPr>
          <w:rFonts w:hint="eastAsia"/>
          <w:sz w:val="24"/>
        </w:rPr>
        <w:t>钻进顶管法</w:t>
      </w:r>
      <w:bookmarkEnd w:id="107"/>
      <w:r>
        <w:rPr>
          <w:rFonts w:hint="eastAsia"/>
          <w:sz w:val="24"/>
        </w:rPr>
        <w:t>施工导向控制与纠偏应符合下列规定：</w:t>
      </w:r>
      <w:bookmarkEnd w:id="106"/>
    </w:p>
    <w:p>
      <w:pPr>
        <w:spacing w:line="440" w:lineRule="exact"/>
        <w:ind w:firstLine="361" w:firstLineChars="150"/>
        <w:rPr>
          <w:sz w:val="24"/>
        </w:rPr>
      </w:pPr>
      <w:bookmarkStart w:id="108" w:name="_Hlk102941401"/>
      <w:r>
        <w:rPr>
          <w:rFonts w:hint="eastAsia"/>
          <w:b/>
          <w:bCs/>
          <w:sz w:val="24"/>
        </w:rPr>
        <w:t>1</w:t>
      </w:r>
      <w:r>
        <w:rPr>
          <w:rFonts w:hint="eastAsia"/>
          <w:sz w:val="24"/>
        </w:rPr>
        <w:t xml:space="preserve">  钻进顶管法管幕钢管施工宜采用光学导向系统；</w:t>
      </w:r>
    </w:p>
    <w:bookmarkEnd w:id="108"/>
    <w:p>
      <w:pPr>
        <w:spacing w:line="440" w:lineRule="exact"/>
        <w:ind w:firstLine="361" w:firstLineChars="150"/>
        <w:rPr>
          <w:sz w:val="24"/>
        </w:rPr>
      </w:pPr>
      <w:r>
        <w:rPr>
          <w:rFonts w:hint="eastAsia"/>
          <w:b/>
          <w:bCs/>
          <w:sz w:val="24"/>
        </w:rPr>
        <w:t>2</w:t>
      </w:r>
      <w:r>
        <w:rPr>
          <w:rFonts w:hint="eastAsia"/>
          <w:sz w:val="24"/>
        </w:rPr>
        <w:t xml:space="preserve">  导向钻杆宜采用八方套的形式连接，并应在连接处插入特质连接销进行加固；</w:t>
      </w:r>
    </w:p>
    <w:p>
      <w:pPr>
        <w:spacing w:line="360" w:lineRule="auto"/>
        <w:ind w:firstLine="361" w:firstLineChars="150"/>
        <w:rPr>
          <w:sz w:val="24"/>
        </w:rPr>
      </w:pPr>
      <w:r>
        <w:rPr>
          <w:rFonts w:hint="eastAsia"/>
          <w:b/>
          <w:bCs/>
          <w:sz w:val="24"/>
        </w:rPr>
        <w:t>3</w:t>
      </w:r>
      <w:r>
        <w:rPr>
          <w:rFonts w:hint="eastAsia"/>
          <w:sz w:val="24"/>
        </w:rPr>
        <w:t xml:space="preserve">  当导向钻头发生偏移时，目标靶的中心点和瞄准光束的十字丝中心点不重合，可旋转导向钻头使导向钻头的斜面向着偏斜的方向，随后可继续顶进导向钻杆，并宜随转随纠。</w:t>
      </w:r>
    </w:p>
    <w:p>
      <w:pPr>
        <w:spacing w:line="360" w:lineRule="auto"/>
        <w:rPr>
          <w:sz w:val="24"/>
        </w:rPr>
      </w:pPr>
      <w:bookmarkStart w:id="109" w:name="_Hlk103463207"/>
      <w:r>
        <w:rPr>
          <w:rFonts w:hint="eastAsia"/>
          <w:b/>
          <w:bCs/>
          <w:sz w:val="24"/>
        </w:rPr>
        <w:t>7.8.5</w:t>
      </w:r>
      <w:r>
        <w:rPr>
          <w:rFonts w:hint="eastAsia"/>
          <w:sz w:val="24"/>
        </w:rPr>
        <w:t>管幕机械顶管法施工导向控制与纠偏应符合下列规定：</w:t>
      </w:r>
      <w:bookmarkEnd w:id="109"/>
    </w:p>
    <w:p>
      <w:pPr>
        <w:pStyle w:val="2"/>
        <w:spacing w:line="360" w:lineRule="auto"/>
        <w:ind w:left="0" w:leftChars="0" w:firstLine="354" w:firstLineChars="147"/>
      </w:pPr>
      <w:r>
        <w:rPr>
          <w:rFonts w:hint="eastAsia"/>
          <w:b/>
          <w:bCs/>
          <w:sz w:val="24"/>
        </w:rPr>
        <w:t>1</w:t>
      </w:r>
      <w:r>
        <w:rPr>
          <w:rFonts w:hint="eastAsia"/>
          <w:sz w:val="24"/>
        </w:rPr>
        <w:t xml:space="preserve">  机械顶管法宜采用激光导向控制系统和液压纠偏系统。</w:t>
      </w:r>
    </w:p>
    <w:p>
      <w:pPr>
        <w:spacing w:line="360" w:lineRule="auto"/>
        <w:ind w:firstLine="361" w:firstLineChars="150"/>
        <w:rPr>
          <w:sz w:val="24"/>
        </w:rPr>
      </w:pPr>
      <w:r>
        <w:rPr>
          <w:rFonts w:hint="eastAsia"/>
          <w:b/>
          <w:bCs/>
          <w:sz w:val="24"/>
        </w:rPr>
        <w:t>2</w:t>
      </w:r>
      <w:r>
        <w:rPr>
          <w:rFonts w:hint="eastAsia"/>
          <w:sz w:val="24"/>
        </w:rPr>
        <w:t xml:space="preserve">  顶管始发掘进和接收掘进时应提前测量顶管机位置和姿态，并将测量数据及时反馈进行调整；</w:t>
      </w:r>
    </w:p>
    <w:p>
      <w:pPr>
        <w:spacing w:line="360" w:lineRule="auto"/>
        <w:ind w:firstLine="361" w:firstLineChars="150"/>
        <w:rPr>
          <w:sz w:val="24"/>
        </w:rPr>
      </w:pPr>
      <w:r>
        <w:rPr>
          <w:rFonts w:hint="eastAsia"/>
          <w:b/>
          <w:bCs/>
          <w:sz w:val="24"/>
        </w:rPr>
        <w:t>3</w:t>
      </w:r>
      <w:r>
        <w:rPr>
          <w:rFonts w:hint="eastAsia"/>
          <w:sz w:val="24"/>
        </w:rPr>
        <w:t xml:space="preserve">  掘进过程中应对顶管水平轴线、高程、偏转、顶管机姿态等进行测量；</w:t>
      </w:r>
    </w:p>
    <w:p>
      <w:pPr>
        <w:spacing w:line="440" w:lineRule="exact"/>
        <w:ind w:firstLine="361" w:firstLineChars="150"/>
        <w:rPr>
          <w:sz w:val="24"/>
        </w:rPr>
      </w:pPr>
      <w:r>
        <w:rPr>
          <w:rFonts w:hint="eastAsia"/>
          <w:b/>
          <w:bCs/>
          <w:sz w:val="24"/>
        </w:rPr>
        <w:t>4</w:t>
      </w:r>
      <w:r>
        <w:rPr>
          <w:rFonts w:hint="eastAsia"/>
          <w:sz w:val="24"/>
        </w:rPr>
        <w:t xml:space="preserve">  应遵循“勤测量、勤纠偏、微纠偏”的原则，应控制顶管机前进方向和姿态，并应根据测量结果分析偏差产生的原因和发展趋势，确定纠偏的措施；</w:t>
      </w:r>
    </w:p>
    <w:p>
      <w:pPr>
        <w:spacing w:line="440" w:lineRule="exact"/>
        <w:ind w:firstLine="361" w:firstLineChars="150"/>
        <w:rPr>
          <w:sz w:val="24"/>
        </w:rPr>
      </w:pPr>
      <w:r>
        <w:rPr>
          <w:rFonts w:hint="eastAsia"/>
          <w:b/>
          <w:bCs/>
          <w:sz w:val="24"/>
        </w:rPr>
        <w:t>5</w:t>
      </w:r>
      <w:r>
        <w:rPr>
          <w:rFonts w:hint="eastAsia"/>
          <w:sz w:val="24"/>
        </w:rPr>
        <w:t xml:space="preserve">  起始纠偏位置和纠偏量应根据土质、管幕及顶管机的特点设定，纠偏角度不宜大于0.5°；</w:t>
      </w:r>
    </w:p>
    <w:p>
      <w:pPr>
        <w:spacing w:line="440" w:lineRule="exact"/>
        <w:ind w:firstLine="361" w:firstLineChars="150"/>
        <w:rPr>
          <w:sz w:val="24"/>
        </w:rPr>
      </w:pPr>
      <w:r>
        <w:rPr>
          <w:rFonts w:hint="eastAsia"/>
          <w:b/>
          <w:bCs/>
          <w:sz w:val="24"/>
        </w:rPr>
        <w:t>6</w:t>
      </w:r>
      <w:r>
        <w:rPr>
          <w:rFonts w:hint="eastAsia"/>
          <w:sz w:val="24"/>
        </w:rPr>
        <w:t xml:space="preserve">  当偏差稳定在±3mm/m时，应停止纠偏；</w:t>
      </w:r>
    </w:p>
    <w:p>
      <w:pPr>
        <w:spacing w:line="440" w:lineRule="exact"/>
        <w:ind w:firstLine="361" w:firstLineChars="150"/>
      </w:pPr>
      <w:r>
        <w:rPr>
          <w:rFonts w:hint="eastAsia"/>
          <w:b/>
          <w:bCs/>
          <w:sz w:val="24"/>
        </w:rPr>
        <w:t xml:space="preserve">7  </w:t>
      </w:r>
      <w:r>
        <w:rPr>
          <w:rFonts w:hint="eastAsia"/>
          <w:bCs/>
          <w:sz w:val="24"/>
        </w:rPr>
        <w:t>纠偏应在管道推进和刀盘旋转的过程中进行。</w:t>
      </w:r>
    </w:p>
    <w:p>
      <w:pPr>
        <w:spacing w:before="156" w:beforeLines="50" w:after="156" w:afterLines="50"/>
        <w:jc w:val="center"/>
        <w:outlineLvl w:val="0"/>
        <w:rPr>
          <w:rFonts w:eastAsia="黑体"/>
          <w:sz w:val="24"/>
        </w:rPr>
      </w:pPr>
      <w:r>
        <w:rPr>
          <w:rFonts w:hint="eastAsia" w:ascii="黑体" w:eastAsia="黑体"/>
          <w:sz w:val="44"/>
        </w:rPr>
        <w:br w:type="page"/>
      </w:r>
      <w:bookmarkStart w:id="110" w:name="_Toc16613"/>
      <w:bookmarkStart w:id="111" w:name="_Toc27396"/>
      <w:r>
        <w:rPr>
          <w:sz w:val="32"/>
          <w:szCs w:val="20"/>
        </w:rPr>
        <w:t>8</w:t>
      </w:r>
      <w:r>
        <w:rPr>
          <w:rFonts w:hint="eastAsia"/>
          <w:sz w:val="32"/>
          <w:szCs w:val="20"/>
        </w:rPr>
        <w:t xml:space="preserve">  管幕钢管填充</w:t>
      </w:r>
      <w:bookmarkEnd w:id="110"/>
      <w:bookmarkEnd w:id="111"/>
    </w:p>
    <w:p>
      <w:pPr>
        <w:spacing w:before="156" w:beforeLines="50" w:after="156" w:afterLines="50" w:line="440" w:lineRule="exact"/>
        <w:jc w:val="center"/>
        <w:outlineLvl w:val="1"/>
        <w:rPr>
          <w:rFonts w:eastAsia="黑体"/>
          <w:sz w:val="24"/>
        </w:rPr>
      </w:pPr>
      <w:bookmarkStart w:id="112" w:name="_Toc4844"/>
      <w:bookmarkStart w:id="113" w:name="_Toc19148"/>
      <w:r>
        <w:rPr>
          <w:rFonts w:hint="eastAsia" w:eastAsia="黑体"/>
          <w:sz w:val="24"/>
        </w:rPr>
        <w:t>8.1  一 般 规 定</w:t>
      </w:r>
      <w:bookmarkEnd w:id="112"/>
      <w:bookmarkEnd w:id="113"/>
    </w:p>
    <w:p>
      <w:pPr>
        <w:spacing w:line="440" w:lineRule="exact"/>
        <w:rPr>
          <w:sz w:val="24"/>
        </w:rPr>
      </w:pPr>
      <w:r>
        <w:rPr>
          <w:rFonts w:hint="eastAsia"/>
          <w:b/>
          <w:bCs/>
          <w:sz w:val="24"/>
        </w:rPr>
        <w:t>8.1.1</w:t>
      </w:r>
      <w:r>
        <w:rPr>
          <w:rFonts w:hint="eastAsia"/>
          <w:sz w:val="24"/>
        </w:rPr>
        <w:t xml:space="preserve">  管幕钢管填充应在管幕顶（托、夯）进到位验收合格后进行。</w:t>
      </w:r>
    </w:p>
    <w:p>
      <w:pPr>
        <w:spacing w:line="440" w:lineRule="exact"/>
        <w:rPr>
          <w:sz w:val="24"/>
        </w:rPr>
      </w:pPr>
      <w:r>
        <w:rPr>
          <w:rFonts w:hint="eastAsia"/>
          <w:b/>
          <w:bCs/>
          <w:sz w:val="24"/>
        </w:rPr>
        <w:t>8.1.2</w:t>
      </w:r>
      <w:r>
        <w:rPr>
          <w:rFonts w:hint="eastAsia"/>
          <w:sz w:val="24"/>
        </w:rPr>
        <w:t xml:space="preserve">  管幕钢管内骨架根据设计要求设置，可采用钢筋笼或内插型钢。</w:t>
      </w:r>
    </w:p>
    <w:p>
      <w:pPr>
        <w:spacing w:line="440" w:lineRule="exact"/>
        <w:rPr>
          <w:sz w:val="24"/>
        </w:rPr>
      </w:pPr>
      <w:r>
        <w:rPr>
          <w:rFonts w:hint="eastAsia"/>
          <w:b/>
          <w:bCs/>
          <w:sz w:val="24"/>
        </w:rPr>
        <w:t>8.1.3</w:t>
      </w:r>
      <w:r>
        <w:rPr>
          <w:rFonts w:hint="eastAsia"/>
          <w:sz w:val="24"/>
        </w:rPr>
        <w:t xml:space="preserve">  管幕钢管填充材料应符合设计文件规定。</w:t>
      </w:r>
    </w:p>
    <w:p>
      <w:pPr>
        <w:spacing w:before="156" w:beforeLines="50" w:after="156" w:afterLines="50" w:line="440" w:lineRule="exact"/>
        <w:jc w:val="center"/>
        <w:outlineLvl w:val="1"/>
        <w:rPr>
          <w:rFonts w:eastAsia="黑体"/>
          <w:sz w:val="24"/>
        </w:rPr>
      </w:pPr>
      <w:bookmarkStart w:id="114" w:name="_Toc20283"/>
      <w:bookmarkStart w:id="115" w:name="_Toc29542"/>
      <w:r>
        <w:rPr>
          <w:rFonts w:hint="eastAsia" w:eastAsia="黑体"/>
          <w:sz w:val="24"/>
        </w:rPr>
        <w:t xml:space="preserve">8.2 </w:t>
      </w:r>
      <w:r>
        <w:rPr>
          <w:rFonts w:eastAsia="黑体"/>
          <w:sz w:val="24"/>
        </w:rPr>
        <w:t xml:space="preserve"> </w:t>
      </w:r>
      <w:r>
        <w:rPr>
          <w:rFonts w:hint="eastAsia" w:eastAsia="黑体"/>
          <w:sz w:val="24"/>
        </w:rPr>
        <w:t>钢管内骨架制作及安装</w:t>
      </w:r>
      <w:bookmarkEnd w:id="114"/>
      <w:bookmarkEnd w:id="115"/>
    </w:p>
    <w:p>
      <w:pPr>
        <w:spacing w:line="440" w:lineRule="exact"/>
        <w:rPr>
          <w:sz w:val="24"/>
        </w:rPr>
      </w:pPr>
      <w:r>
        <w:rPr>
          <w:rFonts w:hint="eastAsia"/>
          <w:b/>
          <w:bCs/>
          <w:sz w:val="24"/>
        </w:rPr>
        <w:t>8.2.1</w:t>
      </w:r>
      <w:r>
        <w:rPr>
          <w:rFonts w:hint="eastAsia"/>
          <w:sz w:val="24"/>
        </w:rPr>
        <w:t xml:space="preserve">  钢筋笼骨架安装主要包括钢筋笼节段起吊就位、孔口接头连接、牵引安装完成并定位。</w:t>
      </w:r>
    </w:p>
    <w:p>
      <w:pPr>
        <w:spacing w:line="440" w:lineRule="exact"/>
        <w:rPr>
          <w:sz w:val="24"/>
        </w:rPr>
      </w:pPr>
      <w:r>
        <w:rPr>
          <w:rFonts w:hint="eastAsia"/>
          <w:b/>
          <w:bCs/>
          <w:sz w:val="24"/>
        </w:rPr>
        <w:t xml:space="preserve">8.2.2  </w:t>
      </w:r>
      <w:r>
        <w:rPr>
          <w:rFonts w:hint="eastAsia"/>
          <w:sz w:val="24"/>
        </w:rPr>
        <w:t>钢筋笼对接接头可采用焊接接头或机械连接接头，除采用一级机械接头外，接头相邻主筋接头应错开35d且不小于500mm。</w:t>
      </w:r>
    </w:p>
    <w:p>
      <w:pPr>
        <w:spacing w:line="440" w:lineRule="exact"/>
        <w:rPr>
          <w:sz w:val="24"/>
        </w:rPr>
      </w:pPr>
      <w:r>
        <w:rPr>
          <w:rFonts w:hint="eastAsia"/>
          <w:b/>
          <w:bCs/>
          <w:sz w:val="24"/>
        </w:rPr>
        <w:t>8.2.3</w:t>
      </w:r>
      <w:r>
        <w:rPr>
          <w:rFonts w:hint="eastAsia"/>
          <w:sz w:val="24"/>
        </w:rPr>
        <w:t xml:space="preserve">  钢筋笼骨架应采用圆形保护层垫块，保护层垫块可兼作钢筋笼拖拉滑块。</w:t>
      </w:r>
    </w:p>
    <w:p>
      <w:pPr>
        <w:spacing w:line="440" w:lineRule="exact"/>
        <w:rPr>
          <w:sz w:val="24"/>
        </w:rPr>
      </w:pPr>
      <w:r>
        <w:rPr>
          <w:rFonts w:hint="eastAsia"/>
          <w:b/>
          <w:bCs/>
          <w:sz w:val="24"/>
        </w:rPr>
        <w:t>8.2.4</w:t>
      </w:r>
      <w:r>
        <w:rPr>
          <w:rFonts w:hint="eastAsia"/>
          <w:sz w:val="24"/>
        </w:rPr>
        <w:t xml:space="preserve">  钢筋笼应逐段连接，宜采用葫芦及牵引绳逐段牵引到位。</w:t>
      </w:r>
    </w:p>
    <w:p>
      <w:pPr>
        <w:spacing w:line="440" w:lineRule="exact"/>
        <w:rPr>
          <w:sz w:val="24"/>
        </w:rPr>
      </w:pPr>
      <w:r>
        <w:rPr>
          <w:rFonts w:hint="eastAsia"/>
          <w:b/>
          <w:bCs/>
          <w:sz w:val="24"/>
        </w:rPr>
        <w:t>8.2.5</w:t>
      </w:r>
      <w:r>
        <w:rPr>
          <w:rFonts w:hint="eastAsia"/>
          <w:sz w:val="24"/>
        </w:rPr>
        <w:t xml:space="preserve">  型钢骨架接头可采用焊接连接或螺栓连接，接头连接应符合设计规定。</w:t>
      </w:r>
    </w:p>
    <w:p>
      <w:pPr>
        <w:spacing w:line="440" w:lineRule="exact"/>
        <w:rPr>
          <w:sz w:val="24"/>
        </w:rPr>
      </w:pPr>
      <w:r>
        <w:rPr>
          <w:rFonts w:hint="eastAsia"/>
          <w:b/>
          <w:bCs/>
          <w:sz w:val="24"/>
        </w:rPr>
        <w:t xml:space="preserve">8.2.6 </w:t>
      </w:r>
      <w:r>
        <w:rPr>
          <w:rFonts w:hint="eastAsia"/>
          <w:sz w:val="24"/>
        </w:rPr>
        <w:t xml:space="preserve"> 型钢骨架逐段连接完成后宜采用液压油缸、葫芦或牵引绳逐段牵引或推拉到位。</w:t>
      </w:r>
    </w:p>
    <w:p>
      <w:pPr>
        <w:spacing w:before="156" w:beforeLines="50" w:after="156" w:afterLines="50" w:line="440" w:lineRule="exact"/>
        <w:jc w:val="center"/>
        <w:outlineLvl w:val="1"/>
        <w:rPr>
          <w:rFonts w:eastAsia="黑体"/>
          <w:sz w:val="24"/>
        </w:rPr>
      </w:pPr>
      <w:bookmarkStart w:id="116" w:name="_Toc21740"/>
      <w:bookmarkStart w:id="117" w:name="_Toc23579"/>
      <w:r>
        <w:rPr>
          <w:rFonts w:hint="eastAsia" w:eastAsia="黑体"/>
          <w:sz w:val="24"/>
        </w:rPr>
        <w:t>8.3  管幕钢管填充</w:t>
      </w:r>
      <w:bookmarkEnd w:id="116"/>
      <w:bookmarkEnd w:id="117"/>
    </w:p>
    <w:p>
      <w:pPr>
        <w:spacing w:line="440" w:lineRule="exact"/>
        <w:rPr>
          <w:strike/>
          <w:sz w:val="24"/>
        </w:rPr>
      </w:pPr>
      <w:r>
        <w:rPr>
          <w:b/>
          <w:bCs/>
          <w:sz w:val="24"/>
        </w:rPr>
        <w:t>8.3.1</w:t>
      </w:r>
      <w:r>
        <w:rPr>
          <w:rFonts w:hint="eastAsia"/>
          <w:sz w:val="24"/>
        </w:rPr>
        <w:t xml:space="preserve">  钢管填充注浆应采用后退式反压灌注法灌注，管口设置封堵板、灌浆孔、溢浆孔或排气孔，并控制灌浆压力。</w:t>
      </w:r>
    </w:p>
    <w:p>
      <w:pPr>
        <w:spacing w:line="440" w:lineRule="exact"/>
        <w:rPr>
          <w:sz w:val="24"/>
        </w:rPr>
      </w:pPr>
      <w:r>
        <w:rPr>
          <w:rFonts w:hint="eastAsia"/>
          <w:b/>
          <w:bCs/>
          <w:sz w:val="24"/>
        </w:rPr>
        <w:t>8.3.</w:t>
      </w:r>
      <w:r>
        <w:rPr>
          <w:b/>
          <w:bCs/>
          <w:sz w:val="24"/>
        </w:rPr>
        <w:t>2</w:t>
      </w:r>
      <w:r>
        <w:rPr>
          <w:rFonts w:hint="eastAsia"/>
          <w:sz w:val="24"/>
        </w:rPr>
        <w:t xml:space="preserve">  封孔钢板与钢管端面应满焊（单面角焊缝），焊缝应符合设计文件规定；封孔钢板上应预留压浆孔及混凝土灌注孔，压浆孔直径应不小于25mm，混凝土灌注孔直径应不小于150mm。</w:t>
      </w:r>
    </w:p>
    <w:p>
      <w:pPr>
        <w:spacing w:line="440" w:lineRule="exact"/>
        <w:rPr>
          <w:sz w:val="24"/>
        </w:rPr>
      </w:pPr>
      <w:r>
        <w:rPr>
          <w:rFonts w:hint="eastAsia"/>
          <w:b/>
          <w:bCs/>
          <w:sz w:val="24"/>
        </w:rPr>
        <w:t>8.3.3</w:t>
      </w:r>
      <w:r>
        <w:rPr>
          <w:rFonts w:hint="eastAsia"/>
          <w:sz w:val="24"/>
        </w:rPr>
        <w:t xml:space="preserve">  压浆管可采用两通无缝钢管，水平方向为注浆孔、竖直方向为排气管（观察孔）。</w:t>
      </w:r>
    </w:p>
    <w:p>
      <w:pPr>
        <w:spacing w:line="440" w:lineRule="exact"/>
        <w:rPr>
          <w:sz w:val="24"/>
        </w:rPr>
      </w:pPr>
      <w:r>
        <w:rPr>
          <w:rFonts w:hint="eastAsia"/>
          <w:b/>
          <w:bCs/>
          <w:sz w:val="24"/>
        </w:rPr>
        <w:t>8.3.4</w:t>
      </w:r>
      <w:r>
        <w:rPr>
          <w:rFonts w:hint="eastAsia"/>
          <w:sz w:val="24"/>
        </w:rPr>
        <w:t xml:space="preserve">  钢管内注浆应符合下列规定：</w:t>
      </w:r>
    </w:p>
    <w:p>
      <w:pPr>
        <w:spacing w:line="440" w:lineRule="exact"/>
        <w:ind w:firstLine="480" w:firstLineChars="200"/>
        <w:rPr>
          <w:sz w:val="24"/>
        </w:rPr>
      </w:pPr>
      <w:r>
        <w:rPr>
          <w:sz w:val="24"/>
        </w:rPr>
        <w:t xml:space="preserve">1  </w:t>
      </w:r>
      <w:r>
        <w:rPr>
          <w:rFonts w:hint="eastAsia"/>
          <w:sz w:val="24"/>
        </w:rPr>
        <w:t>管内注浆应采用水泥浆，水灰比应符合按设计规定；</w:t>
      </w:r>
    </w:p>
    <w:p>
      <w:pPr>
        <w:spacing w:line="440" w:lineRule="exact"/>
        <w:ind w:firstLine="480" w:firstLineChars="200"/>
        <w:rPr>
          <w:sz w:val="24"/>
        </w:rPr>
      </w:pPr>
      <w:r>
        <w:rPr>
          <w:sz w:val="24"/>
        </w:rPr>
        <w:t xml:space="preserve">2  </w:t>
      </w:r>
      <w:r>
        <w:rPr>
          <w:rFonts w:hint="eastAsia"/>
          <w:sz w:val="24"/>
        </w:rPr>
        <w:t>应从注浆孔注入水泥浆液（水泥砂浆），流至钢管末端，钢管填充满后浆液从排气管中溢出；</w:t>
      </w:r>
    </w:p>
    <w:p>
      <w:pPr>
        <w:spacing w:line="440" w:lineRule="exact"/>
        <w:ind w:firstLine="480" w:firstLineChars="200"/>
        <w:rPr>
          <w:sz w:val="24"/>
        </w:rPr>
      </w:pPr>
      <w:r>
        <w:rPr>
          <w:sz w:val="24"/>
        </w:rPr>
        <w:t xml:space="preserve">3  </w:t>
      </w:r>
      <w:r>
        <w:rPr>
          <w:rFonts w:hint="eastAsia"/>
          <w:sz w:val="24"/>
        </w:rPr>
        <w:t>关闭排气管阀门，进行一定压力条件下的补注浆注浆压力0.3~0.5MPa，保证管内充盈和浆液饱满；</w:t>
      </w:r>
    </w:p>
    <w:p>
      <w:pPr>
        <w:spacing w:line="440" w:lineRule="exact"/>
        <w:ind w:firstLine="480" w:firstLineChars="200"/>
        <w:rPr>
          <w:sz w:val="24"/>
        </w:rPr>
      </w:pPr>
      <w:r>
        <w:rPr>
          <w:sz w:val="24"/>
        </w:rPr>
        <w:t xml:space="preserve">4  </w:t>
      </w:r>
      <w:r>
        <w:rPr>
          <w:rFonts w:hint="eastAsia"/>
          <w:sz w:val="24"/>
        </w:rPr>
        <w:t>一次注浆完毕后，可根据需要在24小时后进行管内二次补浆；</w:t>
      </w:r>
    </w:p>
    <w:p>
      <w:pPr>
        <w:spacing w:line="440" w:lineRule="exact"/>
        <w:ind w:firstLine="480" w:firstLineChars="200"/>
        <w:rPr>
          <w:sz w:val="24"/>
        </w:rPr>
      </w:pPr>
      <w:r>
        <w:rPr>
          <w:sz w:val="24"/>
        </w:rPr>
        <w:t xml:space="preserve">5  </w:t>
      </w:r>
      <w:r>
        <w:rPr>
          <w:rFonts w:hint="eastAsia"/>
          <w:sz w:val="24"/>
        </w:rPr>
        <w:t>注浆浆液（水泥砂浆）应按要求留置强度试块。</w:t>
      </w:r>
    </w:p>
    <w:p>
      <w:pPr>
        <w:spacing w:line="440" w:lineRule="exact"/>
        <w:rPr>
          <w:sz w:val="24"/>
        </w:rPr>
      </w:pPr>
      <w:r>
        <w:rPr>
          <w:rFonts w:hint="eastAsia"/>
          <w:b/>
          <w:bCs/>
          <w:sz w:val="24"/>
        </w:rPr>
        <w:t>8.3.5</w:t>
      </w:r>
      <w:r>
        <w:rPr>
          <w:rFonts w:hint="eastAsia"/>
          <w:sz w:val="24"/>
        </w:rPr>
        <w:t xml:space="preserve">  管内填充混凝土应采用无收缩自密实混凝土，混凝土配合比、原材料应符合设计规定。</w:t>
      </w:r>
    </w:p>
    <w:p>
      <w:pPr>
        <w:spacing w:line="440" w:lineRule="exact"/>
        <w:rPr>
          <w:sz w:val="24"/>
        </w:rPr>
      </w:pPr>
      <w:r>
        <w:rPr>
          <w:rFonts w:hint="eastAsia"/>
          <w:b/>
          <w:bCs/>
          <w:sz w:val="24"/>
        </w:rPr>
        <w:t>8.3.6</w:t>
      </w:r>
      <w:r>
        <w:rPr>
          <w:rFonts w:hint="eastAsia"/>
          <w:sz w:val="24"/>
        </w:rPr>
        <w:t xml:space="preserve">  填充混凝土时，灌注管设置应在钢管低端、排气管设置应在钢管高端，单根管混凝土应连续灌注完成，灌注过程中混凝土应按要求留置强度试块。</w:t>
      </w:r>
    </w:p>
    <w:p>
      <w:pPr>
        <w:spacing w:line="440" w:lineRule="exact"/>
        <w:rPr>
          <w:sz w:val="24"/>
        </w:rPr>
      </w:pPr>
      <w:r>
        <w:rPr>
          <w:rFonts w:hint="eastAsia"/>
          <w:b/>
          <w:bCs/>
          <w:sz w:val="24"/>
        </w:rPr>
        <w:t>8.3.7</w:t>
      </w:r>
      <w:r>
        <w:rPr>
          <w:rFonts w:hint="eastAsia"/>
          <w:sz w:val="24"/>
        </w:rPr>
        <w:t xml:space="preserve">  无接收管幕钢管内采用混凝土填充应在管内设置灌注导管由内而外填充，并应符合下列规定：</w:t>
      </w:r>
    </w:p>
    <w:p>
      <w:pPr>
        <w:spacing w:line="440" w:lineRule="exact"/>
        <w:ind w:firstLine="361" w:firstLineChars="150"/>
        <w:rPr>
          <w:sz w:val="24"/>
        </w:rPr>
      </w:pPr>
      <w:r>
        <w:rPr>
          <w:rFonts w:hint="eastAsia"/>
          <w:b/>
          <w:bCs/>
          <w:sz w:val="24"/>
        </w:rPr>
        <w:t>1</w:t>
      </w:r>
      <w:r>
        <w:rPr>
          <w:rFonts w:hint="eastAsia"/>
          <w:sz w:val="24"/>
        </w:rPr>
        <w:t xml:space="preserve">  灌注导管宜选用无缝钢管或PPR上水管，导管管径宜为管幕钢管管径的0.2~0.3倍，壁厚不应小于4mm；</w:t>
      </w:r>
    </w:p>
    <w:p>
      <w:pPr>
        <w:spacing w:line="440" w:lineRule="exact"/>
        <w:ind w:firstLine="361" w:firstLineChars="150"/>
        <w:rPr>
          <w:sz w:val="24"/>
        </w:rPr>
      </w:pPr>
      <w:r>
        <w:rPr>
          <w:rFonts w:hint="eastAsia"/>
          <w:b/>
          <w:bCs/>
          <w:sz w:val="24"/>
        </w:rPr>
        <w:t>2</w:t>
      </w:r>
      <w:r>
        <w:rPr>
          <w:rFonts w:hint="eastAsia"/>
          <w:sz w:val="24"/>
        </w:rPr>
        <w:t xml:space="preserve">  灌注长度≤30m时，导管插入长度宜为管幕长度的65~75%，可采用后退式或埋入式填充灌注； </w:t>
      </w:r>
    </w:p>
    <w:p>
      <w:pPr>
        <w:spacing w:line="440" w:lineRule="exact"/>
        <w:ind w:firstLine="361" w:firstLineChars="150"/>
        <w:rPr>
          <w:sz w:val="24"/>
        </w:rPr>
      </w:pPr>
      <w:r>
        <w:rPr>
          <w:rFonts w:hint="eastAsia"/>
          <w:b/>
          <w:bCs/>
          <w:sz w:val="24"/>
        </w:rPr>
        <w:t>3</w:t>
      </w:r>
      <w:r>
        <w:rPr>
          <w:rFonts w:hint="eastAsia"/>
          <w:sz w:val="24"/>
        </w:rPr>
        <w:t xml:space="preserve">  灌注长度＞30m时，导管长度宜为管幕长度的75~85%，宜采用后退式灌注，后退长度不应小于管幕钢管长度的40~50%；</w:t>
      </w:r>
    </w:p>
    <w:p>
      <w:pPr>
        <w:spacing w:line="440" w:lineRule="exact"/>
        <w:ind w:firstLine="361" w:firstLineChars="150"/>
        <w:rPr>
          <w:sz w:val="24"/>
        </w:rPr>
      </w:pPr>
      <w:r>
        <w:rPr>
          <w:rFonts w:hint="eastAsia"/>
          <w:b/>
          <w:bCs/>
          <w:sz w:val="24"/>
        </w:rPr>
        <w:t>4</w:t>
      </w:r>
      <w:r>
        <w:rPr>
          <w:rFonts w:hint="eastAsia"/>
          <w:sz w:val="24"/>
        </w:rPr>
        <w:t xml:space="preserve">  管幕管口上方应设置排气管，排气管高度不应小于10cm，管径不应小于50mm，排气管不应安装阀门；</w:t>
      </w:r>
    </w:p>
    <w:p>
      <w:pPr>
        <w:spacing w:before="156" w:beforeLines="50" w:after="156" w:afterLines="50" w:line="440" w:lineRule="exact"/>
        <w:jc w:val="center"/>
        <w:outlineLvl w:val="1"/>
        <w:rPr>
          <w:rFonts w:eastAsia="黑体"/>
          <w:sz w:val="24"/>
        </w:rPr>
      </w:pPr>
      <w:bookmarkStart w:id="118" w:name="_Toc20463"/>
      <w:bookmarkStart w:id="119" w:name="_Toc6689"/>
      <w:r>
        <w:rPr>
          <w:rFonts w:hint="eastAsia" w:eastAsia="黑体"/>
          <w:sz w:val="24"/>
        </w:rPr>
        <w:t>8.4  管幕钢管壁后注浆</w:t>
      </w:r>
      <w:bookmarkEnd w:id="118"/>
      <w:bookmarkEnd w:id="119"/>
    </w:p>
    <w:p>
      <w:pPr>
        <w:spacing w:line="440" w:lineRule="exact"/>
        <w:rPr>
          <w:sz w:val="24"/>
        </w:rPr>
      </w:pPr>
      <w:r>
        <w:rPr>
          <w:rFonts w:hint="eastAsia"/>
          <w:b/>
          <w:bCs/>
          <w:sz w:val="24"/>
        </w:rPr>
        <w:t>8.4.1</w:t>
      </w:r>
      <w:r>
        <w:rPr>
          <w:rFonts w:hint="eastAsia"/>
          <w:sz w:val="24"/>
        </w:rPr>
        <w:t xml:space="preserve">  钢管壁后注浆应紧跟工作面进行，管幕钢管壁后注浆应确保钢管顶进后周边地层空隙及时填充。</w:t>
      </w:r>
    </w:p>
    <w:p>
      <w:pPr>
        <w:spacing w:line="440" w:lineRule="exact"/>
        <w:rPr>
          <w:sz w:val="24"/>
        </w:rPr>
      </w:pPr>
      <w:r>
        <w:rPr>
          <w:rFonts w:hint="eastAsia"/>
          <w:b/>
          <w:bCs/>
          <w:sz w:val="24"/>
        </w:rPr>
        <w:t>8.4.2</w:t>
      </w:r>
      <w:r>
        <w:rPr>
          <w:rFonts w:hint="eastAsia"/>
          <w:sz w:val="24"/>
        </w:rPr>
        <w:t xml:space="preserve">  应利用焊接于管幕钢管外侧的注浆管进行注浆，注浆应为渗透充填注浆、浆液配合比、注浆压力、注浆量应符合设计规定。</w:t>
      </w:r>
    </w:p>
    <w:p>
      <w:pPr>
        <w:spacing w:line="440" w:lineRule="exact"/>
        <w:rPr>
          <w:sz w:val="24"/>
        </w:rPr>
      </w:pPr>
      <w:r>
        <w:rPr>
          <w:b/>
          <w:bCs/>
          <w:sz w:val="24"/>
        </w:rPr>
        <w:t>8.4.3</w:t>
      </w:r>
      <w:r>
        <w:rPr>
          <w:rFonts w:hint="eastAsia"/>
          <w:sz w:val="24"/>
        </w:rPr>
        <w:t xml:space="preserve">  钢管壁后注浆应通过实验确定注浆参数，注浆前应对管口周围有效封堵止浆，应采用低压反复多次注浆方式，注浆量不宜小于理论注浆量的1.2倍。</w:t>
      </w:r>
    </w:p>
    <w:p>
      <w:pPr>
        <w:spacing w:line="440" w:lineRule="exact"/>
        <w:rPr>
          <w:rStyle w:val="22"/>
        </w:rPr>
      </w:pPr>
      <w:r>
        <w:rPr>
          <w:rFonts w:hint="eastAsia"/>
          <w:b/>
          <w:bCs/>
          <w:sz w:val="24"/>
        </w:rPr>
        <w:t>8.4.4</w:t>
      </w:r>
      <w:r>
        <w:rPr>
          <w:rFonts w:hint="eastAsia"/>
          <w:sz w:val="24"/>
        </w:rPr>
        <w:t xml:space="preserve">  注浆管注浆孔打设宜为注浆管管径的0.2~0.3倍，纵向间距宜为1.5~2m，环向打设应不少于3个，梅花形布置。</w:t>
      </w:r>
    </w:p>
    <w:p>
      <w:pPr>
        <w:spacing w:line="440" w:lineRule="exact"/>
        <w:rPr>
          <w:sz w:val="24"/>
        </w:rPr>
      </w:pPr>
      <w:r>
        <w:rPr>
          <w:rFonts w:hint="eastAsia"/>
          <w:b/>
          <w:bCs/>
          <w:sz w:val="24"/>
        </w:rPr>
        <w:t>8.4.</w:t>
      </w:r>
      <w:r>
        <w:rPr>
          <w:b/>
          <w:bCs/>
          <w:sz w:val="24"/>
        </w:rPr>
        <w:t>5</w:t>
      </w:r>
      <w:r>
        <w:rPr>
          <w:rFonts w:hint="eastAsia"/>
          <w:sz w:val="24"/>
        </w:rPr>
        <w:t xml:space="preserve">  注浆过程应做好注浆记录。</w:t>
      </w:r>
    </w:p>
    <w:p>
      <w:pPr>
        <w:pStyle w:val="2"/>
      </w:pPr>
    </w:p>
    <w:p>
      <w:pPr>
        <w:rPr>
          <w:sz w:val="24"/>
        </w:rPr>
      </w:pPr>
      <w:r>
        <w:rPr>
          <w:rFonts w:hint="eastAsia"/>
          <w:sz w:val="24"/>
        </w:rPr>
        <w:br w:type="page"/>
      </w:r>
    </w:p>
    <w:p>
      <w:pPr>
        <w:spacing w:before="156" w:beforeLines="50" w:after="156" w:afterLines="50"/>
        <w:jc w:val="center"/>
        <w:outlineLvl w:val="0"/>
        <w:rPr>
          <w:sz w:val="32"/>
          <w:szCs w:val="20"/>
        </w:rPr>
      </w:pPr>
      <w:bookmarkStart w:id="120" w:name="_Toc22675"/>
      <w:bookmarkStart w:id="121" w:name="_Toc18132"/>
      <w:bookmarkStart w:id="122" w:name="_Toc103257188"/>
      <w:r>
        <w:rPr>
          <w:rFonts w:hint="eastAsia"/>
          <w:sz w:val="32"/>
          <w:szCs w:val="20"/>
        </w:rPr>
        <w:t>9  施工监测</w:t>
      </w:r>
      <w:bookmarkEnd w:id="120"/>
      <w:bookmarkEnd w:id="121"/>
      <w:bookmarkEnd w:id="122"/>
    </w:p>
    <w:p>
      <w:pPr>
        <w:spacing w:before="156" w:beforeLines="50" w:after="156" w:afterLines="50" w:line="440" w:lineRule="exact"/>
        <w:jc w:val="center"/>
        <w:outlineLvl w:val="1"/>
        <w:rPr>
          <w:rFonts w:eastAsia="黑体"/>
          <w:sz w:val="24"/>
        </w:rPr>
      </w:pPr>
      <w:bookmarkStart w:id="123" w:name="_Toc20700"/>
      <w:bookmarkStart w:id="124" w:name="_Toc17861"/>
      <w:r>
        <w:rPr>
          <w:rFonts w:hint="eastAsia" w:eastAsia="黑体"/>
          <w:sz w:val="24"/>
        </w:rPr>
        <w:t>9.1  一</w:t>
      </w:r>
      <w:r>
        <w:rPr>
          <w:rFonts w:hint="eastAsia" w:eastAsia="黑体"/>
          <w:sz w:val="24"/>
          <w:lang w:val="en-US" w:eastAsia="zh-CN"/>
        </w:rPr>
        <w:t xml:space="preserve"> </w:t>
      </w:r>
      <w:r>
        <w:rPr>
          <w:rFonts w:hint="eastAsia" w:eastAsia="黑体"/>
          <w:sz w:val="24"/>
        </w:rPr>
        <w:t>般</w:t>
      </w:r>
      <w:r>
        <w:rPr>
          <w:rFonts w:hint="eastAsia" w:eastAsia="黑体"/>
          <w:sz w:val="24"/>
          <w:lang w:val="en-US" w:eastAsia="zh-CN"/>
        </w:rPr>
        <w:t xml:space="preserve"> </w:t>
      </w:r>
      <w:r>
        <w:rPr>
          <w:rFonts w:hint="eastAsia" w:eastAsia="黑体"/>
          <w:sz w:val="24"/>
        </w:rPr>
        <w:t>规</w:t>
      </w:r>
      <w:r>
        <w:rPr>
          <w:rFonts w:hint="eastAsia" w:eastAsia="黑体"/>
          <w:sz w:val="24"/>
          <w:lang w:val="en-US" w:eastAsia="zh-CN"/>
        </w:rPr>
        <w:t xml:space="preserve"> </w:t>
      </w:r>
      <w:r>
        <w:rPr>
          <w:rFonts w:hint="eastAsia" w:eastAsia="黑体"/>
          <w:sz w:val="24"/>
        </w:rPr>
        <w:t>定</w:t>
      </w:r>
      <w:bookmarkEnd w:id="123"/>
      <w:bookmarkEnd w:id="124"/>
    </w:p>
    <w:p>
      <w:pPr>
        <w:spacing w:line="360" w:lineRule="auto"/>
        <w:rPr>
          <w:sz w:val="24"/>
        </w:rPr>
      </w:pPr>
      <w:r>
        <w:rPr>
          <w:rFonts w:hint="eastAsia"/>
          <w:b/>
          <w:bCs/>
          <w:sz w:val="24"/>
        </w:rPr>
        <w:t>9.1.1</w:t>
      </w:r>
      <w:r>
        <w:rPr>
          <w:rFonts w:hint="eastAsia"/>
          <w:sz w:val="24"/>
        </w:rPr>
        <w:t xml:space="preserve">  施工前应根据设计文件、施工环境、工程地质和水文地质条件等编制监测专项方案；施工中应依据专项方案进行监测，并应根据监测结果指导施工。</w:t>
      </w:r>
    </w:p>
    <w:p>
      <w:pPr>
        <w:snapToGrid w:val="0"/>
        <w:spacing w:line="360" w:lineRule="auto"/>
        <w:rPr>
          <w:sz w:val="24"/>
        </w:rPr>
      </w:pPr>
      <w:r>
        <w:rPr>
          <w:b/>
          <w:bCs/>
          <w:sz w:val="24"/>
        </w:rPr>
        <w:t>9.1.2</w:t>
      </w:r>
      <w:r>
        <w:rPr>
          <w:sz w:val="24"/>
        </w:rPr>
        <w:t xml:space="preserve"> </w:t>
      </w:r>
      <w:r>
        <w:rPr>
          <w:rFonts w:hint="eastAsia"/>
          <w:sz w:val="24"/>
        </w:rPr>
        <w:t xml:space="preserve"> 施工过程中应根据监测方案中监测频率的要求，并应结合施工进度及时进行现场监测和巡查，必要时可提高监测和巡查频率。</w:t>
      </w:r>
    </w:p>
    <w:p>
      <w:pPr>
        <w:snapToGrid w:val="0"/>
        <w:spacing w:line="360" w:lineRule="auto"/>
        <w:rPr>
          <w:rFonts w:ascii="宋体" w:hAnsi="宋体"/>
          <w:sz w:val="24"/>
        </w:rPr>
      </w:pPr>
      <w:r>
        <w:rPr>
          <w:b/>
          <w:bCs/>
          <w:sz w:val="24"/>
        </w:rPr>
        <w:t>9.1.3</w:t>
      </w:r>
      <w:r>
        <w:rPr>
          <w:sz w:val="24"/>
        </w:rPr>
        <w:t xml:space="preserve"> </w:t>
      </w:r>
      <w:r>
        <w:rPr>
          <w:rFonts w:hint="eastAsia"/>
          <w:sz w:val="24"/>
        </w:rPr>
        <w:t xml:space="preserve"> 监测数据和巡查信息应真实、准确、完整；监测数据及巡查信息应及时整理、分析，评价工程安全状况，编制成果报告，并应及时反馈</w:t>
      </w:r>
      <w:r>
        <w:rPr>
          <w:rFonts w:hint="eastAsia" w:ascii="宋体" w:hAnsi="宋体"/>
          <w:sz w:val="24"/>
        </w:rPr>
        <w:t>参建相关方。</w:t>
      </w:r>
    </w:p>
    <w:p>
      <w:pPr>
        <w:spacing w:line="440" w:lineRule="exact"/>
        <w:rPr>
          <w:sz w:val="24"/>
        </w:rPr>
      </w:pPr>
      <w:r>
        <w:rPr>
          <w:rFonts w:hint="eastAsia"/>
          <w:b/>
          <w:bCs/>
          <w:sz w:val="24"/>
        </w:rPr>
        <w:t>9.1.</w:t>
      </w:r>
      <w:r>
        <w:rPr>
          <w:b/>
          <w:bCs/>
          <w:sz w:val="24"/>
        </w:rPr>
        <w:t>4</w:t>
      </w:r>
      <w:r>
        <w:rPr>
          <w:rFonts w:hint="eastAsia"/>
          <w:b/>
          <w:bCs/>
          <w:sz w:val="24"/>
        </w:rPr>
        <w:t xml:space="preserve">  </w:t>
      </w:r>
      <w:r>
        <w:rPr>
          <w:rFonts w:hint="eastAsia"/>
          <w:sz w:val="24"/>
        </w:rPr>
        <w:t>管幕法施工监测应与相对应的土方和结构工程施工监测相结合。</w:t>
      </w:r>
    </w:p>
    <w:p>
      <w:pPr>
        <w:spacing w:line="440" w:lineRule="exact"/>
        <w:rPr>
          <w:sz w:val="24"/>
        </w:rPr>
      </w:pPr>
      <w:r>
        <w:rPr>
          <w:rFonts w:hint="eastAsia"/>
          <w:b/>
          <w:bCs/>
          <w:sz w:val="24"/>
        </w:rPr>
        <w:t>9.1.</w:t>
      </w:r>
      <w:r>
        <w:rPr>
          <w:b/>
          <w:bCs/>
          <w:sz w:val="24"/>
        </w:rPr>
        <w:t>5</w:t>
      </w:r>
      <w:r>
        <w:rPr>
          <w:rFonts w:hint="eastAsia"/>
          <w:sz w:val="24"/>
        </w:rPr>
        <w:t xml:space="preserve">  管幕法施工监测除应符合本章规定外，还应符合现行国家标准</w:t>
      </w:r>
      <w:bookmarkStart w:id="125" w:name="_Hlk103429773"/>
      <w:r>
        <w:rPr>
          <w:rFonts w:hint="eastAsia"/>
          <w:sz w:val="24"/>
        </w:rPr>
        <w:t>《建筑基坑工程监测技术规范》GB50497</w:t>
      </w:r>
      <w:bookmarkEnd w:id="125"/>
      <w:r>
        <w:rPr>
          <w:rFonts w:hint="eastAsia"/>
          <w:sz w:val="24"/>
        </w:rPr>
        <w:t>及《城市轨道交通工程监测技术规范》GB50911的规定。</w:t>
      </w:r>
    </w:p>
    <w:p>
      <w:pPr>
        <w:spacing w:before="156" w:beforeLines="50" w:after="156" w:afterLines="50" w:line="440" w:lineRule="exact"/>
        <w:jc w:val="center"/>
        <w:outlineLvl w:val="1"/>
        <w:rPr>
          <w:rFonts w:eastAsia="黑体"/>
          <w:sz w:val="24"/>
        </w:rPr>
      </w:pPr>
      <w:bookmarkStart w:id="126" w:name="_Toc3013"/>
      <w:bookmarkStart w:id="127" w:name="_Toc13716"/>
      <w:r>
        <w:rPr>
          <w:rFonts w:hint="eastAsia" w:eastAsia="黑体"/>
          <w:sz w:val="24"/>
        </w:rPr>
        <w:t>9.2  监测项目及要求</w:t>
      </w:r>
      <w:bookmarkEnd w:id="126"/>
      <w:bookmarkEnd w:id="127"/>
    </w:p>
    <w:p>
      <w:pPr>
        <w:spacing w:line="440" w:lineRule="exact"/>
        <w:rPr>
          <w:sz w:val="24"/>
        </w:rPr>
      </w:pPr>
      <w:r>
        <w:rPr>
          <w:rFonts w:hint="eastAsia"/>
          <w:b/>
          <w:bCs/>
          <w:sz w:val="24"/>
        </w:rPr>
        <w:t>9.2.1</w:t>
      </w:r>
      <w:r>
        <w:rPr>
          <w:rFonts w:hint="eastAsia"/>
          <w:sz w:val="24"/>
        </w:rPr>
        <w:t xml:space="preserve">  工作井结构施工期监测应符合现行国家标准《建筑基坑工程监测技术规范》GB50497的规定；其他洞室结构施工期监测应符合现行国家标准《城市轨道交通工程监测技术规范》GB50911的规定。</w:t>
      </w:r>
    </w:p>
    <w:p>
      <w:pPr>
        <w:spacing w:line="440" w:lineRule="exact"/>
        <w:rPr>
          <w:sz w:val="24"/>
        </w:rPr>
      </w:pPr>
      <w:r>
        <w:rPr>
          <w:rFonts w:hint="eastAsia"/>
          <w:b/>
          <w:bCs/>
          <w:sz w:val="24"/>
        </w:rPr>
        <w:t>9.2.2</w:t>
      </w:r>
      <w:r>
        <w:rPr>
          <w:rFonts w:hint="eastAsia"/>
          <w:sz w:val="24"/>
        </w:rPr>
        <w:t xml:space="preserve">  管幕结构施工期监测应符合下列规定：</w:t>
      </w:r>
    </w:p>
    <w:p>
      <w:pPr>
        <w:spacing w:line="440" w:lineRule="exact"/>
        <w:ind w:firstLine="360" w:firstLineChars="150"/>
        <w:rPr>
          <w:sz w:val="24"/>
        </w:rPr>
      </w:pPr>
      <w:r>
        <w:rPr>
          <w:rFonts w:hint="eastAsia"/>
          <w:sz w:val="24"/>
        </w:rPr>
        <w:t>1  管幕结构施工期监测项目除应对本规程第9</w:t>
      </w:r>
      <w:r>
        <w:rPr>
          <w:sz w:val="24"/>
        </w:rPr>
        <w:t>.2.1</w:t>
      </w:r>
      <w:r>
        <w:rPr>
          <w:rFonts w:hint="eastAsia"/>
          <w:sz w:val="24"/>
        </w:rPr>
        <w:t>条规定的监测项目继续进行监测外，尚应符合表9</w:t>
      </w:r>
      <w:r>
        <w:rPr>
          <w:sz w:val="24"/>
        </w:rPr>
        <w:t>.2.2</w:t>
      </w:r>
      <w:r>
        <w:rPr>
          <w:rFonts w:hint="eastAsia"/>
          <w:sz w:val="24"/>
        </w:rPr>
        <w:t>的规定，并应符合设计规定；</w:t>
      </w:r>
    </w:p>
    <w:p>
      <w:pPr>
        <w:spacing w:before="156" w:beforeLines="50"/>
        <w:jc w:val="center"/>
        <w:rPr>
          <w:rFonts w:eastAsia="黑体"/>
          <w:bCs/>
          <w:kern w:val="0"/>
          <w:szCs w:val="21"/>
        </w:rPr>
      </w:pPr>
      <w:r>
        <w:rPr>
          <w:rFonts w:hint="eastAsia" w:eastAsia="黑体"/>
          <w:bCs/>
          <w:kern w:val="0"/>
          <w:szCs w:val="21"/>
        </w:rPr>
        <w:t>表9.2.2  管幕结构施工期监测项目</w:t>
      </w:r>
    </w:p>
    <w:tbl>
      <w:tblPr>
        <w:tblStyle w:val="18"/>
        <w:tblW w:w="4136" w:type="pct"/>
        <w:tblInd w:w="1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4656"/>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46" w:type="pct"/>
            <w:shd w:val="clear" w:color="auto" w:fill="auto"/>
            <w:noWrap/>
            <w:vAlign w:val="center"/>
          </w:tcPr>
          <w:p>
            <w:pPr>
              <w:jc w:val="center"/>
              <w:rPr>
                <w:bCs/>
                <w:sz w:val="20"/>
                <w:szCs w:val="20"/>
              </w:rPr>
            </w:pPr>
            <w:r>
              <w:rPr>
                <w:rFonts w:hint="eastAsia"/>
                <w:bCs/>
                <w:sz w:val="20"/>
                <w:szCs w:val="20"/>
              </w:rPr>
              <w:t>序号</w:t>
            </w:r>
          </w:p>
        </w:tc>
        <w:tc>
          <w:tcPr>
            <w:tcW w:w="3300" w:type="pct"/>
            <w:shd w:val="clear" w:color="auto" w:fill="auto"/>
            <w:noWrap/>
            <w:vAlign w:val="center"/>
          </w:tcPr>
          <w:p>
            <w:pPr>
              <w:jc w:val="center"/>
              <w:rPr>
                <w:bCs/>
                <w:sz w:val="20"/>
                <w:szCs w:val="20"/>
              </w:rPr>
            </w:pPr>
            <w:r>
              <w:rPr>
                <w:rFonts w:hint="eastAsia"/>
                <w:bCs/>
                <w:sz w:val="20"/>
                <w:szCs w:val="20"/>
              </w:rPr>
              <w:t>监测项目</w:t>
            </w:r>
          </w:p>
        </w:tc>
        <w:tc>
          <w:tcPr>
            <w:tcW w:w="1155" w:type="pct"/>
          </w:tcPr>
          <w:p>
            <w:pPr>
              <w:jc w:val="center"/>
              <w:rPr>
                <w:bCs/>
                <w:sz w:val="20"/>
                <w:szCs w:val="20"/>
              </w:rPr>
            </w:pPr>
            <w:r>
              <w:rPr>
                <w:rFonts w:hint="eastAsia"/>
                <w:bCs/>
                <w:sz w:val="20"/>
                <w:szCs w:val="20"/>
              </w:rPr>
              <w:t>监测要求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6" w:type="pct"/>
            <w:shd w:val="clear" w:color="auto" w:fill="auto"/>
            <w:noWrap/>
            <w:vAlign w:val="center"/>
          </w:tcPr>
          <w:p>
            <w:pPr>
              <w:jc w:val="center"/>
              <w:rPr>
                <w:bCs/>
                <w:sz w:val="20"/>
                <w:szCs w:val="20"/>
              </w:rPr>
            </w:pPr>
            <w:r>
              <w:rPr>
                <w:rFonts w:hint="eastAsia"/>
                <w:bCs/>
                <w:sz w:val="20"/>
                <w:szCs w:val="20"/>
              </w:rPr>
              <w:t>1</w:t>
            </w:r>
          </w:p>
        </w:tc>
        <w:tc>
          <w:tcPr>
            <w:tcW w:w="3300" w:type="pct"/>
            <w:shd w:val="clear" w:color="auto" w:fill="auto"/>
            <w:noWrap/>
            <w:vAlign w:val="center"/>
          </w:tcPr>
          <w:p>
            <w:pPr>
              <w:jc w:val="center"/>
              <w:rPr>
                <w:bCs/>
                <w:sz w:val="20"/>
                <w:szCs w:val="20"/>
              </w:rPr>
            </w:pPr>
            <w:r>
              <w:rPr>
                <w:rFonts w:hint="eastAsia"/>
                <w:bCs/>
                <w:sz w:val="20"/>
                <w:szCs w:val="20"/>
              </w:rPr>
              <w:t>巡视检查</w:t>
            </w:r>
          </w:p>
        </w:tc>
        <w:tc>
          <w:tcPr>
            <w:tcW w:w="1155" w:type="pct"/>
          </w:tcPr>
          <w:p>
            <w:pPr>
              <w:jc w:val="center"/>
              <w:rPr>
                <w:bCs/>
                <w:sz w:val="20"/>
                <w:szCs w:val="20"/>
              </w:rPr>
            </w:pPr>
            <w:r>
              <w:rPr>
                <w:rFonts w:hint="eastAsia"/>
                <w:bCs/>
                <w:sz w:val="20"/>
                <w:szCs w:val="20"/>
              </w:rPr>
              <w:t>应检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6" w:type="pct"/>
            <w:shd w:val="clear" w:color="auto" w:fill="auto"/>
            <w:noWrap/>
            <w:vAlign w:val="center"/>
          </w:tcPr>
          <w:p>
            <w:pPr>
              <w:jc w:val="center"/>
              <w:rPr>
                <w:bCs/>
                <w:sz w:val="20"/>
                <w:szCs w:val="20"/>
              </w:rPr>
            </w:pPr>
            <w:r>
              <w:rPr>
                <w:rFonts w:hint="eastAsia"/>
                <w:bCs/>
                <w:sz w:val="20"/>
                <w:szCs w:val="20"/>
              </w:rPr>
              <w:t>2</w:t>
            </w:r>
          </w:p>
        </w:tc>
        <w:tc>
          <w:tcPr>
            <w:tcW w:w="3300" w:type="pct"/>
            <w:shd w:val="clear" w:color="auto" w:fill="auto"/>
            <w:noWrap/>
            <w:vAlign w:val="center"/>
          </w:tcPr>
          <w:p>
            <w:pPr>
              <w:jc w:val="center"/>
              <w:rPr>
                <w:bCs/>
                <w:sz w:val="20"/>
                <w:szCs w:val="20"/>
              </w:rPr>
            </w:pPr>
            <w:r>
              <w:rPr>
                <w:rFonts w:hint="eastAsia"/>
                <w:bCs/>
                <w:sz w:val="20"/>
                <w:szCs w:val="20"/>
              </w:rPr>
              <w:t>管幕结构四周土体深层水平位移</w:t>
            </w:r>
          </w:p>
        </w:tc>
        <w:tc>
          <w:tcPr>
            <w:tcW w:w="1155" w:type="pct"/>
          </w:tcPr>
          <w:p>
            <w:pPr>
              <w:jc w:val="center"/>
              <w:rPr>
                <w:bCs/>
                <w:strike/>
                <w:sz w:val="20"/>
                <w:szCs w:val="20"/>
              </w:rPr>
            </w:pPr>
            <w:r>
              <w:rPr>
                <w:rFonts w:hint="eastAsia"/>
                <w:bCs/>
                <w:sz w:val="20"/>
                <w:szCs w:val="20"/>
              </w:rPr>
              <w:t>选测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6" w:type="pct"/>
            <w:shd w:val="clear" w:color="auto" w:fill="auto"/>
            <w:noWrap/>
            <w:vAlign w:val="center"/>
          </w:tcPr>
          <w:p>
            <w:pPr>
              <w:jc w:val="center"/>
              <w:rPr>
                <w:bCs/>
                <w:sz w:val="20"/>
                <w:szCs w:val="20"/>
              </w:rPr>
            </w:pPr>
            <w:r>
              <w:rPr>
                <w:rFonts w:hint="eastAsia"/>
                <w:bCs/>
                <w:sz w:val="20"/>
                <w:szCs w:val="20"/>
              </w:rPr>
              <w:t>3</w:t>
            </w:r>
          </w:p>
        </w:tc>
        <w:tc>
          <w:tcPr>
            <w:tcW w:w="3300" w:type="pct"/>
            <w:shd w:val="clear" w:color="auto" w:fill="auto"/>
            <w:noWrap/>
            <w:vAlign w:val="center"/>
          </w:tcPr>
          <w:p>
            <w:pPr>
              <w:jc w:val="center"/>
              <w:rPr>
                <w:bCs/>
                <w:sz w:val="20"/>
                <w:szCs w:val="20"/>
              </w:rPr>
            </w:pPr>
            <w:r>
              <w:rPr>
                <w:rFonts w:hint="eastAsia"/>
                <w:bCs/>
                <w:sz w:val="20"/>
                <w:szCs w:val="20"/>
              </w:rPr>
              <w:t>管幕结构四周地下水水位</w:t>
            </w:r>
          </w:p>
        </w:tc>
        <w:tc>
          <w:tcPr>
            <w:tcW w:w="1155" w:type="pct"/>
            <w:vAlign w:val="center"/>
          </w:tcPr>
          <w:p>
            <w:pPr>
              <w:jc w:val="center"/>
              <w:rPr>
                <w:bCs/>
                <w:sz w:val="20"/>
                <w:szCs w:val="20"/>
              </w:rPr>
            </w:pPr>
            <w:r>
              <w:rPr>
                <w:rFonts w:hint="eastAsia"/>
                <w:bCs/>
                <w:sz w:val="20"/>
                <w:szCs w:val="20"/>
              </w:rPr>
              <w:t>应测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6" w:type="pct"/>
            <w:shd w:val="clear" w:color="auto" w:fill="auto"/>
            <w:noWrap/>
            <w:vAlign w:val="center"/>
          </w:tcPr>
          <w:p>
            <w:pPr>
              <w:jc w:val="center"/>
              <w:rPr>
                <w:bCs/>
                <w:sz w:val="20"/>
                <w:szCs w:val="20"/>
              </w:rPr>
            </w:pPr>
            <w:r>
              <w:rPr>
                <w:rFonts w:hint="eastAsia"/>
                <w:bCs/>
                <w:sz w:val="20"/>
                <w:szCs w:val="20"/>
              </w:rPr>
              <w:t>4</w:t>
            </w:r>
          </w:p>
        </w:tc>
        <w:tc>
          <w:tcPr>
            <w:tcW w:w="3300" w:type="pct"/>
            <w:shd w:val="clear" w:color="auto" w:fill="auto"/>
            <w:noWrap/>
            <w:vAlign w:val="center"/>
          </w:tcPr>
          <w:p>
            <w:pPr>
              <w:jc w:val="center"/>
              <w:rPr>
                <w:bCs/>
                <w:sz w:val="20"/>
                <w:szCs w:val="20"/>
              </w:rPr>
            </w:pPr>
            <w:r>
              <w:rPr>
                <w:rFonts w:hint="eastAsia"/>
                <w:bCs/>
                <w:sz w:val="20"/>
                <w:szCs w:val="20"/>
              </w:rPr>
              <w:t>管幕结构四周土体分层竖向位移</w:t>
            </w:r>
          </w:p>
        </w:tc>
        <w:tc>
          <w:tcPr>
            <w:tcW w:w="1155" w:type="pct"/>
            <w:vAlign w:val="center"/>
          </w:tcPr>
          <w:p>
            <w:pPr>
              <w:jc w:val="center"/>
              <w:rPr>
                <w:bCs/>
                <w:sz w:val="20"/>
                <w:szCs w:val="20"/>
              </w:rPr>
            </w:pPr>
            <w:r>
              <w:rPr>
                <w:rFonts w:hint="eastAsia"/>
                <w:bCs/>
                <w:sz w:val="20"/>
                <w:szCs w:val="20"/>
              </w:rPr>
              <w:t>选测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6" w:type="pct"/>
            <w:shd w:val="clear" w:color="auto" w:fill="auto"/>
            <w:noWrap/>
            <w:vAlign w:val="center"/>
          </w:tcPr>
          <w:p>
            <w:pPr>
              <w:jc w:val="center"/>
              <w:rPr>
                <w:bCs/>
                <w:sz w:val="20"/>
                <w:szCs w:val="20"/>
              </w:rPr>
            </w:pPr>
            <w:r>
              <w:rPr>
                <w:rFonts w:hint="eastAsia"/>
                <w:bCs/>
                <w:sz w:val="20"/>
                <w:szCs w:val="20"/>
              </w:rPr>
              <w:t>5</w:t>
            </w:r>
          </w:p>
        </w:tc>
        <w:tc>
          <w:tcPr>
            <w:tcW w:w="3300" w:type="pct"/>
            <w:shd w:val="clear" w:color="auto" w:fill="auto"/>
            <w:noWrap/>
            <w:vAlign w:val="center"/>
          </w:tcPr>
          <w:p>
            <w:pPr>
              <w:jc w:val="center"/>
              <w:rPr>
                <w:bCs/>
                <w:sz w:val="20"/>
                <w:szCs w:val="20"/>
              </w:rPr>
            </w:pPr>
            <w:r>
              <w:rPr>
                <w:rFonts w:hint="eastAsia"/>
                <w:bCs/>
                <w:sz w:val="20"/>
                <w:szCs w:val="20"/>
              </w:rPr>
              <w:t>管幕结构上方地表竖向位移</w:t>
            </w:r>
          </w:p>
        </w:tc>
        <w:tc>
          <w:tcPr>
            <w:tcW w:w="1155" w:type="pct"/>
            <w:vAlign w:val="center"/>
          </w:tcPr>
          <w:p>
            <w:pPr>
              <w:jc w:val="center"/>
              <w:rPr>
                <w:bCs/>
                <w:sz w:val="20"/>
                <w:szCs w:val="20"/>
              </w:rPr>
            </w:pPr>
            <w:r>
              <w:rPr>
                <w:rFonts w:hint="eastAsia"/>
                <w:bCs/>
                <w:sz w:val="20"/>
                <w:szCs w:val="20"/>
              </w:rPr>
              <w:t>应测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6" w:type="pct"/>
            <w:shd w:val="clear" w:color="auto" w:fill="auto"/>
            <w:noWrap/>
            <w:vAlign w:val="center"/>
          </w:tcPr>
          <w:p>
            <w:pPr>
              <w:jc w:val="center"/>
              <w:rPr>
                <w:bCs/>
                <w:sz w:val="20"/>
                <w:szCs w:val="20"/>
              </w:rPr>
            </w:pPr>
            <w:r>
              <w:rPr>
                <w:rFonts w:hint="eastAsia"/>
                <w:bCs/>
                <w:sz w:val="20"/>
                <w:szCs w:val="20"/>
              </w:rPr>
              <w:t>6</w:t>
            </w:r>
          </w:p>
        </w:tc>
        <w:tc>
          <w:tcPr>
            <w:tcW w:w="3300" w:type="pct"/>
            <w:shd w:val="clear" w:color="auto" w:fill="auto"/>
            <w:noWrap/>
            <w:vAlign w:val="center"/>
          </w:tcPr>
          <w:p>
            <w:pPr>
              <w:jc w:val="center"/>
              <w:rPr>
                <w:bCs/>
                <w:sz w:val="20"/>
                <w:szCs w:val="20"/>
              </w:rPr>
            </w:pPr>
            <w:r>
              <w:rPr>
                <w:rFonts w:hint="eastAsia"/>
                <w:bCs/>
                <w:sz w:val="20"/>
                <w:szCs w:val="20"/>
              </w:rPr>
              <w:t>管幕结构临近建（构）筑物竖向位移</w:t>
            </w:r>
          </w:p>
        </w:tc>
        <w:tc>
          <w:tcPr>
            <w:tcW w:w="1155" w:type="pct"/>
            <w:vAlign w:val="center"/>
          </w:tcPr>
          <w:p>
            <w:pPr>
              <w:jc w:val="center"/>
              <w:rPr>
                <w:bCs/>
                <w:sz w:val="20"/>
                <w:szCs w:val="20"/>
              </w:rPr>
            </w:pPr>
            <w:r>
              <w:rPr>
                <w:rFonts w:hint="eastAsia"/>
                <w:bCs/>
                <w:sz w:val="20"/>
                <w:szCs w:val="20"/>
              </w:rPr>
              <w:t>应测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6" w:type="pct"/>
            <w:shd w:val="clear" w:color="auto" w:fill="auto"/>
            <w:noWrap/>
            <w:vAlign w:val="center"/>
          </w:tcPr>
          <w:p>
            <w:pPr>
              <w:jc w:val="center"/>
              <w:rPr>
                <w:bCs/>
                <w:sz w:val="20"/>
                <w:szCs w:val="20"/>
              </w:rPr>
            </w:pPr>
            <w:r>
              <w:rPr>
                <w:rFonts w:hint="eastAsia"/>
                <w:bCs/>
                <w:sz w:val="20"/>
                <w:szCs w:val="20"/>
              </w:rPr>
              <w:t>7</w:t>
            </w:r>
          </w:p>
        </w:tc>
        <w:tc>
          <w:tcPr>
            <w:tcW w:w="3300" w:type="pct"/>
            <w:shd w:val="clear" w:color="auto" w:fill="auto"/>
            <w:noWrap/>
            <w:vAlign w:val="center"/>
          </w:tcPr>
          <w:p>
            <w:pPr>
              <w:jc w:val="center"/>
              <w:rPr>
                <w:bCs/>
                <w:sz w:val="20"/>
                <w:szCs w:val="20"/>
              </w:rPr>
            </w:pPr>
            <w:r>
              <w:rPr>
                <w:rFonts w:hint="eastAsia"/>
                <w:bCs/>
                <w:sz w:val="20"/>
                <w:szCs w:val="20"/>
              </w:rPr>
              <w:t>管幕结构临近建（构）筑物水平位移</w:t>
            </w:r>
          </w:p>
        </w:tc>
        <w:tc>
          <w:tcPr>
            <w:tcW w:w="1155" w:type="pct"/>
            <w:vAlign w:val="center"/>
          </w:tcPr>
          <w:p>
            <w:pPr>
              <w:jc w:val="center"/>
              <w:rPr>
                <w:bCs/>
                <w:sz w:val="20"/>
                <w:szCs w:val="20"/>
              </w:rPr>
            </w:pPr>
            <w:r>
              <w:rPr>
                <w:rFonts w:hint="eastAsia"/>
                <w:bCs/>
                <w:sz w:val="20"/>
                <w:szCs w:val="20"/>
              </w:rPr>
              <w:t>选测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6" w:type="pct"/>
            <w:shd w:val="clear" w:color="auto" w:fill="auto"/>
            <w:noWrap/>
            <w:vAlign w:val="center"/>
          </w:tcPr>
          <w:p>
            <w:pPr>
              <w:jc w:val="center"/>
              <w:rPr>
                <w:bCs/>
                <w:sz w:val="20"/>
                <w:szCs w:val="20"/>
              </w:rPr>
            </w:pPr>
            <w:r>
              <w:rPr>
                <w:rFonts w:hint="eastAsia"/>
                <w:bCs/>
                <w:sz w:val="20"/>
                <w:szCs w:val="20"/>
              </w:rPr>
              <w:t>8</w:t>
            </w:r>
          </w:p>
        </w:tc>
        <w:tc>
          <w:tcPr>
            <w:tcW w:w="3300" w:type="pct"/>
            <w:shd w:val="clear" w:color="auto" w:fill="auto"/>
            <w:noWrap/>
            <w:vAlign w:val="center"/>
          </w:tcPr>
          <w:p>
            <w:pPr>
              <w:jc w:val="center"/>
              <w:rPr>
                <w:bCs/>
                <w:sz w:val="20"/>
                <w:szCs w:val="20"/>
              </w:rPr>
            </w:pPr>
            <w:r>
              <w:rPr>
                <w:rFonts w:hint="eastAsia"/>
                <w:bCs/>
                <w:sz w:val="20"/>
                <w:szCs w:val="20"/>
              </w:rPr>
              <w:t>管幕结构临近建（构）筑物倾斜</w:t>
            </w:r>
          </w:p>
        </w:tc>
        <w:tc>
          <w:tcPr>
            <w:tcW w:w="1155" w:type="pct"/>
          </w:tcPr>
          <w:p>
            <w:pPr>
              <w:jc w:val="center"/>
              <w:rPr>
                <w:bCs/>
                <w:strike/>
                <w:sz w:val="20"/>
                <w:szCs w:val="20"/>
              </w:rPr>
            </w:pPr>
            <w:r>
              <w:rPr>
                <w:rFonts w:hint="eastAsia"/>
                <w:bCs/>
                <w:sz w:val="20"/>
                <w:szCs w:val="20"/>
              </w:rPr>
              <w:t>选测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6" w:type="pct"/>
            <w:shd w:val="clear" w:color="auto" w:fill="auto"/>
            <w:noWrap/>
            <w:vAlign w:val="center"/>
          </w:tcPr>
          <w:p>
            <w:pPr>
              <w:jc w:val="center"/>
              <w:rPr>
                <w:bCs/>
                <w:sz w:val="20"/>
                <w:szCs w:val="20"/>
              </w:rPr>
            </w:pPr>
            <w:r>
              <w:rPr>
                <w:rFonts w:hint="eastAsia"/>
                <w:bCs/>
                <w:sz w:val="20"/>
                <w:szCs w:val="20"/>
              </w:rPr>
              <w:t>9</w:t>
            </w:r>
          </w:p>
        </w:tc>
        <w:tc>
          <w:tcPr>
            <w:tcW w:w="3300" w:type="pct"/>
            <w:shd w:val="clear" w:color="auto" w:fill="auto"/>
            <w:noWrap/>
            <w:vAlign w:val="center"/>
          </w:tcPr>
          <w:p>
            <w:pPr>
              <w:jc w:val="center"/>
              <w:rPr>
                <w:bCs/>
                <w:sz w:val="20"/>
                <w:szCs w:val="20"/>
              </w:rPr>
            </w:pPr>
            <w:r>
              <w:rPr>
                <w:rFonts w:hint="eastAsia"/>
                <w:bCs/>
                <w:sz w:val="20"/>
                <w:szCs w:val="20"/>
              </w:rPr>
              <w:t>管幕结构临近建（构）筑物裂缝</w:t>
            </w:r>
          </w:p>
        </w:tc>
        <w:tc>
          <w:tcPr>
            <w:tcW w:w="1155" w:type="pct"/>
            <w:vAlign w:val="center"/>
          </w:tcPr>
          <w:p>
            <w:pPr>
              <w:jc w:val="center"/>
              <w:rPr>
                <w:bCs/>
                <w:sz w:val="20"/>
                <w:szCs w:val="20"/>
              </w:rPr>
            </w:pPr>
            <w:r>
              <w:rPr>
                <w:rFonts w:hint="eastAsia"/>
                <w:bCs/>
                <w:sz w:val="20"/>
                <w:szCs w:val="20"/>
              </w:rPr>
              <w:t>应测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6" w:type="pct"/>
            <w:shd w:val="clear" w:color="auto" w:fill="auto"/>
            <w:noWrap/>
            <w:vAlign w:val="center"/>
          </w:tcPr>
          <w:p>
            <w:pPr>
              <w:jc w:val="center"/>
              <w:rPr>
                <w:bCs/>
                <w:sz w:val="20"/>
                <w:szCs w:val="20"/>
              </w:rPr>
            </w:pPr>
            <w:r>
              <w:rPr>
                <w:rFonts w:hint="eastAsia"/>
                <w:bCs/>
                <w:sz w:val="20"/>
                <w:szCs w:val="20"/>
              </w:rPr>
              <w:t>10</w:t>
            </w:r>
          </w:p>
        </w:tc>
        <w:tc>
          <w:tcPr>
            <w:tcW w:w="3300" w:type="pct"/>
            <w:shd w:val="clear" w:color="auto" w:fill="auto"/>
            <w:noWrap/>
            <w:vAlign w:val="center"/>
          </w:tcPr>
          <w:p>
            <w:pPr>
              <w:jc w:val="center"/>
              <w:rPr>
                <w:bCs/>
                <w:sz w:val="20"/>
                <w:szCs w:val="20"/>
              </w:rPr>
            </w:pPr>
            <w:r>
              <w:rPr>
                <w:rFonts w:hint="eastAsia"/>
                <w:bCs/>
                <w:sz w:val="20"/>
                <w:szCs w:val="20"/>
              </w:rPr>
              <w:t>管幕结构临近地下管线</w:t>
            </w:r>
            <w:r>
              <w:rPr>
                <w:rFonts w:hint="eastAsia"/>
                <w:bCs/>
                <w:strike/>
                <w:sz w:val="20"/>
                <w:szCs w:val="20"/>
              </w:rPr>
              <w:t>水平及</w:t>
            </w:r>
            <w:r>
              <w:rPr>
                <w:rFonts w:hint="eastAsia"/>
                <w:bCs/>
                <w:sz w:val="20"/>
                <w:szCs w:val="20"/>
              </w:rPr>
              <w:t>垂直位移</w:t>
            </w:r>
          </w:p>
        </w:tc>
        <w:tc>
          <w:tcPr>
            <w:tcW w:w="1155" w:type="pct"/>
            <w:vAlign w:val="center"/>
          </w:tcPr>
          <w:p>
            <w:pPr>
              <w:jc w:val="center"/>
              <w:rPr>
                <w:bCs/>
                <w:sz w:val="20"/>
                <w:szCs w:val="20"/>
              </w:rPr>
            </w:pPr>
            <w:r>
              <w:rPr>
                <w:rFonts w:hint="eastAsia"/>
                <w:bCs/>
                <w:sz w:val="20"/>
                <w:szCs w:val="20"/>
              </w:rPr>
              <w:t>应测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6" w:type="pct"/>
            <w:shd w:val="clear" w:color="auto" w:fill="auto"/>
            <w:noWrap/>
            <w:vAlign w:val="center"/>
          </w:tcPr>
          <w:p>
            <w:pPr>
              <w:jc w:val="center"/>
              <w:rPr>
                <w:bCs/>
                <w:sz w:val="20"/>
                <w:szCs w:val="20"/>
              </w:rPr>
            </w:pPr>
            <w:r>
              <w:rPr>
                <w:rFonts w:hint="eastAsia"/>
                <w:bCs/>
                <w:sz w:val="20"/>
                <w:szCs w:val="20"/>
              </w:rPr>
              <w:t>11</w:t>
            </w:r>
          </w:p>
        </w:tc>
        <w:tc>
          <w:tcPr>
            <w:tcW w:w="3300" w:type="pct"/>
            <w:shd w:val="clear" w:color="auto" w:fill="auto"/>
            <w:noWrap/>
            <w:vAlign w:val="center"/>
          </w:tcPr>
          <w:p>
            <w:pPr>
              <w:jc w:val="center"/>
              <w:rPr>
                <w:bCs/>
                <w:sz w:val="20"/>
                <w:szCs w:val="20"/>
              </w:rPr>
            </w:pPr>
            <w:r>
              <w:rPr>
                <w:rFonts w:hint="eastAsia"/>
                <w:bCs/>
                <w:sz w:val="20"/>
                <w:szCs w:val="20"/>
              </w:rPr>
              <w:t>钢管管壁应力</w:t>
            </w:r>
          </w:p>
        </w:tc>
        <w:tc>
          <w:tcPr>
            <w:tcW w:w="1155" w:type="pct"/>
            <w:vAlign w:val="center"/>
          </w:tcPr>
          <w:p>
            <w:pPr>
              <w:jc w:val="center"/>
              <w:rPr>
                <w:bCs/>
                <w:sz w:val="20"/>
                <w:szCs w:val="20"/>
              </w:rPr>
            </w:pPr>
            <w:r>
              <w:rPr>
                <w:rFonts w:hint="eastAsia"/>
                <w:bCs/>
                <w:sz w:val="20"/>
                <w:szCs w:val="20"/>
              </w:rPr>
              <w:t>选测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6" w:type="pct"/>
            <w:shd w:val="clear" w:color="auto" w:fill="auto"/>
            <w:noWrap/>
            <w:vAlign w:val="center"/>
          </w:tcPr>
          <w:p>
            <w:pPr>
              <w:jc w:val="center"/>
              <w:rPr>
                <w:bCs/>
                <w:sz w:val="20"/>
                <w:szCs w:val="20"/>
              </w:rPr>
            </w:pPr>
            <w:r>
              <w:rPr>
                <w:rFonts w:hint="eastAsia"/>
                <w:bCs/>
                <w:sz w:val="20"/>
                <w:szCs w:val="20"/>
              </w:rPr>
              <w:t>12</w:t>
            </w:r>
          </w:p>
        </w:tc>
        <w:tc>
          <w:tcPr>
            <w:tcW w:w="3300" w:type="pct"/>
            <w:shd w:val="clear" w:color="auto" w:fill="auto"/>
            <w:noWrap/>
            <w:vAlign w:val="center"/>
          </w:tcPr>
          <w:p>
            <w:pPr>
              <w:jc w:val="center"/>
              <w:rPr>
                <w:bCs/>
                <w:sz w:val="20"/>
                <w:szCs w:val="20"/>
              </w:rPr>
            </w:pPr>
            <w:r>
              <w:rPr>
                <w:rFonts w:hint="eastAsia"/>
                <w:bCs/>
                <w:sz w:val="20"/>
                <w:szCs w:val="20"/>
              </w:rPr>
              <w:t>钢管内净空收敛</w:t>
            </w:r>
          </w:p>
        </w:tc>
        <w:tc>
          <w:tcPr>
            <w:tcW w:w="1155" w:type="pct"/>
            <w:vAlign w:val="center"/>
          </w:tcPr>
          <w:p>
            <w:pPr>
              <w:jc w:val="center"/>
              <w:rPr>
                <w:bCs/>
                <w:sz w:val="20"/>
                <w:szCs w:val="20"/>
              </w:rPr>
            </w:pPr>
            <w:r>
              <w:rPr>
                <w:rFonts w:hint="eastAsia"/>
                <w:bCs/>
                <w:sz w:val="20"/>
                <w:szCs w:val="20"/>
              </w:rPr>
              <w:t>应测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6" w:type="pct"/>
            <w:shd w:val="clear" w:color="auto" w:fill="auto"/>
            <w:noWrap/>
            <w:vAlign w:val="center"/>
          </w:tcPr>
          <w:p>
            <w:pPr>
              <w:jc w:val="center"/>
              <w:rPr>
                <w:bCs/>
                <w:sz w:val="20"/>
                <w:szCs w:val="20"/>
              </w:rPr>
            </w:pPr>
            <w:r>
              <w:rPr>
                <w:rFonts w:hint="eastAsia"/>
                <w:bCs/>
                <w:sz w:val="20"/>
                <w:szCs w:val="20"/>
              </w:rPr>
              <w:t>13</w:t>
            </w:r>
          </w:p>
        </w:tc>
        <w:tc>
          <w:tcPr>
            <w:tcW w:w="3300" w:type="pct"/>
            <w:shd w:val="clear" w:color="auto" w:fill="auto"/>
            <w:noWrap/>
            <w:vAlign w:val="center"/>
          </w:tcPr>
          <w:p>
            <w:pPr>
              <w:jc w:val="center"/>
              <w:rPr>
                <w:bCs/>
                <w:sz w:val="20"/>
                <w:szCs w:val="20"/>
              </w:rPr>
            </w:pPr>
            <w:r>
              <w:rPr>
                <w:rFonts w:hint="eastAsia"/>
                <w:bCs/>
                <w:sz w:val="20"/>
                <w:szCs w:val="20"/>
              </w:rPr>
              <w:t>切口支撑钢管应力</w:t>
            </w:r>
          </w:p>
        </w:tc>
        <w:tc>
          <w:tcPr>
            <w:tcW w:w="1155" w:type="pct"/>
            <w:vAlign w:val="center"/>
          </w:tcPr>
          <w:p>
            <w:pPr>
              <w:jc w:val="center"/>
              <w:rPr>
                <w:bCs/>
                <w:sz w:val="20"/>
                <w:szCs w:val="20"/>
              </w:rPr>
            </w:pPr>
            <w:r>
              <w:rPr>
                <w:rFonts w:hint="eastAsia"/>
                <w:bCs/>
                <w:sz w:val="20"/>
                <w:szCs w:val="20"/>
              </w:rPr>
              <w:t>选测</w:t>
            </w:r>
          </w:p>
        </w:tc>
      </w:tr>
    </w:tbl>
    <w:p>
      <w:pPr>
        <w:spacing w:line="440" w:lineRule="exact"/>
        <w:ind w:firstLine="361" w:firstLineChars="150"/>
        <w:rPr>
          <w:sz w:val="24"/>
        </w:rPr>
      </w:pPr>
      <w:r>
        <w:rPr>
          <w:rFonts w:hint="eastAsia"/>
          <w:b/>
          <w:bCs/>
          <w:sz w:val="24"/>
        </w:rPr>
        <w:t>2</w:t>
      </w:r>
      <w:r>
        <w:rPr>
          <w:rFonts w:hint="eastAsia"/>
          <w:sz w:val="24"/>
        </w:rPr>
        <w:t xml:space="preserve">  钢管顶进过程中，宜按设计文件规定的间距在钢管内同一断面上布置纵向监测点和环向监测点，对钢管管壁应力进行实时监测，顶进完成后，宜利用顶进过程中布置的环向监测点继续进行监测。</w:t>
      </w:r>
    </w:p>
    <w:p>
      <w:pPr>
        <w:spacing w:line="440" w:lineRule="exact"/>
        <w:ind w:firstLine="361" w:firstLineChars="150"/>
        <w:rPr>
          <w:sz w:val="24"/>
        </w:rPr>
      </w:pPr>
      <w:r>
        <w:rPr>
          <w:rFonts w:hint="eastAsia"/>
          <w:b/>
          <w:bCs/>
          <w:sz w:val="24"/>
        </w:rPr>
        <w:t>3</w:t>
      </w:r>
      <w:r>
        <w:rPr>
          <w:rFonts w:hint="eastAsia"/>
          <w:sz w:val="24"/>
        </w:rPr>
        <w:t xml:space="preserve">  钢管顶进完成时，应在钢管内同一断面上对称布置钢管净空收敛监测点，并应取得初始值。</w:t>
      </w:r>
    </w:p>
    <w:p>
      <w:pPr>
        <w:spacing w:line="440" w:lineRule="exact"/>
        <w:ind w:firstLine="361" w:firstLineChars="150"/>
        <w:rPr>
          <w:sz w:val="24"/>
        </w:rPr>
      </w:pPr>
      <w:r>
        <w:rPr>
          <w:rFonts w:hint="eastAsia"/>
          <w:b/>
          <w:bCs/>
          <w:sz w:val="24"/>
        </w:rPr>
        <w:t>4</w:t>
      </w:r>
      <w:r>
        <w:rPr>
          <w:rFonts w:hint="eastAsia"/>
          <w:sz w:val="24"/>
        </w:rPr>
        <w:t xml:space="preserve">  钢管切割、焊接及切口支撑过程中，宜对切口支撑钢管的受力进行监测。当采用轴力计进行监测时，应保证轴力计的轴线与支撑钢管轴线一致；采用应力计和应变片进行监测时，应考虑支撑钢管在不同侧面的受力不均匀性。</w:t>
      </w:r>
    </w:p>
    <w:p>
      <w:pPr>
        <w:spacing w:line="440" w:lineRule="exact"/>
        <w:ind w:firstLine="361" w:firstLineChars="150"/>
        <w:rPr>
          <w:sz w:val="24"/>
        </w:rPr>
      </w:pPr>
      <w:r>
        <w:rPr>
          <w:rFonts w:hint="eastAsia"/>
          <w:b/>
          <w:bCs/>
          <w:sz w:val="24"/>
        </w:rPr>
        <w:t>5</w:t>
      </w:r>
      <w:r>
        <w:rPr>
          <w:rFonts w:hint="eastAsia"/>
          <w:sz w:val="24"/>
        </w:rPr>
        <w:t xml:space="preserve">  各监测项目应在同一断面上布置，测站数量和断面间距在满足设计要求的基础上，应选择受力、变形较大且有代表性的位置。</w:t>
      </w:r>
    </w:p>
    <w:p>
      <w:pPr>
        <w:spacing w:line="440" w:lineRule="exact"/>
        <w:ind w:firstLine="361" w:firstLineChars="150"/>
        <w:rPr>
          <w:sz w:val="24"/>
        </w:rPr>
      </w:pPr>
      <w:r>
        <w:rPr>
          <w:rFonts w:hint="eastAsia"/>
          <w:b/>
          <w:bCs/>
          <w:sz w:val="24"/>
        </w:rPr>
        <w:t>6</w:t>
      </w:r>
      <w:r>
        <w:rPr>
          <w:rFonts w:hint="eastAsia"/>
          <w:sz w:val="24"/>
        </w:rPr>
        <w:t xml:space="preserve">  钢管内骨架安装时，应把钢管内的监测元件电缆拉至或接长至管口位置并做好保护。</w:t>
      </w:r>
    </w:p>
    <w:p>
      <w:pPr>
        <w:spacing w:line="440" w:lineRule="exact"/>
        <w:rPr>
          <w:sz w:val="24"/>
        </w:rPr>
      </w:pPr>
      <w:r>
        <w:rPr>
          <w:rFonts w:hint="eastAsia"/>
          <w:b/>
          <w:bCs/>
          <w:sz w:val="24"/>
        </w:rPr>
        <w:t>9.2.3</w:t>
      </w:r>
      <w:r>
        <w:rPr>
          <w:rFonts w:hint="eastAsia"/>
          <w:sz w:val="24"/>
        </w:rPr>
        <w:t xml:space="preserve">  管幕结构在洞室开挖及内部结构施工期除应对本规程第9.2.1条和表9.2.2中的监测项目继续进行监测外，尚应根据表9.2.3增加监测项目，并应符合设计规定。</w:t>
      </w:r>
    </w:p>
    <w:p>
      <w:pPr>
        <w:spacing w:before="156" w:beforeLines="50"/>
        <w:jc w:val="center"/>
        <w:rPr>
          <w:rFonts w:eastAsia="黑体"/>
          <w:bCs/>
          <w:kern w:val="0"/>
          <w:szCs w:val="21"/>
        </w:rPr>
      </w:pPr>
      <w:r>
        <w:rPr>
          <w:rFonts w:hint="eastAsia" w:eastAsia="黑体"/>
          <w:bCs/>
          <w:kern w:val="0"/>
          <w:szCs w:val="21"/>
        </w:rPr>
        <w:t>表9.2.3  洞室开挖及内部结构施工期监测项目</w:t>
      </w:r>
    </w:p>
    <w:tbl>
      <w:tblPr>
        <w:tblStyle w:val="18"/>
        <w:tblW w:w="4770"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3970"/>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71" w:type="pct"/>
            <w:shd w:val="clear" w:color="auto" w:fill="auto"/>
            <w:noWrap/>
            <w:vAlign w:val="center"/>
          </w:tcPr>
          <w:p>
            <w:pPr>
              <w:jc w:val="center"/>
              <w:rPr>
                <w:bCs/>
                <w:sz w:val="20"/>
                <w:szCs w:val="20"/>
              </w:rPr>
            </w:pPr>
            <w:r>
              <w:rPr>
                <w:rFonts w:hint="eastAsia"/>
                <w:bCs/>
                <w:sz w:val="20"/>
                <w:szCs w:val="20"/>
              </w:rPr>
              <w:t>序号</w:t>
            </w:r>
          </w:p>
        </w:tc>
        <w:tc>
          <w:tcPr>
            <w:tcW w:w="2440" w:type="pct"/>
            <w:shd w:val="clear" w:color="auto" w:fill="auto"/>
            <w:noWrap/>
            <w:vAlign w:val="center"/>
          </w:tcPr>
          <w:p>
            <w:pPr>
              <w:jc w:val="center"/>
              <w:rPr>
                <w:bCs/>
                <w:sz w:val="20"/>
                <w:szCs w:val="20"/>
              </w:rPr>
            </w:pPr>
            <w:r>
              <w:rPr>
                <w:rFonts w:hint="eastAsia"/>
                <w:bCs/>
                <w:sz w:val="20"/>
                <w:szCs w:val="20"/>
              </w:rPr>
              <w:t>监测项目</w:t>
            </w:r>
          </w:p>
        </w:tc>
        <w:tc>
          <w:tcPr>
            <w:tcW w:w="1689" w:type="pct"/>
            <w:shd w:val="clear" w:color="auto" w:fill="auto"/>
            <w:noWrap/>
            <w:vAlign w:val="center"/>
          </w:tcPr>
          <w:p>
            <w:pPr>
              <w:jc w:val="center"/>
              <w:rPr>
                <w:bCs/>
                <w:sz w:val="20"/>
                <w:szCs w:val="20"/>
              </w:rPr>
            </w:pPr>
            <w:r>
              <w:rPr>
                <w:rFonts w:hint="eastAsia"/>
                <w:bCs/>
                <w:sz w:val="20"/>
                <w:szCs w:val="20"/>
              </w:rPr>
              <w:t>监测要求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1" w:type="pct"/>
            <w:shd w:val="clear" w:color="auto" w:fill="auto"/>
            <w:noWrap/>
            <w:vAlign w:val="center"/>
          </w:tcPr>
          <w:p>
            <w:pPr>
              <w:jc w:val="center"/>
              <w:rPr>
                <w:bCs/>
                <w:sz w:val="20"/>
                <w:szCs w:val="20"/>
              </w:rPr>
            </w:pPr>
            <w:r>
              <w:rPr>
                <w:rFonts w:hint="eastAsia"/>
                <w:bCs/>
                <w:sz w:val="20"/>
                <w:szCs w:val="20"/>
              </w:rPr>
              <w:t>1</w:t>
            </w:r>
          </w:p>
        </w:tc>
        <w:tc>
          <w:tcPr>
            <w:tcW w:w="2440" w:type="pct"/>
            <w:shd w:val="clear" w:color="auto" w:fill="auto"/>
            <w:noWrap/>
            <w:vAlign w:val="center"/>
          </w:tcPr>
          <w:p>
            <w:pPr>
              <w:jc w:val="center"/>
              <w:rPr>
                <w:bCs/>
                <w:sz w:val="20"/>
                <w:szCs w:val="20"/>
              </w:rPr>
            </w:pPr>
            <w:r>
              <w:rPr>
                <w:rFonts w:hint="eastAsia"/>
                <w:bCs/>
                <w:sz w:val="20"/>
                <w:szCs w:val="20"/>
              </w:rPr>
              <w:t>巡视检查</w:t>
            </w:r>
          </w:p>
        </w:tc>
        <w:tc>
          <w:tcPr>
            <w:tcW w:w="1689" w:type="pct"/>
            <w:shd w:val="clear" w:color="auto" w:fill="auto"/>
            <w:noWrap/>
            <w:vAlign w:val="center"/>
          </w:tcPr>
          <w:p>
            <w:pPr>
              <w:jc w:val="center"/>
              <w:rPr>
                <w:bCs/>
                <w:sz w:val="20"/>
                <w:szCs w:val="20"/>
              </w:rPr>
            </w:pPr>
            <w:r>
              <w:rPr>
                <w:rFonts w:hint="eastAsia"/>
                <w:bCs/>
                <w:sz w:val="20"/>
                <w:szCs w:val="20"/>
              </w:rPr>
              <w:t>应检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1" w:type="pct"/>
            <w:shd w:val="clear" w:color="auto" w:fill="auto"/>
            <w:noWrap/>
            <w:vAlign w:val="center"/>
          </w:tcPr>
          <w:p>
            <w:pPr>
              <w:jc w:val="center"/>
              <w:rPr>
                <w:bCs/>
                <w:sz w:val="20"/>
                <w:szCs w:val="20"/>
              </w:rPr>
            </w:pPr>
            <w:r>
              <w:rPr>
                <w:rFonts w:hint="eastAsia"/>
                <w:bCs/>
                <w:sz w:val="20"/>
                <w:szCs w:val="20"/>
              </w:rPr>
              <w:t>2</w:t>
            </w:r>
          </w:p>
        </w:tc>
        <w:tc>
          <w:tcPr>
            <w:tcW w:w="2440" w:type="pct"/>
            <w:shd w:val="clear" w:color="auto" w:fill="auto"/>
            <w:noWrap/>
            <w:vAlign w:val="center"/>
          </w:tcPr>
          <w:p>
            <w:pPr>
              <w:jc w:val="center"/>
              <w:rPr>
                <w:bCs/>
                <w:sz w:val="20"/>
                <w:szCs w:val="20"/>
              </w:rPr>
            </w:pPr>
            <w:r>
              <w:rPr>
                <w:rFonts w:hint="eastAsia"/>
                <w:bCs/>
                <w:sz w:val="20"/>
                <w:szCs w:val="20"/>
              </w:rPr>
              <w:t>管幕结构拱顶下沉</w:t>
            </w:r>
          </w:p>
        </w:tc>
        <w:tc>
          <w:tcPr>
            <w:tcW w:w="1689" w:type="pct"/>
            <w:shd w:val="clear" w:color="auto" w:fill="auto"/>
            <w:noWrap/>
            <w:vAlign w:val="center"/>
          </w:tcPr>
          <w:p>
            <w:pPr>
              <w:jc w:val="center"/>
              <w:rPr>
                <w:bCs/>
                <w:sz w:val="20"/>
                <w:szCs w:val="20"/>
              </w:rPr>
            </w:pPr>
            <w:r>
              <w:rPr>
                <w:rFonts w:hint="eastAsia"/>
                <w:bCs/>
                <w:sz w:val="20"/>
                <w:szCs w:val="20"/>
              </w:rPr>
              <w:t>应检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1" w:type="pct"/>
            <w:shd w:val="clear" w:color="auto" w:fill="auto"/>
            <w:noWrap/>
            <w:vAlign w:val="center"/>
          </w:tcPr>
          <w:p>
            <w:pPr>
              <w:jc w:val="center"/>
              <w:rPr>
                <w:bCs/>
                <w:sz w:val="20"/>
                <w:szCs w:val="20"/>
              </w:rPr>
            </w:pPr>
            <w:r>
              <w:rPr>
                <w:rFonts w:hint="eastAsia"/>
                <w:bCs/>
                <w:sz w:val="20"/>
                <w:szCs w:val="20"/>
              </w:rPr>
              <w:t>3</w:t>
            </w:r>
          </w:p>
        </w:tc>
        <w:tc>
          <w:tcPr>
            <w:tcW w:w="2440" w:type="pct"/>
            <w:shd w:val="clear" w:color="auto" w:fill="auto"/>
            <w:noWrap/>
            <w:vAlign w:val="center"/>
          </w:tcPr>
          <w:p>
            <w:pPr>
              <w:jc w:val="center"/>
              <w:rPr>
                <w:bCs/>
                <w:sz w:val="20"/>
                <w:szCs w:val="20"/>
              </w:rPr>
            </w:pPr>
            <w:r>
              <w:rPr>
                <w:rFonts w:hint="eastAsia"/>
                <w:bCs/>
                <w:sz w:val="20"/>
                <w:szCs w:val="20"/>
              </w:rPr>
              <w:t>管幕结构净空收敛</w:t>
            </w:r>
          </w:p>
        </w:tc>
        <w:tc>
          <w:tcPr>
            <w:tcW w:w="1689" w:type="pct"/>
            <w:shd w:val="clear" w:color="auto" w:fill="auto"/>
            <w:noWrap/>
            <w:vAlign w:val="center"/>
          </w:tcPr>
          <w:p>
            <w:pPr>
              <w:jc w:val="center"/>
              <w:rPr>
                <w:bCs/>
                <w:sz w:val="20"/>
                <w:szCs w:val="20"/>
              </w:rPr>
            </w:pPr>
            <w:r>
              <w:rPr>
                <w:rFonts w:hint="eastAsia"/>
                <w:bCs/>
                <w:sz w:val="20"/>
                <w:szCs w:val="20"/>
              </w:rPr>
              <w:t>应检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1" w:type="pct"/>
            <w:shd w:val="clear" w:color="auto" w:fill="auto"/>
            <w:noWrap/>
            <w:vAlign w:val="center"/>
          </w:tcPr>
          <w:p>
            <w:pPr>
              <w:jc w:val="center"/>
              <w:rPr>
                <w:bCs/>
                <w:sz w:val="20"/>
                <w:szCs w:val="20"/>
              </w:rPr>
            </w:pPr>
            <w:r>
              <w:rPr>
                <w:rFonts w:hint="eastAsia"/>
                <w:bCs/>
                <w:sz w:val="20"/>
                <w:szCs w:val="20"/>
              </w:rPr>
              <w:t>4</w:t>
            </w:r>
          </w:p>
        </w:tc>
        <w:tc>
          <w:tcPr>
            <w:tcW w:w="2440" w:type="pct"/>
            <w:shd w:val="clear" w:color="auto" w:fill="auto"/>
            <w:noWrap/>
            <w:vAlign w:val="center"/>
          </w:tcPr>
          <w:p>
            <w:pPr>
              <w:jc w:val="center"/>
              <w:rPr>
                <w:bCs/>
                <w:sz w:val="20"/>
                <w:szCs w:val="20"/>
              </w:rPr>
            </w:pPr>
            <w:r>
              <w:rPr>
                <w:rFonts w:hint="eastAsia"/>
                <w:bCs/>
                <w:sz w:val="20"/>
                <w:szCs w:val="20"/>
              </w:rPr>
              <w:t>管幕结构内力</w:t>
            </w:r>
          </w:p>
        </w:tc>
        <w:tc>
          <w:tcPr>
            <w:tcW w:w="1689" w:type="pct"/>
            <w:shd w:val="clear" w:color="auto" w:fill="auto"/>
            <w:noWrap/>
            <w:vAlign w:val="center"/>
          </w:tcPr>
          <w:p>
            <w:pPr>
              <w:jc w:val="center"/>
              <w:rPr>
                <w:bCs/>
                <w:sz w:val="20"/>
                <w:szCs w:val="20"/>
              </w:rPr>
            </w:pPr>
            <w:r>
              <w:rPr>
                <w:rFonts w:hint="eastAsia"/>
                <w:bCs/>
                <w:sz w:val="20"/>
                <w:szCs w:val="20"/>
              </w:rPr>
              <w:t>选测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71" w:type="pct"/>
            <w:shd w:val="clear" w:color="auto" w:fill="auto"/>
            <w:noWrap/>
            <w:vAlign w:val="center"/>
          </w:tcPr>
          <w:p>
            <w:pPr>
              <w:jc w:val="center"/>
              <w:rPr>
                <w:bCs/>
                <w:sz w:val="20"/>
                <w:szCs w:val="20"/>
              </w:rPr>
            </w:pPr>
            <w:r>
              <w:rPr>
                <w:rFonts w:hint="eastAsia"/>
                <w:bCs/>
                <w:sz w:val="20"/>
                <w:szCs w:val="20"/>
              </w:rPr>
              <w:t>5</w:t>
            </w:r>
          </w:p>
        </w:tc>
        <w:tc>
          <w:tcPr>
            <w:tcW w:w="2440" w:type="pct"/>
            <w:shd w:val="clear" w:color="auto" w:fill="auto"/>
            <w:noWrap/>
            <w:vAlign w:val="center"/>
          </w:tcPr>
          <w:p>
            <w:pPr>
              <w:jc w:val="center"/>
              <w:rPr>
                <w:bCs/>
                <w:sz w:val="20"/>
                <w:szCs w:val="20"/>
              </w:rPr>
            </w:pPr>
            <w:r>
              <w:rPr>
                <w:rFonts w:hint="eastAsia"/>
                <w:bCs/>
                <w:sz w:val="20"/>
                <w:szCs w:val="20"/>
              </w:rPr>
              <w:t>支撑轴力</w:t>
            </w:r>
          </w:p>
        </w:tc>
        <w:tc>
          <w:tcPr>
            <w:tcW w:w="1689" w:type="pct"/>
            <w:shd w:val="clear" w:color="auto" w:fill="auto"/>
            <w:noWrap/>
            <w:vAlign w:val="center"/>
          </w:tcPr>
          <w:p>
            <w:pPr>
              <w:jc w:val="center"/>
              <w:rPr>
                <w:bCs/>
                <w:sz w:val="20"/>
                <w:szCs w:val="20"/>
              </w:rPr>
            </w:pPr>
            <w:r>
              <w:rPr>
                <w:rFonts w:hint="eastAsia"/>
                <w:bCs/>
                <w:sz w:val="20"/>
                <w:szCs w:val="20"/>
              </w:rPr>
              <w:t>应检</w:t>
            </w:r>
          </w:p>
        </w:tc>
      </w:tr>
    </w:tbl>
    <w:p>
      <w:pPr>
        <w:spacing w:before="156" w:beforeLines="50" w:after="156" w:afterLines="50" w:line="440" w:lineRule="exact"/>
        <w:jc w:val="center"/>
        <w:outlineLvl w:val="1"/>
        <w:rPr>
          <w:rFonts w:eastAsia="黑体"/>
          <w:sz w:val="24"/>
        </w:rPr>
      </w:pPr>
      <w:bookmarkStart w:id="128" w:name="_Toc26689"/>
      <w:bookmarkStart w:id="129" w:name="_Toc9573"/>
      <w:r>
        <w:rPr>
          <w:rFonts w:hint="eastAsia" w:eastAsia="黑体"/>
          <w:sz w:val="24"/>
        </w:rPr>
        <w:t>9.3  监测点布设及监测频率</w:t>
      </w:r>
      <w:bookmarkEnd w:id="128"/>
      <w:bookmarkEnd w:id="129"/>
    </w:p>
    <w:p>
      <w:pPr>
        <w:spacing w:line="360" w:lineRule="auto"/>
        <w:rPr>
          <w:rFonts w:ascii="宋体" w:hAnsi="宋体"/>
          <w:sz w:val="24"/>
        </w:rPr>
      </w:pPr>
      <w:r>
        <w:rPr>
          <w:rFonts w:hint="eastAsia"/>
          <w:b/>
          <w:bCs/>
          <w:sz w:val="24"/>
        </w:rPr>
        <w:t>9.</w:t>
      </w:r>
      <w:r>
        <w:rPr>
          <w:b/>
          <w:bCs/>
          <w:sz w:val="24"/>
        </w:rPr>
        <w:t>3</w:t>
      </w:r>
      <w:r>
        <w:rPr>
          <w:rFonts w:hint="eastAsia"/>
          <w:b/>
          <w:bCs/>
          <w:sz w:val="24"/>
        </w:rPr>
        <w:t>.</w:t>
      </w:r>
      <w:r>
        <w:rPr>
          <w:b/>
          <w:bCs/>
          <w:sz w:val="24"/>
        </w:rPr>
        <w:t>1</w:t>
      </w:r>
      <w:r>
        <w:rPr>
          <w:rFonts w:hint="eastAsia" w:ascii="宋体" w:hAnsi="宋体"/>
          <w:kern w:val="0"/>
          <w:sz w:val="24"/>
        </w:rPr>
        <w:t xml:space="preserve"> </w:t>
      </w:r>
      <w:r>
        <w:rPr>
          <w:rFonts w:ascii="宋体" w:hAnsi="宋体"/>
          <w:b/>
          <w:sz w:val="24"/>
        </w:rPr>
        <w:t xml:space="preserve"> </w:t>
      </w:r>
      <w:r>
        <w:rPr>
          <w:rFonts w:hint="eastAsia" w:ascii="宋体" w:hAnsi="宋体"/>
          <w:sz w:val="24"/>
        </w:rPr>
        <w:t>施工监测基准点、工作基点的布设应符合下列规定：</w:t>
      </w:r>
    </w:p>
    <w:p>
      <w:pPr>
        <w:spacing w:line="360" w:lineRule="auto"/>
        <w:ind w:firstLine="520" w:firstLineChars="217"/>
        <w:rPr>
          <w:rFonts w:ascii="宋体" w:hAnsi="宋体"/>
          <w:kern w:val="0"/>
          <w:sz w:val="24"/>
        </w:rPr>
      </w:pPr>
      <w:r>
        <w:rPr>
          <w:rFonts w:ascii="宋体" w:hAnsi="宋体"/>
          <w:kern w:val="0"/>
          <w:sz w:val="24"/>
        </w:rPr>
        <w:t xml:space="preserve">1  </w:t>
      </w:r>
      <w:r>
        <w:rPr>
          <w:rFonts w:hint="eastAsia" w:ascii="宋体" w:hAnsi="宋体"/>
          <w:kern w:val="0"/>
          <w:sz w:val="24"/>
        </w:rPr>
        <w:t>基准点应布设在施工影响范围以外的稳定区域，每项监测工程基准点的埋设数量：竖向位移观测点不应小于</w:t>
      </w:r>
      <w:r>
        <w:rPr>
          <w:rFonts w:ascii="宋体" w:hAnsi="宋体"/>
          <w:kern w:val="0"/>
          <w:sz w:val="24"/>
        </w:rPr>
        <w:t>3</w:t>
      </w:r>
      <w:r>
        <w:rPr>
          <w:rFonts w:hint="eastAsia" w:ascii="宋体" w:hAnsi="宋体"/>
          <w:kern w:val="0"/>
          <w:sz w:val="24"/>
        </w:rPr>
        <w:t>个，水平位移观测点不应小于</w:t>
      </w:r>
      <w:r>
        <w:rPr>
          <w:rFonts w:ascii="宋体" w:hAnsi="宋体"/>
          <w:kern w:val="0"/>
          <w:sz w:val="24"/>
        </w:rPr>
        <w:t>4</w:t>
      </w:r>
      <w:r>
        <w:rPr>
          <w:rFonts w:hint="eastAsia" w:ascii="宋体" w:hAnsi="宋体"/>
          <w:kern w:val="0"/>
          <w:sz w:val="24"/>
        </w:rPr>
        <w:t>个；</w:t>
      </w:r>
    </w:p>
    <w:p>
      <w:pPr>
        <w:spacing w:line="360" w:lineRule="auto"/>
        <w:ind w:firstLine="480" w:firstLineChars="200"/>
        <w:rPr>
          <w:rFonts w:ascii="宋体" w:hAnsi="宋体"/>
          <w:sz w:val="24"/>
        </w:rPr>
      </w:pPr>
      <w:r>
        <w:rPr>
          <w:rFonts w:ascii="宋体" w:hAnsi="宋体"/>
          <w:sz w:val="24"/>
        </w:rPr>
        <w:t xml:space="preserve">2  </w:t>
      </w:r>
      <w:r>
        <w:rPr>
          <w:rFonts w:hint="eastAsia" w:ascii="宋体" w:hAnsi="宋体"/>
          <w:sz w:val="24"/>
        </w:rPr>
        <w:t>当基准点距监测工程较远时，宜设置工作基点；</w:t>
      </w:r>
    </w:p>
    <w:p>
      <w:pPr>
        <w:snapToGrid w:val="0"/>
        <w:spacing w:line="360" w:lineRule="auto"/>
        <w:ind w:firstLine="480" w:firstLineChars="200"/>
        <w:rPr>
          <w:rFonts w:ascii="宋体" w:hAnsi="宋体"/>
          <w:sz w:val="24"/>
        </w:rPr>
      </w:pPr>
      <w:r>
        <w:rPr>
          <w:rFonts w:ascii="宋体" w:hAnsi="宋体"/>
          <w:sz w:val="24"/>
        </w:rPr>
        <w:t xml:space="preserve">3  </w:t>
      </w:r>
      <w:r>
        <w:rPr>
          <w:rFonts w:hint="eastAsia" w:ascii="宋体" w:hAnsi="宋体"/>
          <w:sz w:val="24"/>
        </w:rPr>
        <w:t>基准点和工作基点应在工程施工前埋设，并应埋设在相对的稳定土层内，经观测确认其稳定后方可使用；</w:t>
      </w:r>
    </w:p>
    <w:p>
      <w:pPr>
        <w:snapToGrid w:val="0"/>
        <w:spacing w:line="360" w:lineRule="auto"/>
        <w:ind w:firstLine="480" w:firstLineChars="200"/>
        <w:rPr>
          <w:rFonts w:ascii="宋体" w:hAnsi="宋体"/>
          <w:sz w:val="24"/>
        </w:rPr>
      </w:pPr>
      <w:r>
        <w:rPr>
          <w:rFonts w:ascii="宋体" w:hAnsi="宋体"/>
          <w:sz w:val="24"/>
        </w:rPr>
        <w:t xml:space="preserve">4  </w:t>
      </w:r>
      <w:r>
        <w:rPr>
          <w:rFonts w:hint="eastAsia" w:ascii="宋体" w:hAnsi="宋体"/>
          <w:sz w:val="24"/>
        </w:rPr>
        <w:t>监测期间，基准点应定期复测，当使用工作基点时应与基准点进行联测。</w:t>
      </w:r>
    </w:p>
    <w:p>
      <w:pPr>
        <w:spacing w:line="440" w:lineRule="exact"/>
        <w:rPr>
          <w:b/>
          <w:bCs/>
          <w:sz w:val="24"/>
        </w:rPr>
      </w:pPr>
      <w:r>
        <w:rPr>
          <w:rFonts w:hint="eastAsia"/>
          <w:b/>
          <w:bCs/>
          <w:sz w:val="24"/>
        </w:rPr>
        <w:t>9.3.</w:t>
      </w:r>
      <w:r>
        <w:rPr>
          <w:b/>
          <w:bCs/>
          <w:sz w:val="24"/>
        </w:rPr>
        <w:t xml:space="preserve">2  </w:t>
      </w:r>
      <w:r>
        <w:rPr>
          <w:rFonts w:hint="eastAsia"/>
          <w:sz w:val="24"/>
        </w:rPr>
        <w:t>监测点宜采用工作井、隧道或其他地下结构等土建施工时的同一点位。</w:t>
      </w:r>
    </w:p>
    <w:p>
      <w:pPr>
        <w:spacing w:line="440" w:lineRule="exact"/>
        <w:rPr>
          <w:sz w:val="24"/>
        </w:rPr>
      </w:pPr>
      <w:r>
        <w:rPr>
          <w:rFonts w:hint="eastAsia"/>
          <w:b/>
          <w:bCs/>
          <w:sz w:val="24"/>
        </w:rPr>
        <w:t>9.</w:t>
      </w:r>
      <w:r>
        <w:rPr>
          <w:b/>
          <w:bCs/>
          <w:sz w:val="24"/>
        </w:rPr>
        <w:t>3</w:t>
      </w:r>
      <w:r>
        <w:rPr>
          <w:rFonts w:hint="eastAsia"/>
          <w:b/>
          <w:bCs/>
          <w:sz w:val="24"/>
        </w:rPr>
        <w:t>.</w:t>
      </w:r>
      <w:r>
        <w:rPr>
          <w:b/>
          <w:bCs/>
          <w:sz w:val="24"/>
        </w:rPr>
        <w:t>3</w:t>
      </w:r>
      <w:r>
        <w:rPr>
          <w:rFonts w:hint="eastAsia"/>
          <w:sz w:val="24"/>
        </w:rPr>
        <w:t xml:space="preserve">  监测点应在施工具备条件时布设，并取得初始值。</w:t>
      </w:r>
    </w:p>
    <w:p>
      <w:pPr>
        <w:spacing w:line="440" w:lineRule="exact"/>
        <w:rPr>
          <w:sz w:val="24"/>
        </w:rPr>
      </w:pPr>
      <w:r>
        <w:rPr>
          <w:rFonts w:hint="eastAsia"/>
          <w:b/>
          <w:bCs/>
          <w:sz w:val="24"/>
        </w:rPr>
        <w:t>9.3.</w:t>
      </w:r>
      <w:r>
        <w:rPr>
          <w:b/>
          <w:bCs/>
          <w:sz w:val="24"/>
        </w:rPr>
        <w:t>4</w:t>
      </w:r>
      <w:r>
        <w:rPr>
          <w:rFonts w:hint="eastAsia"/>
          <w:sz w:val="24"/>
        </w:rPr>
        <w:t xml:space="preserve">  喷锚工作井监测点布设及监测频率应符合表9.3.</w:t>
      </w:r>
      <w:r>
        <w:rPr>
          <w:sz w:val="24"/>
        </w:rPr>
        <w:t>4</w:t>
      </w:r>
      <w:r>
        <w:rPr>
          <w:rFonts w:hint="eastAsia"/>
          <w:sz w:val="24"/>
        </w:rPr>
        <w:t>的规定。</w:t>
      </w:r>
    </w:p>
    <w:p>
      <w:pPr>
        <w:spacing w:before="156" w:beforeLines="50"/>
        <w:jc w:val="center"/>
        <w:rPr>
          <w:rFonts w:eastAsia="黑体"/>
          <w:bCs/>
          <w:kern w:val="0"/>
          <w:szCs w:val="21"/>
        </w:rPr>
      </w:pPr>
      <w:r>
        <w:rPr>
          <w:rFonts w:hint="eastAsia" w:eastAsia="黑体"/>
          <w:bCs/>
          <w:kern w:val="0"/>
          <w:szCs w:val="21"/>
        </w:rPr>
        <w:t>表9.3.</w:t>
      </w:r>
      <w:r>
        <w:rPr>
          <w:rFonts w:eastAsia="黑体"/>
          <w:bCs/>
          <w:kern w:val="0"/>
          <w:szCs w:val="21"/>
        </w:rPr>
        <w:t>4</w:t>
      </w:r>
      <w:r>
        <w:rPr>
          <w:rFonts w:hint="eastAsia" w:eastAsia="黑体"/>
          <w:bCs/>
          <w:kern w:val="0"/>
          <w:szCs w:val="21"/>
        </w:rPr>
        <w:t xml:space="preserve">  锚喷工作井监测点布设及监测频率</w:t>
      </w:r>
    </w:p>
    <w:tbl>
      <w:tblPr>
        <w:tblStyle w:val="18"/>
        <w:tblW w:w="500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6"/>
        <w:gridCol w:w="2103"/>
        <w:gridCol w:w="710"/>
        <w:gridCol w:w="2834"/>
        <w:gridCol w:w="24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4" w:type="pct"/>
            <w:tcBorders>
              <w:top w:val="single" w:color="auto" w:sz="4" w:space="0"/>
              <w:left w:val="single" w:color="auto" w:sz="4" w:space="0"/>
            </w:tcBorders>
            <w:vAlign w:val="center"/>
          </w:tcPr>
          <w:p>
            <w:pPr>
              <w:jc w:val="center"/>
              <w:rPr>
                <w:bCs/>
                <w:sz w:val="20"/>
                <w:szCs w:val="20"/>
              </w:rPr>
            </w:pPr>
            <w:r>
              <w:rPr>
                <w:rFonts w:hint="eastAsia"/>
                <w:bCs/>
                <w:sz w:val="20"/>
                <w:szCs w:val="20"/>
              </w:rPr>
              <w:t>序号</w:t>
            </w:r>
          </w:p>
        </w:tc>
        <w:tc>
          <w:tcPr>
            <w:tcW w:w="1233" w:type="pct"/>
            <w:tcBorders>
              <w:top w:val="single" w:color="auto" w:sz="4" w:space="0"/>
            </w:tcBorders>
            <w:shd w:val="clear" w:color="auto" w:fill="auto"/>
            <w:noWrap/>
            <w:vAlign w:val="center"/>
          </w:tcPr>
          <w:p>
            <w:pPr>
              <w:jc w:val="center"/>
              <w:rPr>
                <w:bCs/>
                <w:sz w:val="20"/>
                <w:szCs w:val="20"/>
              </w:rPr>
            </w:pPr>
            <w:r>
              <w:rPr>
                <w:rFonts w:hint="eastAsia"/>
                <w:bCs/>
                <w:sz w:val="20"/>
                <w:szCs w:val="20"/>
              </w:rPr>
              <w:t>项目</w:t>
            </w:r>
          </w:p>
        </w:tc>
        <w:tc>
          <w:tcPr>
            <w:tcW w:w="416" w:type="pct"/>
            <w:tcBorders>
              <w:top w:val="single" w:color="auto" w:sz="4" w:space="0"/>
            </w:tcBorders>
            <w:shd w:val="clear" w:color="auto" w:fill="auto"/>
            <w:noWrap/>
            <w:vAlign w:val="center"/>
          </w:tcPr>
          <w:p>
            <w:pPr>
              <w:jc w:val="center"/>
              <w:rPr>
                <w:bCs/>
                <w:sz w:val="20"/>
                <w:szCs w:val="20"/>
              </w:rPr>
            </w:pPr>
            <w:r>
              <w:rPr>
                <w:rFonts w:hint="eastAsia"/>
                <w:bCs/>
                <w:sz w:val="20"/>
                <w:szCs w:val="20"/>
              </w:rPr>
              <w:t>监测类别</w:t>
            </w:r>
          </w:p>
        </w:tc>
        <w:tc>
          <w:tcPr>
            <w:tcW w:w="1661" w:type="pct"/>
            <w:tcBorders>
              <w:top w:val="single" w:color="auto" w:sz="4" w:space="0"/>
              <w:right w:val="single" w:color="auto" w:sz="4" w:space="0"/>
            </w:tcBorders>
            <w:shd w:val="clear" w:color="auto" w:fill="auto"/>
            <w:noWrap/>
            <w:vAlign w:val="center"/>
          </w:tcPr>
          <w:p>
            <w:pPr>
              <w:jc w:val="center"/>
              <w:rPr>
                <w:bCs/>
                <w:sz w:val="20"/>
                <w:szCs w:val="20"/>
              </w:rPr>
            </w:pPr>
            <w:r>
              <w:rPr>
                <w:rFonts w:hint="eastAsia"/>
                <w:bCs/>
                <w:sz w:val="20"/>
                <w:szCs w:val="20"/>
              </w:rPr>
              <w:t>监测点布设</w:t>
            </w:r>
          </w:p>
        </w:tc>
        <w:tc>
          <w:tcPr>
            <w:tcW w:w="1447" w:type="pct"/>
            <w:tcBorders>
              <w:top w:val="single" w:color="auto" w:sz="4" w:space="0"/>
            </w:tcBorders>
            <w:vAlign w:val="center"/>
          </w:tcPr>
          <w:p>
            <w:pPr>
              <w:jc w:val="center"/>
              <w:rPr>
                <w:bCs/>
                <w:sz w:val="20"/>
                <w:szCs w:val="20"/>
              </w:rPr>
            </w:pPr>
            <w:r>
              <w:rPr>
                <w:rFonts w:hint="eastAsia"/>
                <w:bCs/>
                <w:sz w:val="20"/>
                <w:szCs w:val="20"/>
              </w:rPr>
              <w:t>监测频率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4" w:type="pct"/>
            <w:tcBorders>
              <w:left w:val="single" w:color="auto" w:sz="4" w:space="0"/>
            </w:tcBorders>
            <w:vAlign w:val="center"/>
          </w:tcPr>
          <w:p>
            <w:pPr>
              <w:jc w:val="center"/>
              <w:rPr>
                <w:bCs/>
                <w:sz w:val="20"/>
                <w:szCs w:val="20"/>
              </w:rPr>
            </w:pPr>
            <w:r>
              <w:rPr>
                <w:rFonts w:hint="eastAsia"/>
                <w:bCs/>
                <w:sz w:val="20"/>
                <w:szCs w:val="20"/>
              </w:rPr>
              <w:t>1</w:t>
            </w:r>
          </w:p>
        </w:tc>
        <w:tc>
          <w:tcPr>
            <w:tcW w:w="1233" w:type="pct"/>
            <w:shd w:val="clear" w:color="auto" w:fill="auto"/>
            <w:noWrap/>
            <w:vAlign w:val="center"/>
          </w:tcPr>
          <w:p>
            <w:pPr>
              <w:jc w:val="center"/>
              <w:rPr>
                <w:bCs/>
                <w:sz w:val="20"/>
                <w:szCs w:val="20"/>
              </w:rPr>
            </w:pPr>
            <w:r>
              <w:rPr>
                <w:rFonts w:hint="eastAsia"/>
                <w:bCs/>
                <w:sz w:val="20"/>
                <w:szCs w:val="20"/>
              </w:rPr>
              <w:t>地质状况描述及支护观察</w:t>
            </w:r>
          </w:p>
        </w:tc>
        <w:tc>
          <w:tcPr>
            <w:tcW w:w="416" w:type="pct"/>
            <w:shd w:val="clear" w:color="auto" w:fill="auto"/>
            <w:noWrap/>
            <w:vAlign w:val="center"/>
          </w:tcPr>
          <w:p>
            <w:pPr>
              <w:jc w:val="center"/>
              <w:rPr>
                <w:bCs/>
                <w:sz w:val="20"/>
                <w:szCs w:val="20"/>
              </w:rPr>
            </w:pPr>
            <w:r>
              <w:rPr>
                <w:rFonts w:hint="eastAsia"/>
                <w:bCs/>
                <w:sz w:val="20"/>
                <w:szCs w:val="20"/>
              </w:rPr>
              <w:t>应测</w:t>
            </w:r>
          </w:p>
        </w:tc>
        <w:tc>
          <w:tcPr>
            <w:tcW w:w="1661" w:type="pct"/>
            <w:tcBorders>
              <w:right w:val="single" w:color="auto" w:sz="4" w:space="0"/>
            </w:tcBorders>
            <w:shd w:val="clear" w:color="auto" w:fill="auto"/>
            <w:noWrap/>
            <w:vAlign w:val="center"/>
          </w:tcPr>
          <w:p>
            <w:pPr>
              <w:jc w:val="center"/>
              <w:rPr>
                <w:bCs/>
                <w:sz w:val="20"/>
                <w:szCs w:val="20"/>
              </w:rPr>
            </w:pPr>
            <w:r>
              <w:rPr>
                <w:rFonts w:hint="eastAsia"/>
                <w:bCs/>
                <w:sz w:val="20"/>
                <w:szCs w:val="20"/>
              </w:rPr>
              <w:t>—</w:t>
            </w:r>
          </w:p>
        </w:tc>
        <w:tc>
          <w:tcPr>
            <w:tcW w:w="1447" w:type="pct"/>
            <w:vAlign w:val="center"/>
          </w:tcPr>
          <w:p>
            <w:pPr>
              <w:jc w:val="center"/>
              <w:rPr>
                <w:bCs/>
                <w:sz w:val="20"/>
                <w:szCs w:val="20"/>
              </w:rPr>
            </w:pPr>
            <w:r>
              <w:rPr>
                <w:rFonts w:hint="eastAsia"/>
                <w:bCs/>
                <w:sz w:val="20"/>
                <w:szCs w:val="20"/>
              </w:rPr>
              <w:t>施工过程每天进行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44" w:type="pct"/>
            <w:tcBorders>
              <w:left w:val="single" w:color="auto" w:sz="4" w:space="0"/>
            </w:tcBorders>
            <w:vAlign w:val="center"/>
          </w:tcPr>
          <w:p>
            <w:pPr>
              <w:jc w:val="center"/>
              <w:rPr>
                <w:bCs/>
                <w:sz w:val="20"/>
                <w:szCs w:val="20"/>
              </w:rPr>
            </w:pPr>
            <w:r>
              <w:rPr>
                <w:rFonts w:hint="eastAsia"/>
                <w:bCs/>
                <w:sz w:val="20"/>
                <w:szCs w:val="20"/>
              </w:rPr>
              <w:t>2</w:t>
            </w:r>
          </w:p>
        </w:tc>
        <w:tc>
          <w:tcPr>
            <w:tcW w:w="1233" w:type="pct"/>
            <w:shd w:val="clear" w:color="auto" w:fill="auto"/>
            <w:noWrap/>
            <w:vAlign w:val="center"/>
          </w:tcPr>
          <w:p>
            <w:pPr>
              <w:jc w:val="center"/>
              <w:rPr>
                <w:bCs/>
                <w:sz w:val="20"/>
                <w:szCs w:val="20"/>
              </w:rPr>
            </w:pPr>
            <w:r>
              <w:rPr>
                <w:rFonts w:hint="eastAsia"/>
                <w:bCs/>
                <w:sz w:val="20"/>
                <w:szCs w:val="20"/>
              </w:rPr>
              <w:t>竖井圈梁水平位移</w:t>
            </w:r>
          </w:p>
        </w:tc>
        <w:tc>
          <w:tcPr>
            <w:tcW w:w="416" w:type="pct"/>
            <w:shd w:val="clear" w:color="auto" w:fill="auto"/>
            <w:noWrap/>
            <w:vAlign w:val="center"/>
          </w:tcPr>
          <w:p>
            <w:pPr>
              <w:jc w:val="center"/>
              <w:rPr>
                <w:bCs/>
                <w:sz w:val="20"/>
                <w:szCs w:val="20"/>
              </w:rPr>
            </w:pPr>
            <w:r>
              <w:rPr>
                <w:rFonts w:hint="eastAsia"/>
                <w:bCs/>
                <w:sz w:val="20"/>
                <w:szCs w:val="20"/>
              </w:rPr>
              <w:t>选测</w:t>
            </w:r>
          </w:p>
        </w:tc>
        <w:tc>
          <w:tcPr>
            <w:tcW w:w="1661" w:type="pct"/>
            <w:tcBorders>
              <w:right w:val="single" w:color="auto" w:sz="4" w:space="0"/>
            </w:tcBorders>
            <w:shd w:val="clear" w:color="auto" w:fill="auto"/>
            <w:noWrap/>
            <w:vAlign w:val="center"/>
          </w:tcPr>
          <w:p>
            <w:pPr>
              <w:jc w:val="center"/>
              <w:rPr>
                <w:bCs/>
                <w:sz w:val="20"/>
                <w:szCs w:val="20"/>
              </w:rPr>
            </w:pPr>
            <w:r>
              <w:rPr>
                <w:rFonts w:hint="eastAsia"/>
                <w:bCs/>
                <w:sz w:val="20"/>
                <w:szCs w:val="20"/>
              </w:rPr>
              <w:t>锁口圈周边</w:t>
            </w:r>
          </w:p>
        </w:tc>
        <w:tc>
          <w:tcPr>
            <w:tcW w:w="1447" w:type="pct"/>
            <w:vMerge w:val="restart"/>
            <w:vAlign w:val="center"/>
          </w:tcPr>
          <w:p>
            <w:pPr>
              <w:jc w:val="center"/>
              <w:rPr>
                <w:bCs/>
                <w:sz w:val="20"/>
                <w:szCs w:val="20"/>
              </w:rPr>
            </w:pPr>
            <w:r>
              <w:rPr>
                <w:rFonts w:hint="eastAsia"/>
                <w:bCs/>
                <w:sz w:val="20"/>
                <w:szCs w:val="20"/>
              </w:rPr>
              <w:t>施工过程中2次/d；</w:t>
            </w:r>
            <w:r>
              <w:rPr>
                <w:rFonts w:hint="eastAsia"/>
                <w:bCs/>
                <w:sz w:val="20"/>
                <w:szCs w:val="20"/>
              </w:rPr>
              <w:br w:type="textWrapping"/>
            </w:r>
            <w:r>
              <w:rPr>
                <w:rFonts w:hint="eastAsia"/>
                <w:bCs/>
                <w:sz w:val="20"/>
                <w:szCs w:val="20"/>
              </w:rPr>
              <w:t>竖井开挖两周内，1次/d；</w:t>
            </w:r>
            <w:r>
              <w:rPr>
                <w:rFonts w:hint="eastAsia"/>
                <w:bCs/>
                <w:sz w:val="20"/>
                <w:szCs w:val="20"/>
              </w:rPr>
              <w:br w:type="textWrapping"/>
            </w:r>
            <w:r>
              <w:rPr>
                <w:rFonts w:hint="eastAsia"/>
                <w:bCs/>
                <w:sz w:val="20"/>
                <w:szCs w:val="20"/>
              </w:rPr>
              <w:t>开挖3周~4周，2次/周；</w:t>
            </w:r>
            <w:r>
              <w:rPr>
                <w:rFonts w:hint="eastAsia"/>
                <w:bCs/>
                <w:sz w:val="20"/>
                <w:szCs w:val="20"/>
              </w:rPr>
              <w:br w:type="textWrapping"/>
            </w:r>
            <w:r>
              <w:rPr>
                <w:rFonts w:hint="eastAsia"/>
                <w:bCs/>
                <w:sz w:val="20"/>
                <w:szCs w:val="20"/>
              </w:rPr>
              <w:t>开挖4周以后到二衬完成前，1次/周。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4" w:type="pct"/>
            <w:tcBorders>
              <w:left w:val="single" w:color="auto" w:sz="4" w:space="0"/>
            </w:tcBorders>
            <w:vAlign w:val="center"/>
          </w:tcPr>
          <w:p>
            <w:pPr>
              <w:jc w:val="center"/>
              <w:rPr>
                <w:bCs/>
                <w:sz w:val="20"/>
                <w:szCs w:val="20"/>
              </w:rPr>
            </w:pPr>
            <w:r>
              <w:rPr>
                <w:rFonts w:hint="eastAsia"/>
                <w:bCs/>
                <w:sz w:val="20"/>
                <w:szCs w:val="20"/>
              </w:rPr>
              <w:t>3</w:t>
            </w:r>
          </w:p>
        </w:tc>
        <w:tc>
          <w:tcPr>
            <w:tcW w:w="1233" w:type="pct"/>
            <w:shd w:val="clear" w:color="auto" w:fill="auto"/>
            <w:noWrap/>
            <w:vAlign w:val="center"/>
          </w:tcPr>
          <w:p>
            <w:pPr>
              <w:jc w:val="center"/>
              <w:rPr>
                <w:bCs/>
                <w:sz w:val="20"/>
                <w:szCs w:val="20"/>
              </w:rPr>
            </w:pPr>
            <w:r>
              <w:rPr>
                <w:rFonts w:hint="eastAsia"/>
                <w:bCs/>
                <w:sz w:val="20"/>
                <w:szCs w:val="20"/>
              </w:rPr>
              <w:t>竖井圈梁沉降</w:t>
            </w:r>
          </w:p>
        </w:tc>
        <w:tc>
          <w:tcPr>
            <w:tcW w:w="416" w:type="pct"/>
            <w:shd w:val="clear" w:color="auto" w:fill="auto"/>
            <w:noWrap/>
          </w:tcPr>
          <w:p>
            <w:pPr>
              <w:jc w:val="center"/>
              <w:rPr>
                <w:bCs/>
                <w:sz w:val="20"/>
                <w:szCs w:val="20"/>
              </w:rPr>
            </w:pPr>
            <w:r>
              <w:rPr>
                <w:rFonts w:hint="eastAsia"/>
                <w:bCs/>
                <w:sz w:val="20"/>
                <w:szCs w:val="20"/>
              </w:rPr>
              <w:t>应测</w:t>
            </w:r>
          </w:p>
        </w:tc>
        <w:tc>
          <w:tcPr>
            <w:tcW w:w="1661" w:type="pct"/>
            <w:tcBorders>
              <w:right w:val="single" w:color="auto" w:sz="4" w:space="0"/>
            </w:tcBorders>
            <w:shd w:val="clear" w:color="auto" w:fill="auto"/>
            <w:noWrap/>
            <w:vAlign w:val="center"/>
          </w:tcPr>
          <w:p>
            <w:pPr>
              <w:jc w:val="center"/>
              <w:rPr>
                <w:bCs/>
                <w:sz w:val="20"/>
                <w:szCs w:val="20"/>
              </w:rPr>
            </w:pPr>
            <w:r>
              <w:rPr>
                <w:rFonts w:hint="eastAsia"/>
                <w:bCs/>
                <w:sz w:val="20"/>
                <w:szCs w:val="20"/>
              </w:rPr>
              <w:t>锁口圈周边</w:t>
            </w:r>
          </w:p>
        </w:tc>
        <w:tc>
          <w:tcPr>
            <w:tcW w:w="1447" w:type="pct"/>
            <w:vMerge w:val="continue"/>
            <w:vAlign w:val="center"/>
          </w:tcPr>
          <w:p>
            <w:pPr>
              <w:jc w:val="center"/>
              <w:rPr>
                <w:bCs/>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4" w:type="pct"/>
            <w:tcBorders>
              <w:left w:val="single" w:color="auto" w:sz="4" w:space="0"/>
            </w:tcBorders>
            <w:vAlign w:val="center"/>
          </w:tcPr>
          <w:p>
            <w:pPr>
              <w:jc w:val="center"/>
              <w:rPr>
                <w:bCs/>
                <w:sz w:val="20"/>
                <w:szCs w:val="20"/>
              </w:rPr>
            </w:pPr>
            <w:r>
              <w:rPr>
                <w:rFonts w:hint="eastAsia"/>
                <w:bCs/>
                <w:sz w:val="20"/>
                <w:szCs w:val="20"/>
              </w:rPr>
              <w:t>4</w:t>
            </w:r>
          </w:p>
        </w:tc>
        <w:tc>
          <w:tcPr>
            <w:tcW w:w="1233" w:type="pct"/>
            <w:shd w:val="clear" w:color="auto" w:fill="auto"/>
            <w:noWrap/>
            <w:vAlign w:val="center"/>
          </w:tcPr>
          <w:p>
            <w:pPr>
              <w:jc w:val="center"/>
              <w:rPr>
                <w:bCs/>
                <w:sz w:val="20"/>
                <w:szCs w:val="20"/>
              </w:rPr>
            </w:pPr>
            <w:r>
              <w:rPr>
                <w:rFonts w:hint="eastAsia"/>
                <w:bCs/>
                <w:sz w:val="20"/>
                <w:szCs w:val="20"/>
              </w:rPr>
              <w:t>竖井井壁收敛</w:t>
            </w:r>
          </w:p>
        </w:tc>
        <w:tc>
          <w:tcPr>
            <w:tcW w:w="416" w:type="pct"/>
            <w:shd w:val="clear" w:color="auto" w:fill="auto"/>
            <w:noWrap/>
          </w:tcPr>
          <w:p>
            <w:pPr>
              <w:jc w:val="center"/>
              <w:rPr>
                <w:bCs/>
                <w:sz w:val="20"/>
                <w:szCs w:val="20"/>
              </w:rPr>
            </w:pPr>
            <w:r>
              <w:rPr>
                <w:rFonts w:hint="eastAsia"/>
                <w:bCs/>
                <w:sz w:val="20"/>
                <w:szCs w:val="20"/>
              </w:rPr>
              <w:t>应测</w:t>
            </w:r>
          </w:p>
        </w:tc>
        <w:tc>
          <w:tcPr>
            <w:tcW w:w="1661" w:type="pct"/>
            <w:tcBorders>
              <w:right w:val="single" w:color="auto" w:sz="4" w:space="0"/>
            </w:tcBorders>
            <w:shd w:val="clear" w:color="auto" w:fill="auto"/>
            <w:noWrap/>
            <w:vAlign w:val="center"/>
          </w:tcPr>
          <w:p>
            <w:pPr>
              <w:jc w:val="center"/>
              <w:rPr>
                <w:bCs/>
                <w:sz w:val="20"/>
                <w:szCs w:val="20"/>
              </w:rPr>
            </w:pPr>
            <w:r>
              <w:rPr>
                <w:rFonts w:hint="eastAsia"/>
                <w:bCs/>
                <w:sz w:val="20"/>
                <w:szCs w:val="20"/>
              </w:rPr>
              <w:t>竖井井壁周边3m一个断面</w:t>
            </w:r>
          </w:p>
        </w:tc>
        <w:tc>
          <w:tcPr>
            <w:tcW w:w="1447" w:type="pct"/>
            <w:vMerge w:val="continue"/>
            <w:vAlign w:val="center"/>
          </w:tcPr>
          <w:p>
            <w:pPr>
              <w:jc w:val="center"/>
              <w:rPr>
                <w:bCs/>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4" w:type="pct"/>
            <w:tcBorders>
              <w:left w:val="single" w:color="auto" w:sz="4" w:space="0"/>
            </w:tcBorders>
            <w:vAlign w:val="center"/>
          </w:tcPr>
          <w:p>
            <w:pPr>
              <w:jc w:val="center"/>
              <w:rPr>
                <w:bCs/>
                <w:sz w:val="20"/>
                <w:szCs w:val="20"/>
              </w:rPr>
            </w:pPr>
            <w:r>
              <w:rPr>
                <w:rFonts w:hint="eastAsia"/>
                <w:bCs/>
                <w:sz w:val="20"/>
                <w:szCs w:val="20"/>
              </w:rPr>
              <w:t>5</w:t>
            </w:r>
          </w:p>
        </w:tc>
        <w:tc>
          <w:tcPr>
            <w:tcW w:w="1233" w:type="pct"/>
            <w:shd w:val="clear" w:color="auto" w:fill="auto"/>
            <w:noWrap/>
            <w:vAlign w:val="center"/>
          </w:tcPr>
          <w:p>
            <w:pPr>
              <w:jc w:val="center"/>
              <w:rPr>
                <w:bCs/>
                <w:sz w:val="20"/>
                <w:szCs w:val="20"/>
              </w:rPr>
            </w:pPr>
            <w:r>
              <w:rPr>
                <w:rFonts w:hint="eastAsia"/>
                <w:bCs/>
                <w:sz w:val="20"/>
                <w:szCs w:val="20"/>
              </w:rPr>
              <w:t>临时支撑变形</w:t>
            </w:r>
          </w:p>
        </w:tc>
        <w:tc>
          <w:tcPr>
            <w:tcW w:w="416" w:type="pct"/>
            <w:shd w:val="clear" w:color="auto" w:fill="auto"/>
            <w:noWrap/>
          </w:tcPr>
          <w:p>
            <w:pPr>
              <w:jc w:val="center"/>
              <w:rPr>
                <w:bCs/>
                <w:sz w:val="20"/>
                <w:szCs w:val="20"/>
              </w:rPr>
            </w:pPr>
            <w:r>
              <w:rPr>
                <w:rFonts w:hint="eastAsia"/>
                <w:bCs/>
                <w:sz w:val="20"/>
                <w:szCs w:val="20"/>
              </w:rPr>
              <w:t>应测</w:t>
            </w:r>
          </w:p>
        </w:tc>
        <w:tc>
          <w:tcPr>
            <w:tcW w:w="1661" w:type="pct"/>
            <w:tcBorders>
              <w:right w:val="single" w:color="auto" w:sz="4" w:space="0"/>
            </w:tcBorders>
            <w:shd w:val="clear" w:color="auto" w:fill="auto"/>
            <w:noWrap/>
            <w:vAlign w:val="center"/>
          </w:tcPr>
          <w:p>
            <w:pPr>
              <w:jc w:val="center"/>
              <w:rPr>
                <w:bCs/>
                <w:sz w:val="20"/>
                <w:szCs w:val="20"/>
              </w:rPr>
            </w:pPr>
            <w:r>
              <w:rPr>
                <w:rFonts w:hint="eastAsia"/>
                <w:bCs/>
                <w:sz w:val="20"/>
                <w:szCs w:val="20"/>
              </w:rPr>
              <w:t>2个点/单根支撑</w:t>
            </w:r>
          </w:p>
        </w:tc>
        <w:tc>
          <w:tcPr>
            <w:tcW w:w="1447" w:type="pct"/>
            <w:vMerge w:val="continue"/>
            <w:vAlign w:val="center"/>
          </w:tcPr>
          <w:p>
            <w:pPr>
              <w:jc w:val="center"/>
              <w:rPr>
                <w:bCs/>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4" w:type="pct"/>
            <w:tcBorders>
              <w:left w:val="single" w:color="auto" w:sz="4" w:space="0"/>
            </w:tcBorders>
            <w:vAlign w:val="center"/>
          </w:tcPr>
          <w:p>
            <w:pPr>
              <w:jc w:val="center"/>
              <w:rPr>
                <w:bCs/>
                <w:sz w:val="20"/>
                <w:szCs w:val="20"/>
              </w:rPr>
            </w:pPr>
            <w:r>
              <w:rPr>
                <w:rFonts w:hint="eastAsia"/>
                <w:bCs/>
                <w:sz w:val="20"/>
                <w:szCs w:val="20"/>
              </w:rPr>
              <w:t>6</w:t>
            </w:r>
          </w:p>
        </w:tc>
        <w:tc>
          <w:tcPr>
            <w:tcW w:w="1233" w:type="pct"/>
            <w:shd w:val="clear" w:color="auto" w:fill="auto"/>
            <w:noWrap/>
            <w:vAlign w:val="center"/>
          </w:tcPr>
          <w:p>
            <w:pPr>
              <w:jc w:val="center"/>
              <w:rPr>
                <w:bCs/>
                <w:sz w:val="20"/>
                <w:szCs w:val="20"/>
              </w:rPr>
            </w:pPr>
            <w:r>
              <w:rPr>
                <w:rFonts w:hint="eastAsia"/>
                <w:bCs/>
                <w:sz w:val="20"/>
                <w:szCs w:val="20"/>
              </w:rPr>
              <w:t>竖井周边地表沉降</w:t>
            </w:r>
          </w:p>
        </w:tc>
        <w:tc>
          <w:tcPr>
            <w:tcW w:w="416" w:type="pct"/>
            <w:shd w:val="clear" w:color="auto" w:fill="auto"/>
            <w:noWrap/>
          </w:tcPr>
          <w:p>
            <w:pPr>
              <w:jc w:val="center"/>
              <w:rPr>
                <w:bCs/>
                <w:sz w:val="20"/>
                <w:szCs w:val="20"/>
              </w:rPr>
            </w:pPr>
            <w:r>
              <w:rPr>
                <w:rFonts w:hint="eastAsia"/>
                <w:bCs/>
                <w:sz w:val="20"/>
                <w:szCs w:val="20"/>
              </w:rPr>
              <w:t>应测</w:t>
            </w:r>
          </w:p>
        </w:tc>
        <w:tc>
          <w:tcPr>
            <w:tcW w:w="1661" w:type="pct"/>
            <w:tcBorders>
              <w:right w:val="single" w:color="auto" w:sz="4" w:space="0"/>
            </w:tcBorders>
            <w:shd w:val="clear" w:color="auto" w:fill="auto"/>
            <w:noWrap/>
            <w:vAlign w:val="center"/>
          </w:tcPr>
          <w:p>
            <w:pPr>
              <w:jc w:val="center"/>
              <w:rPr>
                <w:bCs/>
                <w:sz w:val="20"/>
                <w:szCs w:val="20"/>
              </w:rPr>
            </w:pPr>
            <w:r>
              <w:rPr>
                <w:rFonts w:hint="eastAsia"/>
                <w:bCs/>
                <w:sz w:val="20"/>
                <w:szCs w:val="20"/>
              </w:rPr>
              <w:t>锁口圈开挖范围外5m~10m范围</w:t>
            </w:r>
          </w:p>
        </w:tc>
        <w:tc>
          <w:tcPr>
            <w:tcW w:w="1447" w:type="pct"/>
            <w:vMerge w:val="continue"/>
            <w:vAlign w:val="center"/>
          </w:tcPr>
          <w:p>
            <w:pPr>
              <w:jc w:val="center"/>
              <w:rPr>
                <w:bCs/>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4" w:type="pct"/>
            <w:tcBorders>
              <w:left w:val="single" w:color="auto" w:sz="4" w:space="0"/>
            </w:tcBorders>
            <w:vAlign w:val="center"/>
          </w:tcPr>
          <w:p>
            <w:pPr>
              <w:jc w:val="center"/>
              <w:rPr>
                <w:bCs/>
                <w:sz w:val="20"/>
                <w:szCs w:val="20"/>
              </w:rPr>
            </w:pPr>
            <w:r>
              <w:rPr>
                <w:rFonts w:hint="eastAsia"/>
                <w:bCs/>
                <w:sz w:val="20"/>
                <w:szCs w:val="20"/>
              </w:rPr>
              <w:t>7</w:t>
            </w:r>
          </w:p>
        </w:tc>
        <w:tc>
          <w:tcPr>
            <w:tcW w:w="1233" w:type="pct"/>
            <w:shd w:val="clear" w:color="auto" w:fill="auto"/>
            <w:noWrap/>
            <w:vAlign w:val="center"/>
          </w:tcPr>
          <w:p>
            <w:pPr>
              <w:jc w:val="center"/>
              <w:rPr>
                <w:bCs/>
                <w:sz w:val="20"/>
                <w:szCs w:val="20"/>
              </w:rPr>
            </w:pPr>
            <w:r>
              <w:rPr>
                <w:rFonts w:hint="eastAsia"/>
                <w:bCs/>
                <w:sz w:val="20"/>
                <w:szCs w:val="20"/>
              </w:rPr>
              <w:t>格栅钢筋应力</w:t>
            </w:r>
          </w:p>
        </w:tc>
        <w:tc>
          <w:tcPr>
            <w:tcW w:w="416" w:type="pct"/>
            <w:shd w:val="clear" w:color="auto" w:fill="auto"/>
            <w:noWrap/>
            <w:vAlign w:val="center"/>
          </w:tcPr>
          <w:p>
            <w:pPr>
              <w:jc w:val="center"/>
              <w:rPr>
                <w:bCs/>
                <w:sz w:val="20"/>
                <w:szCs w:val="20"/>
              </w:rPr>
            </w:pPr>
            <w:r>
              <w:rPr>
                <w:rFonts w:hint="eastAsia"/>
                <w:bCs/>
                <w:sz w:val="20"/>
                <w:szCs w:val="20"/>
              </w:rPr>
              <w:t>选测</w:t>
            </w:r>
          </w:p>
        </w:tc>
        <w:tc>
          <w:tcPr>
            <w:tcW w:w="1661" w:type="pct"/>
            <w:tcBorders>
              <w:right w:val="single" w:color="auto" w:sz="4" w:space="0"/>
            </w:tcBorders>
            <w:shd w:val="clear" w:color="auto" w:fill="auto"/>
            <w:noWrap/>
            <w:vAlign w:val="center"/>
          </w:tcPr>
          <w:p>
            <w:pPr>
              <w:jc w:val="center"/>
              <w:rPr>
                <w:bCs/>
                <w:sz w:val="20"/>
                <w:szCs w:val="20"/>
              </w:rPr>
            </w:pPr>
            <w:r>
              <w:rPr>
                <w:rFonts w:hint="eastAsia"/>
                <w:bCs/>
                <w:sz w:val="20"/>
                <w:szCs w:val="20"/>
              </w:rPr>
              <w:t>每开挖5m选一个断面，每个断面取5个~10个测点，视断面尺寸定</w:t>
            </w:r>
          </w:p>
        </w:tc>
        <w:tc>
          <w:tcPr>
            <w:tcW w:w="1447" w:type="pct"/>
            <w:vAlign w:val="center"/>
          </w:tcPr>
          <w:p>
            <w:pPr>
              <w:jc w:val="center"/>
              <w:rPr>
                <w:bCs/>
                <w:sz w:val="20"/>
                <w:szCs w:val="20"/>
              </w:rPr>
            </w:pPr>
            <w:r>
              <w:rPr>
                <w:rFonts w:hint="eastAsia"/>
                <w:bCs/>
                <w:sz w:val="20"/>
                <w:szCs w:val="20"/>
              </w:rPr>
              <w:t>竖井封底初始顶进前2次/d；顶进10m后2次/轴，竖井二衬前1次/周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4" w:type="pct"/>
            <w:tcBorders>
              <w:left w:val="single" w:color="auto" w:sz="4" w:space="0"/>
              <w:bottom w:val="single" w:color="auto" w:sz="4" w:space="0"/>
            </w:tcBorders>
            <w:vAlign w:val="center"/>
          </w:tcPr>
          <w:p>
            <w:pPr>
              <w:jc w:val="center"/>
              <w:rPr>
                <w:bCs/>
                <w:sz w:val="20"/>
                <w:szCs w:val="20"/>
              </w:rPr>
            </w:pPr>
            <w:r>
              <w:rPr>
                <w:rFonts w:hint="eastAsia"/>
                <w:bCs/>
                <w:sz w:val="20"/>
                <w:szCs w:val="20"/>
              </w:rPr>
              <w:t>8</w:t>
            </w:r>
          </w:p>
        </w:tc>
        <w:tc>
          <w:tcPr>
            <w:tcW w:w="1233" w:type="pct"/>
            <w:tcBorders>
              <w:bottom w:val="single" w:color="auto" w:sz="4" w:space="0"/>
            </w:tcBorders>
            <w:shd w:val="clear" w:color="auto" w:fill="auto"/>
            <w:noWrap/>
            <w:vAlign w:val="center"/>
          </w:tcPr>
          <w:p>
            <w:pPr>
              <w:jc w:val="center"/>
              <w:rPr>
                <w:bCs/>
                <w:sz w:val="20"/>
                <w:szCs w:val="20"/>
              </w:rPr>
            </w:pPr>
            <w:r>
              <w:rPr>
                <w:rFonts w:hint="eastAsia"/>
                <w:bCs/>
                <w:sz w:val="20"/>
                <w:szCs w:val="20"/>
              </w:rPr>
              <w:t>影响范围内的建（构）</w:t>
            </w:r>
          </w:p>
          <w:p>
            <w:pPr>
              <w:jc w:val="center"/>
              <w:rPr>
                <w:bCs/>
                <w:sz w:val="20"/>
                <w:szCs w:val="20"/>
              </w:rPr>
            </w:pPr>
            <w:r>
              <w:rPr>
                <w:rFonts w:hint="eastAsia"/>
                <w:bCs/>
                <w:sz w:val="20"/>
                <w:szCs w:val="20"/>
              </w:rPr>
              <w:t>筑物变形、沉降观测</w:t>
            </w:r>
          </w:p>
        </w:tc>
        <w:tc>
          <w:tcPr>
            <w:tcW w:w="416" w:type="pct"/>
            <w:tcBorders>
              <w:bottom w:val="single" w:color="auto" w:sz="4" w:space="0"/>
            </w:tcBorders>
            <w:shd w:val="clear" w:color="auto" w:fill="auto"/>
            <w:noWrap/>
            <w:vAlign w:val="center"/>
          </w:tcPr>
          <w:p>
            <w:pPr>
              <w:jc w:val="center"/>
              <w:rPr>
                <w:bCs/>
                <w:sz w:val="20"/>
                <w:szCs w:val="20"/>
              </w:rPr>
            </w:pPr>
            <w:r>
              <w:rPr>
                <w:rFonts w:hint="eastAsia"/>
                <w:bCs/>
                <w:sz w:val="20"/>
                <w:szCs w:val="20"/>
              </w:rPr>
              <w:t>应测</w:t>
            </w:r>
          </w:p>
        </w:tc>
        <w:tc>
          <w:tcPr>
            <w:tcW w:w="1661" w:type="pct"/>
            <w:tcBorders>
              <w:bottom w:val="single" w:color="auto" w:sz="4" w:space="0"/>
              <w:right w:val="single" w:color="auto" w:sz="4" w:space="0"/>
            </w:tcBorders>
            <w:shd w:val="clear" w:color="auto" w:fill="auto"/>
            <w:noWrap/>
            <w:vAlign w:val="center"/>
          </w:tcPr>
          <w:p>
            <w:pPr>
              <w:jc w:val="center"/>
              <w:rPr>
                <w:bCs/>
                <w:sz w:val="20"/>
                <w:szCs w:val="20"/>
              </w:rPr>
            </w:pPr>
            <w:r>
              <w:rPr>
                <w:rFonts w:hint="eastAsia"/>
                <w:bCs/>
                <w:sz w:val="20"/>
                <w:szCs w:val="20"/>
              </w:rPr>
              <w:t>—</w:t>
            </w:r>
          </w:p>
        </w:tc>
        <w:tc>
          <w:tcPr>
            <w:tcW w:w="1447" w:type="pct"/>
            <w:tcBorders>
              <w:bottom w:val="single" w:color="auto" w:sz="4" w:space="0"/>
            </w:tcBorders>
            <w:vAlign w:val="center"/>
          </w:tcPr>
          <w:p>
            <w:pPr>
              <w:jc w:val="center"/>
              <w:rPr>
                <w:bCs/>
                <w:sz w:val="20"/>
                <w:szCs w:val="20"/>
              </w:rPr>
            </w:pPr>
            <w:r>
              <w:rPr>
                <w:rFonts w:hint="eastAsia"/>
                <w:bCs/>
                <w:sz w:val="20"/>
                <w:szCs w:val="20"/>
              </w:rPr>
              <w:t>同竖井圈梁沉降</w:t>
            </w:r>
          </w:p>
        </w:tc>
      </w:tr>
    </w:tbl>
    <w:p>
      <w:pPr>
        <w:spacing w:line="440" w:lineRule="exact"/>
        <w:rPr>
          <w:sz w:val="24"/>
        </w:rPr>
      </w:pPr>
      <w:r>
        <w:rPr>
          <w:rFonts w:hint="eastAsia"/>
          <w:b/>
          <w:bCs/>
          <w:sz w:val="24"/>
        </w:rPr>
        <w:t>9.3.</w:t>
      </w:r>
      <w:r>
        <w:rPr>
          <w:b/>
          <w:bCs/>
          <w:sz w:val="24"/>
        </w:rPr>
        <w:t>5</w:t>
      </w:r>
      <w:r>
        <w:rPr>
          <w:rFonts w:hint="eastAsia"/>
          <w:sz w:val="24"/>
        </w:rPr>
        <w:t xml:space="preserve">  其他结构工作井监测项目及监测频率应符合表9.3.</w:t>
      </w:r>
      <w:r>
        <w:rPr>
          <w:sz w:val="24"/>
        </w:rPr>
        <w:t>5</w:t>
      </w:r>
      <w:r>
        <w:rPr>
          <w:rFonts w:hint="eastAsia"/>
          <w:sz w:val="24"/>
        </w:rPr>
        <w:t>的规定。</w:t>
      </w:r>
    </w:p>
    <w:p>
      <w:pPr>
        <w:spacing w:before="156" w:beforeLines="50"/>
        <w:jc w:val="center"/>
        <w:rPr>
          <w:rFonts w:eastAsia="黑体"/>
          <w:bCs/>
          <w:kern w:val="0"/>
          <w:szCs w:val="21"/>
        </w:rPr>
      </w:pPr>
      <w:r>
        <w:rPr>
          <w:rFonts w:hint="eastAsia" w:eastAsia="黑体"/>
          <w:bCs/>
          <w:kern w:val="0"/>
          <w:szCs w:val="21"/>
        </w:rPr>
        <w:t>表9.3.</w:t>
      </w:r>
      <w:r>
        <w:rPr>
          <w:rFonts w:eastAsia="黑体"/>
          <w:bCs/>
          <w:kern w:val="0"/>
          <w:szCs w:val="21"/>
        </w:rPr>
        <w:t>5</w:t>
      </w:r>
      <w:r>
        <w:rPr>
          <w:rFonts w:hint="eastAsia" w:eastAsia="黑体"/>
          <w:bCs/>
          <w:kern w:val="0"/>
          <w:szCs w:val="21"/>
        </w:rPr>
        <w:t xml:space="preserve">  其他结构工作井监测点布设及监测频率</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985"/>
        <w:gridCol w:w="708"/>
        <w:gridCol w:w="2550"/>
        <w:gridCol w:w="27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4" w:type="pct"/>
            <w:tcBorders>
              <w:top w:val="single" w:color="auto" w:sz="4" w:space="0"/>
              <w:left w:val="single" w:color="auto" w:sz="4" w:space="0"/>
            </w:tcBorders>
            <w:vAlign w:val="center"/>
          </w:tcPr>
          <w:p>
            <w:pPr>
              <w:jc w:val="center"/>
              <w:rPr>
                <w:bCs/>
                <w:sz w:val="20"/>
                <w:szCs w:val="20"/>
              </w:rPr>
            </w:pPr>
            <w:r>
              <w:rPr>
                <w:rFonts w:hint="eastAsia"/>
                <w:bCs/>
                <w:sz w:val="20"/>
                <w:szCs w:val="20"/>
              </w:rPr>
              <w:t>序号</w:t>
            </w:r>
          </w:p>
        </w:tc>
        <w:tc>
          <w:tcPr>
            <w:tcW w:w="1164" w:type="pct"/>
            <w:tcBorders>
              <w:top w:val="single" w:color="auto" w:sz="4" w:space="0"/>
            </w:tcBorders>
            <w:shd w:val="clear" w:color="auto" w:fill="auto"/>
            <w:noWrap/>
            <w:vAlign w:val="center"/>
          </w:tcPr>
          <w:p>
            <w:pPr>
              <w:jc w:val="center"/>
              <w:rPr>
                <w:bCs/>
                <w:sz w:val="20"/>
                <w:szCs w:val="20"/>
              </w:rPr>
            </w:pPr>
            <w:r>
              <w:rPr>
                <w:rFonts w:hint="eastAsia"/>
                <w:bCs/>
                <w:sz w:val="20"/>
                <w:szCs w:val="20"/>
              </w:rPr>
              <w:t>监测项目</w:t>
            </w:r>
          </w:p>
        </w:tc>
        <w:tc>
          <w:tcPr>
            <w:tcW w:w="415" w:type="pct"/>
            <w:tcBorders>
              <w:top w:val="single" w:color="auto" w:sz="4" w:space="0"/>
            </w:tcBorders>
            <w:shd w:val="clear" w:color="auto" w:fill="auto"/>
            <w:noWrap/>
            <w:vAlign w:val="center"/>
          </w:tcPr>
          <w:p>
            <w:pPr>
              <w:jc w:val="center"/>
              <w:rPr>
                <w:bCs/>
                <w:sz w:val="20"/>
                <w:szCs w:val="20"/>
              </w:rPr>
            </w:pPr>
            <w:r>
              <w:rPr>
                <w:rFonts w:hint="eastAsia"/>
                <w:bCs/>
                <w:sz w:val="20"/>
                <w:szCs w:val="20"/>
              </w:rPr>
              <w:t>监测类别</w:t>
            </w:r>
          </w:p>
        </w:tc>
        <w:tc>
          <w:tcPr>
            <w:tcW w:w="1495" w:type="pct"/>
            <w:tcBorders>
              <w:top w:val="single" w:color="auto" w:sz="4" w:space="0"/>
              <w:right w:val="single" w:color="auto" w:sz="4" w:space="0"/>
            </w:tcBorders>
            <w:shd w:val="clear" w:color="auto" w:fill="auto"/>
            <w:noWrap/>
            <w:vAlign w:val="center"/>
          </w:tcPr>
          <w:p>
            <w:pPr>
              <w:jc w:val="center"/>
              <w:rPr>
                <w:bCs/>
                <w:sz w:val="20"/>
                <w:szCs w:val="20"/>
              </w:rPr>
            </w:pPr>
            <w:r>
              <w:rPr>
                <w:rFonts w:hint="eastAsia"/>
                <w:bCs/>
                <w:sz w:val="20"/>
                <w:szCs w:val="20"/>
              </w:rPr>
              <w:t>监测点布设</w:t>
            </w:r>
          </w:p>
        </w:tc>
        <w:tc>
          <w:tcPr>
            <w:tcW w:w="1612" w:type="pct"/>
            <w:tcBorders>
              <w:top w:val="single" w:color="auto" w:sz="4" w:space="0"/>
            </w:tcBorders>
            <w:vAlign w:val="center"/>
          </w:tcPr>
          <w:p>
            <w:pPr>
              <w:jc w:val="center"/>
              <w:rPr>
                <w:bCs/>
                <w:sz w:val="20"/>
                <w:szCs w:val="20"/>
              </w:rPr>
            </w:pPr>
            <w:r>
              <w:rPr>
                <w:rFonts w:hint="eastAsia"/>
                <w:bCs/>
                <w:sz w:val="20"/>
                <w:szCs w:val="20"/>
              </w:rPr>
              <w:t>监测频率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4" w:type="pct"/>
            <w:tcBorders>
              <w:left w:val="single" w:color="auto" w:sz="4" w:space="0"/>
            </w:tcBorders>
            <w:vAlign w:val="center"/>
          </w:tcPr>
          <w:p>
            <w:pPr>
              <w:jc w:val="center"/>
              <w:rPr>
                <w:bCs/>
                <w:sz w:val="20"/>
                <w:szCs w:val="20"/>
              </w:rPr>
            </w:pPr>
            <w:r>
              <w:rPr>
                <w:rFonts w:hint="eastAsia"/>
                <w:bCs/>
                <w:sz w:val="20"/>
                <w:szCs w:val="20"/>
              </w:rPr>
              <w:t>1</w:t>
            </w:r>
          </w:p>
        </w:tc>
        <w:tc>
          <w:tcPr>
            <w:tcW w:w="1164" w:type="pct"/>
            <w:shd w:val="clear" w:color="auto" w:fill="auto"/>
            <w:noWrap/>
            <w:vAlign w:val="center"/>
          </w:tcPr>
          <w:p>
            <w:pPr>
              <w:jc w:val="center"/>
              <w:rPr>
                <w:bCs/>
                <w:sz w:val="20"/>
                <w:szCs w:val="20"/>
              </w:rPr>
            </w:pPr>
            <w:r>
              <w:rPr>
                <w:rFonts w:hint="eastAsia"/>
                <w:bCs/>
                <w:sz w:val="20"/>
                <w:szCs w:val="20"/>
              </w:rPr>
              <w:t>地质状况描述及支护观察</w:t>
            </w:r>
          </w:p>
        </w:tc>
        <w:tc>
          <w:tcPr>
            <w:tcW w:w="415" w:type="pct"/>
            <w:shd w:val="clear" w:color="auto" w:fill="auto"/>
            <w:noWrap/>
          </w:tcPr>
          <w:p>
            <w:pPr>
              <w:jc w:val="center"/>
              <w:rPr>
                <w:bCs/>
                <w:sz w:val="20"/>
                <w:szCs w:val="20"/>
              </w:rPr>
            </w:pPr>
            <w:r>
              <w:rPr>
                <w:rFonts w:hint="eastAsia"/>
                <w:bCs/>
                <w:sz w:val="20"/>
                <w:szCs w:val="20"/>
              </w:rPr>
              <w:t>应测</w:t>
            </w:r>
          </w:p>
        </w:tc>
        <w:tc>
          <w:tcPr>
            <w:tcW w:w="1495" w:type="pct"/>
            <w:tcBorders>
              <w:right w:val="single" w:color="auto" w:sz="4" w:space="0"/>
            </w:tcBorders>
            <w:shd w:val="clear" w:color="auto" w:fill="auto"/>
            <w:noWrap/>
            <w:vAlign w:val="center"/>
          </w:tcPr>
          <w:p>
            <w:pPr>
              <w:jc w:val="center"/>
              <w:rPr>
                <w:bCs/>
                <w:sz w:val="20"/>
                <w:szCs w:val="20"/>
              </w:rPr>
            </w:pPr>
            <w:r>
              <w:rPr>
                <w:rFonts w:hint="eastAsia"/>
                <w:bCs/>
                <w:sz w:val="20"/>
                <w:szCs w:val="20"/>
              </w:rPr>
              <w:t>—</w:t>
            </w:r>
          </w:p>
        </w:tc>
        <w:tc>
          <w:tcPr>
            <w:tcW w:w="1612" w:type="pct"/>
            <w:vAlign w:val="center"/>
          </w:tcPr>
          <w:p>
            <w:pPr>
              <w:jc w:val="center"/>
              <w:rPr>
                <w:bCs/>
                <w:sz w:val="20"/>
                <w:szCs w:val="20"/>
              </w:rPr>
            </w:pPr>
            <w:r>
              <w:rPr>
                <w:rFonts w:hint="eastAsia"/>
                <w:bCs/>
                <w:sz w:val="20"/>
                <w:szCs w:val="20"/>
              </w:rPr>
              <w:t>施工过程中每天进行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14" w:type="pct"/>
            <w:tcBorders>
              <w:left w:val="single" w:color="auto" w:sz="4" w:space="0"/>
            </w:tcBorders>
            <w:vAlign w:val="center"/>
          </w:tcPr>
          <w:p>
            <w:pPr>
              <w:jc w:val="center"/>
              <w:rPr>
                <w:bCs/>
                <w:sz w:val="20"/>
                <w:szCs w:val="20"/>
              </w:rPr>
            </w:pPr>
            <w:r>
              <w:rPr>
                <w:rFonts w:hint="eastAsia"/>
                <w:bCs/>
                <w:sz w:val="20"/>
                <w:szCs w:val="20"/>
              </w:rPr>
              <w:t>2</w:t>
            </w:r>
          </w:p>
        </w:tc>
        <w:tc>
          <w:tcPr>
            <w:tcW w:w="1164" w:type="pct"/>
            <w:shd w:val="clear" w:color="auto" w:fill="auto"/>
            <w:noWrap/>
            <w:vAlign w:val="center"/>
          </w:tcPr>
          <w:p>
            <w:pPr>
              <w:jc w:val="center"/>
              <w:rPr>
                <w:bCs/>
                <w:sz w:val="20"/>
                <w:szCs w:val="20"/>
              </w:rPr>
            </w:pPr>
            <w:r>
              <w:rPr>
                <w:rFonts w:hint="eastAsia"/>
                <w:bCs/>
                <w:sz w:val="20"/>
                <w:szCs w:val="20"/>
              </w:rPr>
              <w:t>井周边地表沉降</w:t>
            </w:r>
          </w:p>
        </w:tc>
        <w:tc>
          <w:tcPr>
            <w:tcW w:w="415" w:type="pct"/>
            <w:shd w:val="clear" w:color="auto" w:fill="auto"/>
            <w:noWrap/>
          </w:tcPr>
          <w:p>
            <w:pPr>
              <w:jc w:val="center"/>
              <w:rPr>
                <w:bCs/>
                <w:sz w:val="20"/>
                <w:szCs w:val="20"/>
              </w:rPr>
            </w:pPr>
            <w:r>
              <w:rPr>
                <w:rFonts w:hint="eastAsia"/>
                <w:bCs/>
                <w:sz w:val="20"/>
                <w:szCs w:val="20"/>
              </w:rPr>
              <w:t>应测</w:t>
            </w:r>
          </w:p>
        </w:tc>
        <w:tc>
          <w:tcPr>
            <w:tcW w:w="1495" w:type="pct"/>
            <w:tcBorders>
              <w:right w:val="single" w:color="auto" w:sz="4" w:space="0"/>
            </w:tcBorders>
            <w:shd w:val="clear" w:color="auto" w:fill="auto"/>
            <w:noWrap/>
            <w:vAlign w:val="center"/>
          </w:tcPr>
          <w:p>
            <w:pPr>
              <w:jc w:val="center"/>
              <w:rPr>
                <w:bCs/>
                <w:sz w:val="20"/>
                <w:szCs w:val="20"/>
              </w:rPr>
            </w:pPr>
            <w:r>
              <w:rPr>
                <w:rFonts w:hint="eastAsia"/>
                <w:bCs/>
                <w:sz w:val="20"/>
                <w:szCs w:val="20"/>
              </w:rPr>
              <w:t>桩、连续墙等结构外皮5m~10m范围</w:t>
            </w:r>
          </w:p>
        </w:tc>
        <w:tc>
          <w:tcPr>
            <w:tcW w:w="1612" w:type="pct"/>
            <w:vAlign w:val="center"/>
          </w:tcPr>
          <w:p>
            <w:pPr>
              <w:ind w:firstLine="200" w:firstLineChars="100"/>
              <w:jc w:val="left"/>
              <w:rPr>
                <w:bCs/>
                <w:sz w:val="20"/>
                <w:szCs w:val="20"/>
              </w:rPr>
            </w:pPr>
            <w:r>
              <w:rPr>
                <w:rFonts w:hint="eastAsia"/>
                <w:bCs/>
                <w:sz w:val="20"/>
                <w:szCs w:val="20"/>
              </w:rPr>
              <w:t>1）施工过程中2次/d；</w:t>
            </w:r>
          </w:p>
          <w:p>
            <w:pPr>
              <w:ind w:firstLine="200" w:firstLineChars="100"/>
              <w:jc w:val="left"/>
              <w:rPr>
                <w:bCs/>
                <w:sz w:val="20"/>
                <w:szCs w:val="20"/>
              </w:rPr>
            </w:pPr>
            <w:r>
              <w:rPr>
                <w:rFonts w:hint="eastAsia"/>
                <w:bCs/>
                <w:sz w:val="20"/>
                <w:szCs w:val="20"/>
              </w:rPr>
              <w:t>2）井开挖后2周内，1次/2d；</w:t>
            </w:r>
          </w:p>
          <w:p>
            <w:pPr>
              <w:ind w:firstLine="200" w:firstLineChars="100"/>
              <w:jc w:val="left"/>
              <w:rPr>
                <w:bCs/>
                <w:sz w:val="20"/>
                <w:szCs w:val="20"/>
              </w:rPr>
            </w:pPr>
            <w:r>
              <w:rPr>
                <w:rFonts w:hint="eastAsia"/>
                <w:bCs/>
                <w:sz w:val="20"/>
                <w:szCs w:val="20"/>
              </w:rPr>
              <w:t>3）开挖后3周~4周，2次/周；</w:t>
            </w:r>
          </w:p>
          <w:p>
            <w:pPr>
              <w:jc w:val="center"/>
              <w:rPr>
                <w:bCs/>
                <w:sz w:val="20"/>
                <w:szCs w:val="20"/>
              </w:rPr>
            </w:pPr>
            <w:r>
              <w:rPr>
                <w:rFonts w:hint="eastAsia"/>
                <w:bCs/>
                <w:sz w:val="20"/>
                <w:szCs w:val="20"/>
              </w:rPr>
              <w:t>4）开挖4周以后到二村完成前，1次/周。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14" w:type="pct"/>
            <w:tcBorders>
              <w:left w:val="single" w:color="auto" w:sz="4" w:space="0"/>
            </w:tcBorders>
            <w:vAlign w:val="center"/>
          </w:tcPr>
          <w:p>
            <w:pPr>
              <w:jc w:val="center"/>
              <w:rPr>
                <w:bCs/>
                <w:sz w:val="20"/>
                <w:szCs w:val="20"/>
              </w:rPr>
            </w:pPr>
            <w:r>
              <w:rPr>
                <w:rFonts w:hint="eastAsia"/>
                <w:bCs/>
                <w:sz w:val="20"/>
                <w:szCs w:val="20"/>
              </w:rPr>
              <w:t>3</w:t>
            </w:r>
          </w:p>
        </w:tc>
        <w:tc>
          <w:tcPr>
            <w:tcW w:w="1164" w:type="pct"/>
            <w:shd w:val="clear" w:color="auto" w:fill="auto"/>
            <w:noWrap/>
            <w:vAlign w:val="center"/>
          </w:tcPr>
          <w:p>
            <w:pPr>
              <w:jc w:val="center"/>
              <w:rPr>
                <w:bCs/>
                <w:sz w:val="20"/>
                <w:szCs w:val="20"/>
              </w:rPr>
            </w:pPr>
            <w:r>
              <w:rPr>
                <w:rFonts w:hint="eastAsia"/>
                <w:bCs/>
                <w:sz w:val="20"/>
                <w:szCs w:val="20"/>
              </w:rPr>
              <w:t>桩、连续墙等围护结构顶水平位移和垂直位移</w:t>
            </w:r>
          </w:p>
        </w:tc>
        <w:tc>
          <w:tcPr>
            <w:tcW w:w="415" w:type="pct"/>
            <w:shd w:val="clear" w:color="auto" w:fill="auto"/>
            <w:noWrap/>
          </w:tcPr>
          <w:p>
            <w:pPr>
              <w:jc w:val="center"/>
              <w:rPr>
                <w:bCs/>
                <w:sz w:val="20"/>
                <w:szCs w:val="20"/>
              </w:rPr>
            </w:pPr>
            <w:r>
              <w:rPr>
                <w:rFonts w:hint="eastAsia"/>
                <w:bCs/>
                <w:sz w:val="20"/>
                <w:szCs w:val="20"/>
              </w:rPr>
              <w:t>应测</w:t>
            </w:r>
          </w:p>
        </w:tc>
        <w:tc>
          <w:tcPr>
            <w:tcW w:w="1495" w:type="pct"/>
            <w:tcBorders>
              <w:right w:val="single" w:color="auto" w:sz="4" w:space="0"/>
            </w:tcBorders>
            <w:shd w:val="clear" w:color="auto" w:fill="auto"/>
            <w:noWrap/>
            <w:vAlign w:val="center"/>
          </w:tcPr>
          <w:p>
            <w:pPr>
              <w:jc w:val="center"/>
              <w:rPr>
                <w:bCs/>
                <w:sz w:val="20"/>
                <w:szCs w:val="20"/>
              </w:rPr>
            </w:pPr>
            <w:r>
              <w:rPr>
                <w:rFonts w:hint="eastAsia"/>
                <w:bCs/>
                <w:sz w:val="20"/>
                <w:szCs w:val="20"/>
              </w:rPr>
              <w:t>沿工作井长边设置不少于2个、短边设置不少于1个主测断面，在桩顶设置测点</w:t>
            </w:r>
          </w:p>
        </w:tc>
        <w:tc>
          <w:tcPr>
            <w:tcW w:w="1612" w:type="pct"/>
            <w:vMerge w:val="restart"/>
            <w:vAlign w:val="center"/>
          </w:tcPr>
          <w:p>
            <w:pPr>
              <w:ind w:firstLine="200" w:firstLineChars="100"/>
              <w:jc w:val="left"/>
              <w:rPr>
                <w:bCs/>
                <w:sz w:val="20"/>
                <w:szCs w:val="20"/>
              </w:rPr>
            </w:pPr>
            <w:r>
              <w:rPr>
                <w:rFonts w:hint="eastAsia"/>
                <w:bCs/>
                <w:sz w:val="20"/>
                <w:szCs w:val="20"/>
              </w:rPr>
              <w:t>1）工作井开挖期间，开挖深度≤5m时1次/3d；</w:t>
            </w:r>
          </w:p>
          <w:p>
            <w:pPr>
              <w:ind w:firstLine="200" w:firstLineChars="100"/>
              <w:jc w:val="left"/>
              <w:rPr>
                <w:bCs/>
                <w:sz w:val="20"/>
                <w:szCs w:val="20"/>
              </w:rPr>
            </w:pPr>
            <w:r>
              <w:rPr>
                <w:rFonts w:hint="eastAsia"/>
                <w:bCs/>
                <w:sz w:val="20"/>
                <w:szCs w:val="20"/>
              </w:rPr>
              <w:t>2）5m &lt;开挖深度≤10m时1次/2d；</w:t>
            </w:r>
          </w:p>
          <w:p>
            <w:pPr>
              <w:ind w:firstLine="200" w:firstLineChars="100"/>
              <w:jc w:val="left"/>
              <w:rPr>
                <w:bCs/>
                <w:sz w:val="20"/>
                <w:szCs w:val="20"/>
              </w:rPr>
            </w:pPr>
            <w:r>
              <w:rPr>
                <w:rFonts w:hint="eastAsia"/>
                <w:bCs/>
                <w:sz w:val="20"/>
                <w:szCs w:val="20"/>
              </w:rPr>
              <w:t>3）10m &lt; 开挖深度≤15m时1次/1d；</w:t>
            </w:r>
          </w:p>
          <w:p>
            <w:pPr>
              <w:ind w:firstLine="200" w:firstLineChars="100"/>
              <w:jc w:val="left"/>
              <w:rPr>
                <w:bCs/>
                <w:sz w:val="20"/>
                <w:szCs w:val="20"/>
              </w:rPr>
            </w:pPr>
            <w:r>
              <w:rPr>
                <w:rFonts w:hint="eastAsia"/>
                <w:bCs/>
                <w:sz w:val="20"/>
                <w:szCs w:val="20"/>
              </w:rPr>
              <w:t>4）开挖深度 &gt; 15m时，2次/d；</w:t>
            </w:r>
          </w:p>
          <w:p>
            <w:pPr>
              <w:ind w:firstLine="200" w:firstLineChars="100"/>
              <w:jc w:val="left"/>
              <w:rPr>
                <w:bCs/>
                <w:sz w:val="20"/>
                <w:szCs w:val="20"/>
              </w:rPr>
            </w:pPr>
            <w:r>
              <w:rPr>
                <w:rFonts w:hint="eastAsia"/>
                <w:bCs/>
                <w:sz w:val="20"/>
                <w:szCs w:val="20"/>
              </w:rPr>
              <w:t>5）工作井开挖完成以后，1d ~ 7d，1次/d；</w:t>
            </w:r>
          </w:p>
          <w:p>
            <w:pPr>
              <w:ind w:firstLine="200" w:firstLineChars="100"/>
              <w:jc w:val="left"/>
              <w:rPr>
                <w:bCs/>
                <w:sz w:val="20"/>
                <w:szCs w:val="20"/>
              </w:rPr>
            </w:pPr>
            <w:r>
              <w:rPr>
                <w:rFonts w:hint="eastAsia"/>
                <w:bCs/>
                <w:sz w:val="20"/>
                <w:szCs w:val="20"/>
              </w:rPr>
              <w:t>6）7d ~ 15d，1次/2d；15d ~ 30d，1次/3d；</w:t>
            </w:r>
          </w:p>
          <w:p>
            <w:pPr>
              <w:ind w:firstLine="200" w:firstLineChars="100"/>
              <w:jc w:val="left"/>
              <w:rPr>
                <w:bCs/>
                <w:sz w:val="20"/>
                <w:szCs w:val="20"/>
              </w:rPr>
            </w:pPr>
            <w:r>
              <w:rPr>
                <w:rFonts w:hint="eastAsia"/>
                <w:bCs/>
                <w:sz w:val="20"/>
                <w:szCs w:val="20"/>
              </w:rPr>
              <w:t>7）30d以后，1次/周；</w:t>
            </w:r>
          </w:p>
          <w:p>
            <w:pPr>
              <w:jc w:val="center"/>
              <w:rPr>
                <w:bCs/>
                <w:sz w:val="20"/>
                <w:szCs w:val="20"/>
              </w:rPr>
            </w:pPr>
            <w:r>
              <w:rPr>
                <w:rFonts w:hint="eastAsia"/>
                <w:bCs/>
                <w:sz w:val="20"/>
                <w:szCs w:val="20"/>
              </w:rPr>
              <w:t>8）经数据分析确认达到基本稳定后，1次/月。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4" w:type="pct"/>
            <w:tcBorders>
              <w:left w:val="single" w:color="auto" w:sz="4" w:space="0"/>
            </w:tcBorders>
            <w:vAlign w:val="center"/>
          </w:tcPr>
          <w:p>
            <w:pPr>
              <w:jc w:val="center"/>
              <w:rPr>
                <w:bCs/>
                <w:sz w:val="20"/>
                <w:szCs w:val="20"/>
              </w:rPr>
            </w:pPr>
            <w:r>
              <w:rPr>
                <w:rFonts w:hint="eastAsia"/>
                <w:bCs/>
                <w:sz w:val="20"/>
                <w:szCs w:val="20"/>
              </w:rPr>
              <w:t>4</w:t>
            </w:r>
          </w:p>
        </w:tc>
        <w:tc>
          <w:tcPr>
            <w:tcW w:w="1164" w:type="pct"/>
            <w:shd w:val="clear" w:color="auto" w:fill="auto"/>
            <w:noWrap/>
            <w:vAlign w:val="center"/>
          </w:tcPr>
          <w:p>
            <w:pPr>
              <w:jc w:val="center"/>
              <w:rPr>
                <w:bCs/>
                <w:sz w:val="20"/>
                <w:szCs w:val="20"/>
              </w:rPr>
            </w:pPr>
            <w:r>
              <w:rPr>
                <w:rFonts w:hint="eastAsia"/>
                <w:bCs/>
                <w:sz w:val="20"/>
                <w:szCs w:val="20"/>
              </w:rPr>
              <w:t>井壁收敛</w:t>
            </w:r>
          </w:p>
        </w:tc>
        <w:tc>
          <w:tcPr>
            <w:tcW w:w="415" w:type="pct"/>
            <w:shd w:val="clear" w:color="auto" w:fill="auto"/>
            <w:noWrap/>
          </w:tcPr>
          <w:p>
            <w:pPr>
              <w:jc w:val="center"/>
              <w:rPr>
                <w:bCs/>
                <w:sz w:val="20"/>
                <w:szCs w:val="20"/>
              </w:rPr>
            </w:pPr>
            <w:r>
              <w:rPr>
                <w:rFonts w:hint="eastAsia"/>
                <w:bCs/>
                <w:sz w:val="20"/>
                <w:szCs w:val="20"/>
              </w:rPr>
              <w:t>应测</w:t>
            </w:r>
          </w:p>
        </w:tc>
        <w:tc>
          <w:tcPr>
            <w:tcW w:w="1495" w:type="pct"/>
            <w:tcBorders>
              <w:right w:val="single" w:color="auto" w:sz="4" w:space="0"/>
            </w:tcBorders>
            <w:shd w:val="clear" w:color="auto" w:fill="auto"/>
            <w:noWrap/>
            <w:vAlign w:val="center"/>
          </w:tcPr>
          <w:p>
            <w:pPr>
              <w:jc w:val="center"/>
              <w:rPr>
                <w:bCs/>
                <w:sz w:val="20"/>
                <w:szCs w:val="20"/>
              </w:rPr>
            </w:pPr>
            <w:r>
              <w:rPr>
                <w:rFonts w:hint="eastAsia"/>
                <w:bCs/>
                <w:sz w:val="20"/>
                <w:szCs w:val="20"/>
              </w:rPr>
              <w:t>井结构的长、短边中点，沿竖向3m~5m高一个监测断面，每个监测断面不少于2条测线</w:t>
            </w:r>
          </w:p>
        </w:tc>
        <w:tc>
          <w:tcPr>
            <w:tcW w:w="1612" w:type="pct"/>
            <w:vMerge w:val="continue"/>
            <w:vAlign w:val="center"/>
          </w:tcPr>
          <w:p>
            <w:pPr>
              <w:jc w:val="center"/>
              <w:rPr>
                <w:bCs/>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4" w:type="pct"/>
            <w:tcBorders>
              <w:left w:val="single" w:color="auto" w:sz="4" w:space="0"/>
            </w:tcBorders>
            <w:vAlign w:val="center"/>
          </w:tcPr>
          <w:p>
            <w:pPr>
              <w:jc w:val="center"/>
              <w:rPr>
                <w:bCs/>
                <w:sz w:val="20"/>
                <w:szCs w:val="20"/>
              </w:rPr>
            </w:pPr>
            <w:r>
              <w:rPr>
                <w:rFonts w:hint="eastAsia"/>
                <w:bCs/>
                <w:sz w:val="20"/>
                <w:szCs w:val="20"/>
              </w:rPr>
              <w:t>5</w:t>
            </w:r>
          </w:p>
        </w:tc>
        <w:tc>
          <w:tcPr>
            <w:tcW w:w="1164" w:type="pct"/>
            <w:shd w:val="clear" w:color="auto" w:fill="auto"/>
            <w:noWrap/>
            <w:vAlign w:val="center"/>
          </w:tcPr>
          <w:p>
            <w:pPr>
              <w:jc w:val="center"/>
              <w:rPr>
                <w:bCs/>
                <w:sz w:val="20"/>
                <w:szCs w:val="20"/>
              </w:rPr>
            </w:pPr>
            <w:r>
              <w:rPr>
                <w:rFonts w:hint="eastAsia"/>
                <w:bCs/>
                <w:sz w:val="20"/>
                <w:szCs w:val="20"/>
              </w:rPr>
              <w:t>围护结构变形</w:t>
            </w:r>
          </w:p>
        </w:tc>
        <w:tc>
          <w:tcPr>
            <w:tcW w:w="415" w:type="pct"/>
            <w:shd w:val="clear" w:color="auto" w:fill="auto"/>
            <w:noWrap/>
          </w:tcPr>
          <w:p>
            <w:pPr>
              <w:jc w:val="center"/>
              <w:rPr>
                <w:bCs/>
                <w:sz w:val="20"/>
                <w:szCs w:val="20"/>
              </w:rPr>
            </w:pPr>
            <w:r>
              <w:rPr>
                <w:rFonts w:hint="eastAsia"/>
                <w:bCs/>
                <w:sz w:val="20"/>
                <w:szCs w:val="20"/>
              </w:rPr>
              <w:t>应测</w:t>
            </w:r>
          </w:p>
        </w:tc>
        <w:tc>
          <w:tcPr>
            <w:tcW w:w="1495" w:type="pct"/>
            <w:tcBorders>
              <w:right w:val="single" w:color="auto" w:sz="4" w:space="0"/>
            </w:tcBorders>
            <w:shd w:val="clear" w:color="auto" w:fill="auto"/>
            <w:noWrap/>
            <w:vAlign w:val="center"/>
          </w:tcPr>
          <w:p>
            <w:pPr>
              <w:jc w:val="center"/>
              <w:rPr>
                <w:bCs/>
                <w:sz w:val="20"/>
                <w:szCs w:val="20"/>
              </w:rPr>
            </w:pPr>
            <w:r>
              <w:rPr>
                <w:rFonts w:hint="eastAsia"/>
                <w:bCs/>
                <w:sz w:val="20"/>
                <w:szCs w:val="20"/>
              </w:rPr>
              <w:t>沿工作井长边设置不少于2个、短边设置不少于1个主测断面，在桩顶设置测点</w:t>
            </w:r>
          </w:p>
        </w:tc>
        <w:tc>
          <w:tcPr>
            <w:tcW w:w="1612" w:type="pct"/>
            <w:vMerge w:val="continue"/>
            <w:vAlign w:val="center"/>
          </w:tcPr>
          <w:p>
            <w:pPr>
              <w:jc w:val="center"/>
              <w:rPr>
                <w:bCs/>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4" w:type="pct"/>
            <w:tcBorders>
              <w:left w:val="single" w:color="auto" w:sz="4" w:space="0"/>
            </w:tcBorders>
            <w:vAlign w:val="center"/>
          </w:tcPr>
          <w:p>
            <w:pPr>
              <w:jc w:val="center"/>
              <w:rPr>
                <w:bCs/>
                <w:sz w:val="20"/>
                <w:szCs w:val="20"/>
              </w:rPr>
            </w:pPr>
            <w:r>
              <w:rPr>
                <w:rFonts w:hint="eastAsia"/>
                <w:bCs/>
                <w:sz w:val="20"/>
                <w:szCs w:val="20"/>
              </w:rPr>
              <w:t>6</w:t>
            </w:r>
          </w:p>
        </w:tc>
        <w:tc>
          <w:tcPr>
            <w:tcW w:w="1164" w:type="pct"/>
            <w:shd w:val="clear" w:color="auto" w:fill="auto"/>
            <w:noWrap/>
            <w:vAlign w:val="center"/>
          </w:tcPr>
          <w:p>
            <w:pPr>
              <w:jc w:val="center"/>
              <w:rPr>
                <w:bCs/>
                <w:sz w:val="20"/>
                <w:szCs w:val="20"/>
              </w:rPr>
            </w:pPr>
            <w:r>
              <w:rPr>
                <w:rFonts w:hint="eastAsia"/>
                <w:bCs/>
                <w:sz w:val="20"/>
                <w:szCs w:val="20"/>
              </w:rPr>
              <w:t>支撑轴力</w:t>
            </w:r>
          </w:p>
        </w:tc>
        <w:tc>
          <w:tcPr>
            <w:tcW w:w="415" w:type="pct"/>
            <w:shd w:val="clear" w:color="auto" w:fill="auto"/>
            <w:noWrap/>
            <w:vAlign w:val="center"/>
          </w:tcPr>
          <w:p>
            <w:pPr>
              <w:jc w:val="center"/>
              <w:rPr>
                <w:bCs/>
                <w:sz w:val="20"/>
                <w:szCs w:val="20"/>
              </w:rPr>
            </w:pPr>
            <w:r>
              <w:rPr>
                <w:rFonts w:hint="eastAsia"/>
                <w:bCs/>
                <w:sz w:val="20"/>
                <w:szCs w:val="20"/>
              </w:rPr>
              <w:t>选测</w:t>
            </w:r>
          </w:p>
        </w:tc>
        <w:tc>
          <w:tcPr>
            <w:tcW w:w="1495" w:type="pct"/>
            <w:tcBorders>
              <w:right w:val="single" w:color="auto" w:sz="4" w:space="0"/>
            </w:tcBorders>
            <w:shd w:val="clear" w:color="auto" w:fill="auto"/>
            <w:noWrap/>
            <w:vAlign w:val="center"/>
          </w:tcPr>
          <w:p>
            <w:pPr>
              <w:jc w:val="center"/>
              <w:rPr>
                <w:bCs/>
                <w:sz w:val="20"/>
                <w:szCs w:val="20"/>
              </w:rPr>
            </w:pPr>
            <w:r>
              <w:rPr>
                <w:rFonts w:hint="eastAsia"/>
                <w:bCs/>
                <w:sz w:val="20"/>
                <w:szCs w:val="20"/>
              </w:rPr>
              <w:t>全面监测，测点一般布置在支撑的端部或中部，宜同时监测端部和中部的沉降和位移</w:t>
            </w:r>
          </w:p>
        </w:tc>
        <w:tc>
          <w:tcPr>
            <w:tcW w:w="1612" w:type="pct"/>
            <w:vMerge w:val="continue"/>
            <w:vAlign w:val="center"/>
          </w:tcPr>
          <w:p>
            <w:pPr>
              <w:jc w:val="center"/>
              <w:rPr>
                <w:bCs/>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14" w:type="pct"/>
            <w:tcBorders>
              <w:left w:val="single" w:color="auto" w:sz="4" w:space="0"/>
              <w:bottom w:val="single" w:color="auto" w:sz="4" w:space="0"/>
            </w:tcBorders>
            <w:vAlign w:val="center"/>
          </w:tcPr>
          <w:p>
            <w:pPr>
              <w:jc w:val="center"/>
              <w:rPr>
                <w:bCs/>
                <w:sz w:val="20"/>
                <w:szCs w:val="20"/>
              </w:rPr>
            </w:pPr>
            <w:r>
              <w:rPr>
                <w:rFonts w:hint="eastAsia"/>
                <w:bCs/>
                <w:sz w:val="20"/>
                <w:szCs w:val="20"/>
              </w:rPr>
              <w:t>7</w:t>
            </w:r>
          </w:p>
        </w:tc>
        <w:tc>
          <w:tcPr>
            <w:tcW w:w="1164" w:type="pct"/>
            <w:tcBorders>
              <w:bottom w:val="single" w:color="auto" w:sz="4" w:space="0"/>
            </w:tcBorders>
            <w:shd w:val="clear" w:color="auto" w:fill="auto"/>
            <w:noWrap/>
            <w:vAlign w:val="center"/>
          </w:tcPr>
          <w:p>
            <w:pPr>
              <w:jc w:val="center"/>
              <w:rPr>
                <w:bCs/>
                <w:sz w:val="20"/>
                <w:szCs w:val="20"/>
              </w:rPr>
            </w:pPr>
            <w:r>
              <w:rPr>
                <w:rFonts w:hint="eastAsia"/>
                <w:bCs/>
                <w:sz w:val="20"/>
                <w:szCs w:val="20"/>
              </w:rPr>
              <w:t>应力影响范围内的</w:t>
            </w:r>
          </w:p>
          <w:p>
            <w:pPr>
              <w:jc w:val="center"/>
              <w:rPr>
                <w:bCs/>
                <w:sz w:val="20"/>
                <w:szCs w:val="20"/>
              </w:rPr>
            </w:pPr>
            <w:r>
              <w:rPr>
                <w:rFonts w:hint="eastAsia"/>
                <w:bCs/>
                <w:sz w:val="20"/>
                <w:szCs w:val="20"/>
              </w:rPr>
              <w:t>（构）筑物变形、沉降</w:t>
            </w:r>
          </w:p>
        </w:tc>
        <w:tc>
          <w:tcPr>
            <w:tcW w:w="415" w:type="pct"/>
            <w:tcBorders>
              <w:bottom w:val="single" w:color="auto" w:sz="4" w:space="0"/>
            </w:tcBorders>
            <w:shd w:val="clear" w:color="auto" w:fill="auto"/>
            <w:noWrap/>
            <w:vAlign w:val="center"/>
          </w:tcPr>
          <w:p>
            <w:pPr>
              <w:jc w:val="center"/>
              <w:rPr>
                <w:bCs/>
                <w:sz w:val="20"/>
                <w:szCs w:val="20"/>
              </w:rPr>
            </w:pPr>
            <w:r>
              <w:rPr>
                <w:rFonts w:hint="eastAsia"/>
                <w:bCs/>
                <w:sz w:val="20"/>
                <w:szCs w:val="20"/>
              </w:rPr>
              <w:t>应测</w:t>
            </w:r>
          </w:p>
        </w:tc>
        <w:tc>
          <w:tcPr>
            <w:tcW w:w="1495" w:type="pct"/>
            <w:tcBorders>
              <w:bottom w:val="single" w:color="auto" w:sz="4" w:space="0"/>
              <w:right w:val="single" w:color="auto" w:sz="4" w:space="0"/>
            </w:tcBorders>
            <w:shd w:val="clear" w:color="auto" w:fill="auto"/>
            <w:noWrap/>
            <w:vAlign w:val="center"/>
          </w:tcPr>
          <w:p>
            <w:pPr>
              <w:jc w:val="center"/>
              <w:rPr>
                <w:bCs/>
                <w:sz w:val="20"/>
                <w:szCs w:val="20"/>
              </w:rPr>
            </w:pPr>
            <w:r>
              <w:rPr>
                <w:rFonts w:hint="eastAsia"/>
                <w:bCs/>
                <w:sz w:val="20"/>
                <w:szCs w:val="20"/>
              </w:rPr>
              <w:t>—</w:t>
            </w:r>
          </w:p>
        </w:tc>
        <w:tc>
          <w:tcPr>
            <w:tcW w:w="1612" w:type="pct"/>
            <w:tcBorders>
              <w:bottom w:val="single" w:color="auto" w:sz="4" w:space="0"/>
            </w:tcBorders>
            <w:vAlign w:val="center"/>
          </w:tcPr>
          <w:p>
            <w:pPr>
              <w:ind w:firstLine="200" w:firstLineChars="100"/>
              <w:jc w:val="left"/>
              <w:rPr>
                <w:bCs/>
                <w:sz w:val="20"/>
                <w:szCs w:val="20"/>
              </w:rPr>
            </w:pPr>
            <w:r>
              <w:rPr>
                <w:rFonts w:hint="eastAsia"/>
                <w:bCs/>
                <w:sz w:val="20"/>
                <w:szCs w:val="20"/>
              </w:rPr>
              <w:t>1）施工过程中2次/d；</w:t>
            </w:r>
          </w:p>
          <w:p>
            <w:pPr>
              <w:ind w:firstLine="200" w:firstLineChars="100"/>
              <w:jc w:val="left"/>
              <w:rPr>
                <w:bCs/>
                <w:sz w:val="20"/>
                <w:szCs w:val="20"/>
              </w:rPr>
            </w:pPr>
            <w:r>
              <w:rPr>
                <w:rFonts w:hint="eastAsia"/>
                <w:bCs/>
                <w:sz w:val="20"/>
                <w:szCs w:val="20"/>
              </w:rPr>
              <w:t>2）井开挖后2周内，1次/2d；</w:t>
            </w:r>
          </w:p>
          <w:p>
            <w:pPr>
              <w:ind w:firstLine="200" w:firstLineChars="100"/>
              <w:jc w:val="left"/>
              <w:rPr>
                <w:bCs/>
                <w:sz w:val="20"/>
                <w:szCs w:val="20"/>
              </w:rPr>
            </w:pPr>
            <w:r>
              <w:rPr>
                <w:rFonts w:hint="eastAsia"/>
                <w:bCs/>
                <w:sz w:val="20"/>
                <w:szCs w:val="20"/>
              </w:rPr>
              <w:t>3）开挖后3周~4周，2次/周；</w:t>
            </w:r>
          </w:p>
          <w:p>
            <w:pPr>
              <w:jc w:val="center"/>
              <w:rPr>
                <w:bCs/>
                <w:sz w:val="20"/>
                <w:szCs w:val="20"/>
              </w:rPr>
            </w:pPr>
            <w:r>
              <w:rPr>
                <w:rFonts w:hint="eastAsia"/>
                <w:bCs/>
                <w:sz w:val="20"/>
                <w:szCs w:val="20"/>
              </w:rPr>
              <w:t>4）开挖4周以后到二衬完成前，1次/周。</w:t>
            </w:r>
          </w:p>
        </w:tc>
      </w:tr>
    </w:tbl>
    <w:p>
      <w:pPr>
        <w:spacing w:line="440" w:lineRule="exact"/>
        <w:rPr>
          <w:sz w:val="24"/>
        </w:rPr>
      </w:pPr>
      <w:r>
        <w:rPr>
          <w:rFonts w:hint="eastAsia"/>
          <w:b/>
          <w:bCs/>
          <w:sz w:val="24"/>
        </w:rPr>
        <w:t>9.3.</w:t>
      </w:r>
      <w:r>
        <w:rPr>
          <w:b/>
          <w:bCs/>
          <w:sz w:val="24"/>
        </w:rPr>
        <w:t>6</w:t>
      </w:r>
      <w:r>
        <w:rPr>
          <w:rFonts w:hint="eastAsia"/>
          <w:sz w:val="24"/>
        </w:rPr>
        <w:t xml:space="preserve">  在隧道内进行管幕钢管顶进施工监测项目及监测频率应符合表9.3.</w:t>
      </w:r>
      <w:r>
        <w:rPr>
          <w:sz w:val="24"/>
        </w:rPr>
        <w:t>6</w:t>
      </w:r>
      <w:r>
        <w:rPr>
          <w:rFonts w:hint="eastAsia"/>
          <w:sz w:val="24"/>
        </w:rPr>
        <w:t>的规定。</w:t>
      </w:r>
    </w:p>
    <w:p>
      <w:pPr>
        <w:spacing w:before="156" w:beforeLines="50"/>
        <w:jc w:val="center"/>
        <w:rPr>
          <w:rFonts w:eastAsia="黑体"/>
          <w:bCs/>
          <w:kern w:val="0"/>
          <w:szCs w:val="21"/>
        </w:rPr>
      </w:pPr>
      <w:r>
        <w:rPr>
          <w:rFonts w:hint="eastAsia" w:eastAsia="黑体"/>
          <w:bCs/>
          <w:kern w:val="0"/>
          <w:szCs w:val="21"/>
        </w:rPr>
        <w:t>表9.3.</w:t>
      </w:r>
      <w:r>
        <w:rPr>
          <w:rFonts w:eastAsia="黑体"/>
          <w:bCs/>
          <w:kern w:val="0"/>
          <w:szCs w:val="21"/>
        </w:rPr>
        <w:t>6</w:t>
      </w:r>
      <w:r>
        <w:rPr>
          <w:rFonts w:hint="eastAsia" w:eastAsia="黑体"/>
          <w:bCs/>
          <w:kern w:val="0"/>
          <w:szCs w:val="21"/>
        </w:rPr>
        <w:t xml:space="preserve">  隧道内监测点布设及监测频率</w:t>
      </w:r>
    </w:p>
    <w:tbl>
      <w:tblPr>
        <w:tblStyle w:val="18"/>
        <w:tblW w:w="830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1134"/>
        <w:gridCol w:w="1417"/>
        <w:gridCol w:w="30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tcBorders>
              <w:top w:val="single" w:color="auto" w:sz="4" w:space="0"/>
              <w:left w:val="single" w:color="auto" w:sz="4" w:space="0"/>
            </w:tcBorders>
            <w:vAlign w:val="center"/>
          </w:tcPr>
          <w:p>
            <w:pPr>
              <w:jc w:val="center"/>
              <w:rPr>
                <w:bCs/>
                <w:sz w:val="20"/>
                <w:szCs w:val="20"/>
              </w:rPr>
            </w:pPr>
            <w:r>
              <w:rPr>
                <w:rFonts w:hint="eastAsia"/>
                <w:bCs/>
                <w:sz w:val="20"/>
                <w:szCs w:val="20"/>
              </w:rPr>
              <w:t>序号</w:t>
            </w:r>
          </w:p>
        </w:tc>
        <w:tc>
          <w:tcPr>
            <w:tcW w:w="1985" w:type="dxa"/>
            <w:tcBorders>
              <w:top w:val="single" w:color="auto" w:sz="4" w:space="0"/>
            </w:tcBorders>
            <w:shd w:val="clear" w:color="auto" w:fill="auto"/>
            <w:noWrap/>
            <w:vAlign w:val="center"/>
          </w:tcPr>
          <w:p>
            <w:pPr>
              <w:jc w:val="center"/>
              <w:rPr>
                <w:bCs/>
                <w:sz w:val="20"/>
                <w:szCs w:val="20"/>
              </w:rPr>
            </w:pPr>
            <w:r>
              <w:rPr>
                <w:rFonts w:hint="eastAsia"/>
                <w:bCs/>
                <w:sz w:val="20"/>
                <w:szCs w:val="20"/>
              </w:rPr>
              <w:t>监测项目</w:t>
            </w:r>
          </w:p>
        </w:tc>
        <w:tc>
          <w:tcPr>
            <w:tcW w:w="1134" w:type="dxa"/>
            <w:tcBorders>
              <w:top w:val="single" w:color="auto" w:sz="4" w:space="0"/>
            </w:tcBorders>
            <w:shd w:val="clear" w:color="auto" w:fill="auto"/>
            <w:noWrap/>
            <w:vAlign w:val="center"/>
          </w:tcPr>
          <w:p>
            <w:pPr>
              <w:jc w:val="center"/>
              <w:rPr>
                <w:bCs/>
                <w:sz w:val="20"/>
                <w:szCs w:val="20"/>
              </w:rPr>
            </w:pPr>
            <w:r>
              <w:rPr>
                <w:rFonts w:hint="eastAsia"/>
                <w:bCs/>
                <w:sz w:val="20"/>
                <w:szCs w:val="20"/>
              </w:rPr>
              <w:t>监测类别</w:t>
            </w:r>
          </w:p>
        </w:tc>
        <w:tc>
          <w:tcPr>
            <w:tcW w:w="1417" w:type="dxa"/>
            <w:tcBorders>
              <w:top w:val="single" w:color="auto" w:sz="4" w:space="0"/>
            </w:tcBorders>
            <w:shd w:val="clear" w:color="auto" w:fill="auto"/>
            <w:noWrap/>
            <w:vAlign w:val="center"/>
          </w:tcPr>
          <w:p>
            <w:pPr>
              <w:jc w:val="center"/>
              <w:rPr>
                <w:bCs/>
                <w:sz w:val="20"/>
                <w:szCs w:val="20"/>
              </w:rPr>
            </w:pPr>
            <w:r>
              <w:rPr>
                <w:rFonts w:hint="eastAsia"/>
                <w:bCs/>
                <w:sz w:val="20"/>
                <w:szCs w:val="20"/>
              </w:rPr>
              <w:t>监测点布设</w:t>
            </w:r>
          </w:p>
        </w:tc>
        <w:tc>
          <w:tcPr>
            <w:tcW w:w="3061" w:type="dxa"/>
            <w:tcBorders>
              <w:top w:val="single" w:color="auto" w:sz="4" w:space="0"/>
              <w:right w:val="single" w:color="auto" w:sz="4" w:space="0"/>
            </w:tcBorders>
            <w:shd w:val="clear" w:color="auto" w:fill="auto"/>
            <w:noWrap/>
            <w:vAlign w:val="center"/>
          </w:tcPr>
          <w:p>
            <w:pPr>
              <w:jc w:val="center"/>
              <w:rPr>
                <w:bCs/>
                <w:sz w:val="20"/>
                <w:szCs w:val="20"/>
              </w:rPr>
            </w:pPr>
            <w:r>
              <w:rPr>
                <w:rFonts w:hint="eastAsia"/>
                <w:bCs/>
                <w:sz w:val="20"/>
                <w:szCs w:val="20"/>
              </w:rPr>
              <w:t>监测频率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tcBorders>
              <w:left w:val="single" w:color="auto" w:sz="4" w:space="0"/>
            </w:tcBorders>
            <w:vAlign w:val="center"/>
          </w:tcPr>
          <w:p>
            <w:pPr>
              <w:jc w:val="center"/>
              <w:rPr>
                <w:bCs/>
                <w:sz w:val="20"/>
                <w:szCs w:val="20"/>
              </w:rPr>
            </w:pPr>
            <w:r>
              <w:rPr>
                <w:rFonts w:hint="eastAsia"/>
                <w:bCs/>
                <w:sz w:val="20"/>
                <w:szCs w:val="20"/>
              </w:rPr>
              <w:t>1</w:t>
            </w:r>
          </w:p>
        </w:tc>
        <w:tc>
          <w:tcPr>
            <w:tcW w:w="1985" w:type="dxa"/>
            <w:shd w:val="clear" w:color="auto" w:fill="auto"/>
            <w:noWrap/>
            <w:vAlign w:val="center"/>
          </w:tcPr>
          <w:p>
            <w:pPr>
              <w:jc w:val="center"/>
              <w:rPr>
                <w:bCs/>
                <w:sz w:val="20"/>
                <w:szCs w:val="20"/>
              </w:rPr>
            </w:pPr>
            <w:r>
              <w:rPr>
                <w:rFonts w:hint="eastAsia"/>
                <w:bCs/>
                <w:sz w:val="20"/>
                <w:szCs w:val="20"/>
              </w:rPr>
              <w:t>隧道内外观察</w:t>
            </w:r>
          </w:p>
        </w:tc>
        <w:tc>
          <w:tcPr>
            <w:tcW w:w="1134" w:type="dxa"/>
            <w:shd w:val="clear" w:color="auto" w:fill="auto"/>
            <w:noWrap/>
            <w:vAlign w:val="center"/>
          </w:tcPr>
          <w:p>
            <w:pPr>
              <w:jc w:val="center"/>
              <w:rPr>
                <w:bCs/>
                <w:sz w:val="20"/>
                <w:szCs w:val="20"/>
              </w:rPr>
            </w:pPr>
            <w:r>
              <w:rPr>
                <w:rFonts w:hint="eastAsia"/>
                <w:bCs/>
                <w:sz w:val="20"/>
                <w:szCs w:val="20"/>
              </w:rPr>
              <w:t>应测</w:t>
            </w:r>
          </w:p>
        </w:tc>
        <w:tc>
          <w:tcPr>
            <w:tcW w:w="1417" w:type="dxa"/>
            <w:shd w:val="clear" w:color="auto" w:fill="auto"/>
            <w:noWrap/>
            <w:vAlign w:val="center"/>
          </w:tcPr>
          <w:p>
            <w:pPr>
              <w:jc w:val="center"/>
              <w:rPr>
                <w:bCs/>
                <w:sz w:val="20"/>
                <w:szCs w:val="20"/>
              </w:rPr>
            </w:pPr>
            <w:r>
              <w:rPr>
                <w:rFonts w:hint="eastAsia"/>
                <w:bCs/>
                <w:sz w:val="20"/>
                <w:szCs w:val="20"/>
              </w:rPr>
              <w:t>—</w:t>
            </w:r>
          </w:p>
        </w:tc>
        <w:tc>
          <w:tcPr>
            <w:tcW w:w="3061" w:type="dxa"/>
            <w:tcBorders>
              <w:right w:val="single" w:color="auto" w:sz="4" w:space="0"/>
            </w:tcBorders>
            <w:shd w:val="clear" w:color="auto" w:fill="auto"/>
            <w:noWrap/>
            <w:vAlign w:val="center"/>
          </w:tcPr>
          <w:p>
            <w:pPr>
              <w:jc w:val="center"/>
              <w:rPr>
                <w:bCs/>
                <w:sz w:val="20"/>
                <w:szCs w:val="20"/>
              </w:rPr>
            </w:pPr>
            <w:r>
              <w:rPr>
                <w:rFonts w:hint="eastAsia"/>
                <w:bCs/>
                <w:sz w:val="20"/>
                <w:szCs w:val="20"/>
              </w:rPr>
              <w:t>施工过程中每天进行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tcBorders>
              <w:left w:val="single" w:color="auto" w:sz="4" w:space="0"/>
            </w:tcBorders>
            <w:vAlign w:val="center"/>
          </w:tcPr>
          <w:p>
            <w:pPr>
              <w:jc w:val="center"/>
              <w:rPr>
                <w:bCs/>
                <w:sz w:val="20"/>
                <w:szCs w:val="20"/>
              </w:rPr>
            </w:pPr>
            <w:r>
              <w:rPr>
                <w:rFonts w:hint="eastAsia"/>
                <w:bCs/>
                <w:sz w:val="20"/>
                <w:szCs w:val="20"/>
              </w:rPr>
              <w:t>2</w:t>
            </w:r>
          </w:p>
        </w:tc>
        <w:tc>
          <w:tcPr>
            <w:tcW w:w="1985" w:type="dxa"/>
            <w:shd w:val="clear" w:color="auto" w:fill="auto"/>
            <w:noWrap/>
            <w:vAlign w:val="center"/>
          </w:tcPr>
          <w:p>
            <w:pPr>
              <w:jc w:val="center"/>
              <w:rPr>
                <w:bCs/>
                <w:sz w:val="20"/>
                <w:szCs w:val="20"/>
              </w:rPr>
            </w:pPr>
            <w:r>
              <w:rPr>
                <w:rFonts w:hint="eastAsia"/>
                <w:bCs/>
                <w:sz w:val="20"/>
                <w:szCs w:val="20"/>
              </w:rPr>
              <w:t>地表沉降或隆起</w:t>
            </w:r>
          </w:p>
        </w:tc>
        <w:tc>
          <w:tcPr>
            <w:tcW w:w="1134" w:type="dxa"/>
            <w:shd w:val="clear" w:color="auto" w:fill="auto"/>
            <w:noWrap/>
            <w:vAlign w:val="center"/>
          </w:tcPr>
          <w:p>
            <w:pPr>
              <w:jc w:val="center"/>
              <w:rPr>
                <w:bCs/>
                <w:sz w:val="20"/>
                <w:szCs w:val="20"/>
              </w:rPr>
            </w:pPr>
            <w:r>
              <w:rPr>
                <w:rFonts w:hint="eastAsia"/>
                <w:bCs/>
                <w:sz w:val="20"/>
                <w:szCs w:val="20"/>
              </w:rPr>
              <w:t>应测</w:t>
            </w:r>
          </w:p>
        </w:tc>
        <w:tc>
          <w:tcPr>
            <w:tcW w:w="1417" w:type="dxa"/>
            <w:shd w:val="clear" w:color="auto" w:fill="auto"/>
            <w:noWrap/>
            <w:vAlign w:val="center"/>
          </w:tcPr>
          <w:p>
            <w:pPr>
              <w:jc w:val="center"/>
              <w:rPr>
                <w:bCs/>
                <w:sz w:val="20"/>
                <w:szCs w:val="20"/>
              </w:rPr>
            </w:pPr>
            <w:r>
              <w:rPr>
                <w:rFonts w:hint="eastAsia"/>
                <w:bCs/>
                <w:sz w:val="20"/>
                <w:szCs w:val="20"/>
              </w:rPr>
              <w:t>10m ~30m一个监测断面</w:t>
            </w:r>
          </w:p>
        </w:tc>
        <w:tc>
          <w:tcPr>
            <w:tcW w:w="3061" w:type="dxa"/>
            <w:tcBorders>
              <w:right w:val="single" w:color="auto" w:sz="4" w:space="0"/>
            </w:tcBorders>
            <w:shd w:val="clear" w:color="auto" w:fill="auto"/>
            <w:noWrap/>
            <w:vAlign w:val="center"/>
          </w:tcPr>
          <w:p>
            <w:pPr>
              <w:jc w:val="center"/>
              <w:rPr>
                <w:bCs/>
                <w:sz w:val="20"/>
                <w:szCs w:val="20"/>
              </w:rPr>
            </w:pPr>
            <w:r>
              <w:rPr>
                <w:rFonts w:hint="eastAsia"/>
                <w:bCs/>
                <w:sz w:val="20"/>
                <w:szCs w:val="20"/>
              </w:rPr>
              <w:t>顶进过程中，（1~2）次/d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tcBorders>
              <w:left w:val="single" w:color="auto" w:sz="4" w:space="0"/>
            </w:tcBorders>
            <w:vAlign w:val="center"/>
          </w:tcPr>
          <w:p>
            <w:pPr>
              <w:jc w:val="center"/>
              <w:rPr>
                <w:bCs/>
                <w:sz w:val="20"/>
                <w:szCs w:val="20"/>
              </w:rPr>
            </w:pPr>
            <w:r>
              <w:rPr>
                <w:rFonts w:hint="eastAsia"/>
                <w:bCs/>
                <w:sz w:val="20"/>
                <w:szCs w:val="20"/>
              </w:rPr>
              <w:t>3</w:t>
            </w:r>
          </w:p>
        </w:tc>
        <w:tc>
          <w:tcPr>
            <w:tcW w:w="1985" w:type="dxa"/>
            <w:shd w:val="clear" w:color="auto" w:fill="auto"/>
            <w:noWrap/>
            <w:vAlign w:val="center"/>
          </w:tcPr>
          <w:p>
            <w:pPr>
              <w:jc w:val="center"/>
              <w:rPr>
                <w:bCs/>
                <w:sz w:val="20"/>
                <w:szCs w:val="20"/>
              </w:rPr>
            </w:pPr>
          </w:p>
        </w:tc>
        <w:tc>
          <w:tcPr>
            <w:tcW w:w="1134" w:type="dxa"/>
            <w:shd w:val="clear" w:color="auto" w:fill="auto"/>
            <w:noWrap/>
            <w:vAlign w:val="center"/>
          </w:tcPr>
          <w:p>
            <w:pPr>
              <w:jc w:val="center"/>
              <w:rPr>
                <w:bCs/>
                <w:sz w:val="20"/>
                <w:szCs w:val="20"/>
              </w:rPr>
            </w:pPr>
          </w:p>
        </w:tc>
        <w:tc>
          <w:tcPr>
            <w:tcW w:w="1417" w:type="dxa"/>
            <w:shd w:val="clear" w:color="auto" w:fill="auto"/>
            <w:noWrap/>
            <w:vAlign w:val="center"/>
          </w:tcPr>
          <w:p>
            <w:pPr>
              <w:jc w:val="center"/>
              <w:rPr>
                <w:bCs/>
                <w:sz w:val="20"/>
                <w:szCs w:val="20"/>
              </w:rPr>
            </w:pPr>
          </w:p>
        </w:tc>
        <w:tc>
          <w:tcPr>
            <w:tcW w:w="3061" w:type="dxa"/>
            <w:tcBorders>
              <w:right w:val="single" w:color="auto" w:sz="4" w:space="0"/>
            </w:tcBorders>
            <w:shd w:val="clear" w:color="auto" w:fill="auto"/>
            <w:noWrap/>
            <w:vAlign w:val="center"/>
          </w:tcPr>
          <w:p>
            <w:pPr>
              <w:jc w:val="center"/>
              <w:rPr>
                <w:bCs/>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tcBorders>
              <w:left w:val="single" w:color="auto" w:sz="4" w:space="0"/>
            </w:tcBorders>
            <w:vAlign w:val="center"/>
          </w:tcPr>
          <w:p>
            <w:pPr>
              <w:jc w:val="center"/>
              <w:rPr>
                <w:bCs/>
                <w:sz w:val="20"/>
                <w:szCs w:val="20"/>
              </w:rPr>
            </w:pPr>
            <w:r>
              <w:rPr>
                <w:rFonts w:hint="eastAsia"/>
                <w:bCs/>
                <w:sz w:val="20"/>
                <w:szCs w:val="20"/>
              </w:rPr>
              <w:t>4</w:t>
            </w:r>
          </w:p>
        </w:tc>
        <w:tc>
          <w:tcPr>
            <w:tcW w:w="1985" w:type="dxa"/>
            <w:shd w:val="clear" w:color="auto" w:fill="auto"/>
            <w:noWrap/>
            <w:vAlign w:val="center"/>
          </w:tcPr>
          <w:p>
            <w:pPr>
              <w:jc w:val="center"/>
              <w:rPr>
                <w:bCs/>
                <w:sz w:val="20"/>
                <w:szCs w:val="20"/>
              </w:rPr>
            </w:pPr>
          </w:p>
        </w:tc>
        <w:tc>
          <w:tcPr>
            <w:tcW w:w="1134" w:type="dxa"/>
            <w:shd w:val="clear" w:color="auto" w:fill="auto"/>
            <w:noWrap/>
            <w:vAlign w:val="center"/>
          </w:tcPr>
          <w:p>
            <w:pPr>
              <w:jc w:val="center"/>
              <w:rPr>
                <w:bCs/>
                <w:sz w:val="20"/>
                <w:szCs w:val="20"/>
              </w:rPr>
            </w:pPr>
          </w:p>
        </w:tc>
        <w:tc>
          <w:tcPr>
            <w:tcW w:w="1417" w:type="dxa"/>
            <w:shd w:val="clear" w:color="auto" w:fill="auto"/>
            <w:noWrap/>
            <w:vAlign w:val="center"/>
          </w:tcPr>
          <w:p>
            <w:pPr>
              <w:jc w:val="center"/>
              <w:rPr>
                <w:bCs/>
                <w:sz w:val="20"/>
                <w:szCs w:val="20"/>
              </w:rPr>
            </w:pPr>
          </w:p>
        </w:tc>
        <w:tc>
          <w:tcPr>
            <w:tcW w:w="3061" w:type="dxa"/>
            <w:tcBorders>
              <w:right w:val="single" w:color="auto" w:sz="4" w:space="0"/>
            </w:tcBorders>
            <w:shd w:val="clear" w:color="auto" w:fill="auto"/>
            <w:noWrap/>
            <w:vAlign w:val="center"/>
          </w:tcPr>
          <w:p>
            <w:pPr>
              <w:jc w:val="center"/>
              <w:rPr>
                <w:bCs/>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tcBorders>
              <w:left w:val="single" w:color="auto" w:sz="4" w:space="0"/>
            </w:tcBorders>
            <w:vAlign w:val="center"/>
          </w:tcPr>
          <w:p>
            <w:pPr>
              <w:jc w:val="center"/>
              <w:rPr>
                <w:bCs/>
                <w:sz w:val="20"/>
                <w:szCs w:val="20"/>
              </w:rPr>
            </w:pPr>
            <w:r>
              <w:rPr>
                <w:bCs/>
                <w:sz w:val="20"/>
                <w:szCs w:val="20"/>
              </w:rPr>
              <w:t>5</w:t>
            </w:r>
          </w:p>
        </w:tc>
        <w:tc>
          <w:tcPr>
            <w:tcW w:w="1985" w:type="dxa"/>
            <w:shd w:val="clear" w:color="auto" w:fill="auto"/>
            <w:noWrap/>
            <w:vAlign w:val="center"/>
          </w:tcPr>
          <w:p>
            <w:pPr>
              <w:jc w:val="center"/>
              <w:rPr>
                <w:bCs/>
                <w:sz w:val="20"/>
                <w:szCs w:val="20"/>
              </w:rPr>
            </w:pPr>
            <w:r>
              <w:rPr>
                <w:rFonts w:hint="eastAsia"/>
                <w:bCs/>
                <w:sz w:val="20"/>
                <w:szCs w:val="20"/>
              </w:rPr>
              <w:t>土体分层沉降</w:t>
            </w:r>
          </w:p>
        </w:tc>
        <w:tc>
          <w:tcPr>
            <w:tcW w:w="1134" w:type="dxa"/>
            <w:shd w:val="clear" w:color="auto" w:fill="auto"/>
            <w:noWrap/>
            <w:vAlign w:val="center"/>
          </w:tcPr>
          <w:p>
            <w:pPr>
              <w:jc w:val="center"/>
              <w:rPr>
                <w:bCs/>
                <w:sz w:val="20"/>
                <w:szCs w:val="20"/>
              </w:rPr>
            </w:pPr>
            <w:r>
              <w:rPr>
                <w:rFonts w:hint="eastAsia"/>
                <w:bCs/>
                <w:sz w:val="20"/>
                <w:szCs w:val="20"/>
              </w:rPr>
              <w:t>选测</w:t>
            </w:r>
          </w:p>
        </w:tc>
        <w:tc>
          <w:tcPr>
            <w:tcW w:w="1417" w:type="dxa"/>
            <w:shd w:val="clear" w:color="auto" w:fill="auto"/>
            <w:noWrap/>
            <w:vAlign w:val="center"/>
          </w:tcPr>
          <w:p>
            <w:pPr>
              <w:jc w:val="center"/>
              <w:rPr>
                <w:bCs/>
                <w:sz w:val="20"/>
                <w:szCs w:val="20"/>
              </w:rPr>
            </w:pPr>
            <w:r>
              <w:rPr>
                <w:rFonts w:hint="eastAsia"/>
                <w:bCs/>
                <w:sz w:val="20"/>
                <w:szCs w:val="20"/>
              </w:rPr>
              <w:t>每个代表性地段1个~2个监测断面</w:t>
            </w:r>
          </w:p>
        </w:tc>
        <w:tc>
          <w:tcPr>
            <w:tcW w:w="3061" w:type="dxa"/>
            <w:tcBorders>
              <w:right w:val="single" w:color="auto" w:sz="4" w:space="0"/>
            </w:tcBorders>
            <w:shd w:val="clear" w:color="auto" w:fill="auto"/>
            <w:noWrap/>
            <w:vAlign w:val="center"/>
          </w:tcPr>
          <w:p>
            <w:pPr>
              <w:jc w:val="center"/>
              <w:rPr>
                <w:bCs/>
                <w:sz w:val="20"/>
                <w:szCs w:val="20"/>
              </w:rPr>
            </w:pPr>
            <w:r>
              <w:rPr>
                <w:rFonts w:hint="eastAsia"/>
                <w:bCs/>
                <w:sz w:val="20"/>
                <w:szCs w:val="20"/>
              </w:rPr>
              <w:t>顶进过程中，（1~2）次/d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tcBorders>
              <w:left w:val="single" w:color="auto" w:sz="4" w:space="0"/>
              <w:bottom w:val="single" w:color="auto" w:sz="4" w:space="0"/>
            </w:tcBorders>
            <w:vAlign w:val="center"/>
          </w:tcPr>
          <w:p>
            <w:pPr>
              <w:jc w:val="center"/>
              <w:rPr>
                <w:bCs/>
                <w:sz w:val="20"/>
                <w:szCs w:val="20"/>
              </w:rPr>
            </w:pPr>
            <w:r>
              <w:rPr>
                <w:bCs/>
                <w:sz w:val="20"/>
                <w:szCs w:val="20"/>
              </w:rPr>
              <w:t>6</w:t>
            </w:r>
          </w:p>
        </w:tc>
        <w:tc>
          <w:tcPr>
            <w:tcW w:w="1985" w:type="dxa"/>
            <w:tcBorders>
              <w:bottom w:val="single" w:color="auto" w:sz="4" w:space="0"/>
            </w:tcBorders>
            <w:shd w:val="clear" w:color="auto" w:fill="auto"/>
            <w:noWrap/>
            <w:vAlign w:val="center"/>
          </w:tcPr>
          <w:p>
            <w:pPr>
              <w:jc w:val="center"/>
              <w:rPr>
                <w:bCs/>
                <w:sz w:val="20"/>
                <w:szCs w:val="20"/>
              </w:rPr>
            </w:pPr>
            <w:r>
              <w:rPr>
                <w:rFonts w:hint="eastAsia"/>
                <w:bCs/>
                <w:sz w:val="20"/>
                <w:szCs w:val="20"/>
              </w:rPr>
              <w:t>建（构）筑物变形和沉降监测</w:t>
            </w:r>
          </w:p>
        </w:tc>
        <w:tc>
          <w:tcPr>
            <w:tcW w:w="1134" w:type="dxa"/>
            <w:tcBorders>
              <w:bottom w:val="single" w:color="auto" w:sz="4" w:space="0"/>
            </w:tcBorders>
            <w:shd w:val="clear" w:color="auto" w:fill="auto"/>
            <w:noWrap/>
            <w:vAlign w:val="center"/>
          </w:tcPr>
          <w:p>
            <w:pPr>
              <w:jc w:val="center"/>
              <w:rPr>
                <w:bCs/>
                <w:sz w:val="20"/>
                <w:szCs w:val="20"/>
              </w:rPr>
            </w:pPr>
            <w:r>
              <w:rPr>
                <w:rFonts w:hint="eastAsia"/>
                <w:bCs/>
                <w:sz w:val="20"/>
                <w:szCs w:val="20"/>
              </w:rPr>
              <w:t>应测</w:t>
            </w:r>
          </w:p>
        </w:tc>
        <w:tc>
          <w:tcPr>
            <w:tcW w:w="1417" w:type="dxa"/>
            <w:tcBorders>
              <w:bottom w:val="single" w:color="auto" w:sz="4" w:space="0"/>
            </w:tcBorders>
            <w:shd w:val="clear" w:color="auto" w:fill="auto"/>
            <w:noWrap/>
            <w:vAlign w:val="center"/>
          </w:tcPr>
          <w:p>
            <w:pPr>
              <w:jc w:val="center"/>
              <w:rPr>
                <w:bCs/>
                <w:sz w:val="20"/>
                <w:szCs w:val="20"/>
              </w:rPr>
            </w:pPr>
            <w:r>
              <w:rPr>
                <w:rFonts w:hint="eastAsia"/>
                <w:bCs/>
                <w:sz w:val="20"/>
                <w:szCs w:val="20"/>
              </w:rPr>
              <w:t>符合一般规定要求</w:t>
            </w:r>
          </w:p>
        </w:tc>
        <w:tc>
          <w:tcPr>
            <w:tcW w:w="3061" w:type="dxa"/>
            <w:tcBorders>
              <w:bottom w:val="single" w:color="auto" w:sz="4" w:space="0"/>
              <w:right w:val="single" w:color="auto" w:sz="4" w:space="0"/>
            </w:tcBorders>
            <w:shd w:val="clear" w:color="auto" w:fill="auto"/>
            <w:noWrap/>
            <w:vAlign w:val="center"/>
          </w:tcPr>
          <w:p>
            <w:pPr>
              <w:jc w:val="center"/>
              <w:rPr>
                <w:bCs/>
                <w:sz w:val="20"/>
                <w:szCs w:val="20"/>
              </w:rPr>
            </w:pPr>
            <w:r>
              <w:rPr>
                <w:rFonts w:hint="eastAsia"/>
                <w:bCs/>
                <w:sz w:val="20"/>
                <w:szCs w:val="20"/>
              </w:rPr>
              <w:t>穿越过程中2次/d，穿越后2周内1次/d；2周~1月1次/周。</w:t>
            </w:r>
          </w:p>
        </w:tc>
      </w:tr>
    </w:tbl>
    <w:p>
      <w:pPr>
        <w:spacing w:line="440" w:lineRule="exact"/>
        <w:rPr>
          <w:sz w:val="24"/>
        </w:rPr>
      </w:pPr>
      <w:r>
        <w:rPr>
          <w:rFonts w:hint="eastAsia"/>
          <w:b/>
          <w:bCs/>
          <w:sz w:val="24"/>
        </w:rPr>
        <w:t>9.</w:t>
      </w:r>
      <w:r>
        <w:rPr>
          <w:b/>
          <w:bCs/>
          <w:sz w:val="24"/>
        </w:rPr>
        <w:t>3</w:t>
      </w:r>
      <w:r>
        <w:rPr>
          <w:rFonts w:hint="eastAsia"/>
          <w:b/>
          <w:bCs/>
          <w:sz w:val="24"/>
        </w:rPr>
        <w:t>.</w:t>
      </w:r>
      <w:r>
        <w:rPr>
          <w:b/>
          <w:bCs/>
          <w:sz w:val="24"/>
        </w:rPr>
        <w:t>7</w:t>
      </w:r>
      <w:r>
        <w:rPr>
          <w:rFonts w:hint="eastAsia"/>
          <w:sz w:val="24"/>
        </w:rPr>
        <w:t xml:space="preserve">  当出现下列情况之一时，应加强监测，提高监测频率，并应及时向相关单位报告监测结果：</w:t>
      </w:r>
    </w:p>
    <w:p>
      <w:pPr>
        <w:spacing w:line="440" w:lineRule="exact"/>
        <w:ind w:firstLine="361" w:firstLineChars="150"/>
        <w:rPr>
          <w:sz w:val="24"/>
        </w:rPr>
      </w:pPr>
      <w:r>
        <w:rPr>
          <w:rFonts w:hint="eastAsia"/>
          <w:b/>
          <w:bCs/>
          <w:sz w:val="24"/>
        </w:rPr>
        <w:t>1</w:t>
      </w:r>
      <w:r>
        <w:rPr>
          <w:rFonts w:hint="eastAsia"/>
          <w:sz w:val="24"/>
        </w:rPr>
        <w:t xml:space="preserve">  监测数据达到报警值；</w:t>
      </w:r>
    </w:p>
    <w:p>
      <w:pPr>
        <w:spacing w:line="440" w:lineRule="exact"/>
        <w:ind w:firstLine="361" w:firstLineChars="150"/>
        <w:rPr>
          <w:sz w:val="24"/>
        </w:rPr>
      </w:pPr>
      <w:r>
        <w:rPr>
          <w:rFonts w:hint="eastAsia"/>
          <w:b/>
          <w:bCs/>
          <w:sz w:val="24"/>
        </w:rPr>
        <w:t>2</w:t>
      </w:r>
      <w:r>
        <w:rPr>
          <w:rFonts w:hint="eastAsia"/>
          <w:sz w:val="24"/>
        </w:rPr>
        <w:t xml:space="preserve">  监测数据变化量较大或速率加快；</w:t>
      </w:r>
    </w:p>
    <w:p>
      <w:pPr>
        <w:spacing w:line="440" w:lineRule="exact"/>
        <w:ind w:firstLine="361" w:firstLineChars="150"/>
        <w:rPr>
          <w:sz w:val="24"/>
        </w:rPr>
      </w:pPr>
      <w:r>
        <w:rPr>
          <w:rFonts w:hint="eastAsia"/>
          <w:b/>
          <w:bCs/>
          <w:sz w:val="24"/>
        </w:rPr>
        <w:t>3</w:t>
      </w:r>
      <w:r>
        <w:rPr>
          <w:rFonts w:hint="eastAsia"/>
          <w:sz w:val="24"/>
        </w:rPr>
        <w:t xml:space="preserve">  存在勘察中未发现的不良地质条件；</w:t>
      </w:r>
    </w:p>
    <w:p>
      <w:pPr>
        <w:spacing w:line="440" w:lineRule="exact"/>
        <w:ind w:firstLine="361" w:firstLineChars="150"/>
        <w:rPr>
          <w:sz w:val="24"/>
        </w:rPr>
      </w:pPr>
      <w:r>
        <w:rPr>
          <w:rFonts w:hint="eastAsia"/>
          <w:b/>
          <w:bCs/>
          <w:sz w:val="24"/>
        </w:rPr>
        <w:t>4</w:t>
      </w:r>
      <w:r>
        <w:rPr>
          <w:rFonts w:hint="eastAsia"/>
          <w:sz w:val="24"/>
        </w:rPr>
        <w:t xml:space="preserve">  邻近的建（构）筑物、地下管线、周边地面出现异常。</w:t>
      </w:r>
    </w:p>
    <w:p>
      <w:pPr>
        <w:spacing w:before="156" w:beforeLines="50" w:after="156" w:afterLines="50" w:line="440" w:lineRule="exact"/>
        <w:jc w:val="center"/>
        <w:outlineLvl w:val="1"/>
        <w:rPr>
          <w:rFonts w:eastAsia="黑体"/>
          <w:sz w:val="24"/>
        </w:rPr>
      </w:pPr>
      <w:bookmarkStart w:id="130" w:name="_Toc8839"/>
      <w:bookmarkStart w:id="131" w:name="_Toc10227"/>
      <w:r>
        <w:rPr>
          <w:rFonts w:hint="eastAsia" w:eastAsia="黑体"/>
          <w:sz w:val="24"/>
        </w:rPr>
        <w:t>9.</w:t>
      </w:r>
      <w:r>
        <w:rPr>
          <w:rFonts w:eastAsia="黑体"/>
          <w:sz w:val="24"/>
        </w:rPr>
        <w:t>4</w:t>
      </w:r>
      <w:r>
        <w:rPr>
          <w:rFonts w:hint="eastAsia" w:eastAsia="黑体"/>
          <w:sz w:val="24"/>
        </w:rPr>
        <w:t xml:space="preserve">  监测控制值与预警</w:t>
      </w:r>
      <w:bookmarkEnd w:id="130"/>
      <w:bookmarkEnd w:id="131"/>
    </w:p>
    <w:p>
      <w:pPr>
        <w:spacing w:line="440" w:lineRule="exact"/>
        <w:rPr>
          <w:sz w:val="24"/>
        </w:rPr>
      </w:pPr>
      <w:r>
        <w:rPr>
          <w:rFonts w:hint="eastAsia"/>
          <w:b/>
          <w:bCs/>
          <w:sz w:val="24"/>
        </w:rPr>
        <w:t>9.5.</w:t>
      </w:r>
      <w:r>
        <w:rPr>
          <w:b/>
          <w:bCs/>
          <w:sz w:val="24"/>
        </w:rPr>
        <w:t>1</w:t>
      </w:r>
      <w:r>
        <w:rPr>
          <w:rFonts w:hint="eastAsia"/>
          <w:sz w:val="24"/>
        </w:rPr>
        <w:t xml:space="preserve">  监测项目控制值应符合现行国家标准《建筑基坑工程监测技术规范》GB50497及《城市轨道交通工程监测技术规范》GB50911的规定。</w:t>
      </w:r>
    </w:p>
    <w:p>
      <w:pPr>
        <w:spacing w:line="440" w:lineRule="exact"/>
        <w:rPr>
          <w:sz w:val="24"/>
        </w:rPr>
      </w:pPr>
      <w:r>
        <w:rPr>
          <w:rFonts w:hint="eastAsia"/>
          <w:b/>
          <w:bCs/>
          <w:sz w:val="24"/>
        </w:rPr>
        <w:t>9.</w:t>
      </w:r>
      <w:r>
        <w:rPr>
          <w:b/>
          <w:bCs/>
          <w:sz w:val="24"/>
        </w:rPr>
        <w:t>5.2</w:t>
      </w:r>
      <w:r>
        <w:rPr>
          <w:rFonts w:hint="eastAsia"/>
          <w:sz w:val="24"/>
        </w:rPr>
        <w:t xml:space="preserve">  施工引起的变形控制应符合下列规定：</w:t>
      </w:r>
    </w:p>
    <w:p>
      <w:pPr>
        <w:spacing w:line="440" w:lineRule="exact"/>
        <w:ind w:firstLine="361" w:firstLineChars="150"/>
        <w:rPr>
          <w:sz w:val="24"/>
        </w:rPr>
      </w:pPr>
      <w:r>
        <w:rPr>
          <w:rFonts w:hint="eastAsia"/>
          <w:b/>
          <w:bCs/>
          <w:sz w:val="24"/>
        </w:rPr>
        <w:t>1</w:t>
      </w:r>
      <w:r>
        <w:rPr>
          <w:rFonts w:hint="eastAsia"/>
          <w:sz w:val="24"/>
        </w:rPr>
        <w:t xml:space="preserve">  工作井、洞室沉降及控制值应符合表9.</w:t>
      </w:r>
      <w:r>
        <w:rPr>
          <w:sz w:val="24"/>
        </w:rPr>
        <w:t>5.2</w:t>
      </w:r>
      <w:r>
        <w:rPr>
          <w:rFonts w:hint="eastAsia"/>
          <w:sz w:val="24"/>
        </w:rPr>
        <w:t>-1的规定。</w:t>
      </w:r>
    </w:p>
    <w:p>
      <w:pPr>
        <w:spacing w:before="156" w:beforeLines="50"/>
        <w:jc w:val="center"/>
        <w:rPr>
          <w:rFonts w:eastAsia="黑体"/>
          <w:bCs/>
          <w:kern w:val="0"/>
          <w:szCs w:val="21"/>
        </w:rPr>
      </w:pPr>
      <w:r>
        <w:rPr>
          <w:rFonts w:hint="eastAsia" w:eastAsia="黑体"/>
          <w:bCs/>
          <w:kern w:val="0"/>
          <w:szCs w:val="21"/>
        </w:rPr>
        <w:t>表9.</w:t>
      </w:r>
      <w:r>
        <w:rPr>
          <w:rFonts w:eastAsia="黑体"/>
          <w:bCs/>
          <w:kern w:val="0"/>
          <w:szCs w:val="21"/>
        </w:rPr>
        <w:t>5.2</w:t>
      </w:r>
      <w:r>
        <w:rPr>
          <w:rFonts w:hint="eastAsia" w:eastAsia="黑体"/>
          <w:bCs/>
          <w:kern w:val="0"/>
          <w:szCs w:val="21"/>
        </w:rPr>
        <w:t>-1  工作井沉降及控制值</w:t>
      </w:r>
    </w:p>
    <w:tbl>
      <w:tblPr>
        <w:tblStyle w:val="18"/>
        <w:tblW w:w="45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2145"/>
        <w:gridCol w:w="2482"/>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0" w:type="pct"/>
            <w:shd w:val="clear" w:color="auto" w:fill="auto"/>
            <w:noWrap/>
            <w:vAlign w:val="center"/>
          </w:tcPr>
          <w:p>
            <w:pPr>
              <w:jc w:val="center"/>
              <w:rPr>
                <w:bCs/>
                <w:sz w:val="20"/>
                <w:szCs w:val="20"/>
              </w:rPr>
            </w:pPr>
            <w:r>
              <w:rPr>
                <w:rFonts w:hint="eastAsia"/>
                <w:bCs/>
                <w:sz w:val="20"/>
                <w:szCs w:val="20"/>
              </w:rPr>
              <w:t>序号</w:t>
            </w:r>
          </w:p>
        </w:tc>
        <w:tc>
          <w:tcPr>
            <w:tcW w:w="1388" w:type="pct"/>
            <w:vAlign w:val="center"/>
          </w:tcPr>
          <w:p>
            <w:pPr>
              <w:jc w:val="center"/>
              <w:rPr>
                <w:bCs/>
                <w:sz w:val="20"/>
                <w:szCs w:val="20"/>
              </w:rPr>
            </w:pPr>
            <w:r>
              <w:rPr>
                <w:rFonts w:hint="eastAsia"/>
                <w:bCs/>
                <w:sz w:val="20"/>
                <w:szCs w:val="20"/>
              </w:rPr>
              <w:t>控制值（mm）</w:t>
            </w:r>
          </w:p>
        </w:tc>
        <w:tc>
          <w:tcPr>
            <w:tcW w:w="1606" w:type="pct"/>
            <w:vAlign w:val="center"/>
          </w:tcPr>
          <w:p>
            <w:pPr>
              <w:jc w:val="center"/>
              <w:rPr>
                <w:bCs/>
                <w:sz w:val="20"/>
                <w:szCs w:val="20"/>
              </w:rPr>
            </w:pPr>
            <w:r>
              <w:rPr>
                <w:rFonts w:hint="eastAsia"/>
                <w:bCs/>
                <w:sz w:val="20"/>
                <w:szCs w:val="20"/>
              </w:rPr>
              <w:t>位移平均速率位移控制值（mm/d）</w:t>
            </w:r>
          </w:p>
        </w:tc>
        <w:tc>
          <w:tcPr>
            <w:tcW w:w="1606" w:type="pct"/>
            <w:shd w:val="clear" w:color="auto" w:fill="auto"/>
            <w:noWrap/>
            <w:vAlign w:val="center"/>
          </w:tcPr>
          <w:p>
            <w:pPr>
              <w:jc w:val="center"/>
              <w:rPr>
                <w:bCs/>
                <w:sz w:val="20"/>
                <w:szCs w:val="20"/>
              </w:rPr>
            </w:pPr>
            <w:r>
              <w:rPr>
                <w:rFonts w:hint="eastAsia"/>
                <w:bCs/>
                <w:sz w:val="20"/>
                <w:szCs w:val="20"/>
              </w:rPr>
              <w:t>最大速率控制值（mm/d）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00" w:type="pct"/>
            <w:shd w:val="clear" w:color="auto" w:fill="auto"/>
            <w:noWrap/>
            <w:vAlign w:val="center"/>
          </w:tcPr>
          <w:p>
            <w:pPr>
              <w:jc w:val="center"/>
              <w:rPr>
                <w:bCs/>
                <w:sz w:val="20"/>
                <w:szCs w:val="20"/>
              </w:rPr>
            </w:pPr>
            <w:r>
              <w:rPr>
                <w:rFonts w:hint="eastAsia"/>
                <w:bCs/>
                <w:sz w:val="20"/>
                <w:szCs w:val="20"/>
              </w:rPr>
              <w:t>1</w:t>
            </w:r>
          </w:p>
        </w:tc>
        <w:tc>
          <w:tcPr>
            <w:tcW w:w="1388" w:type="pct"/>
            <w:vAlign w:val="center"/>
          </w:tcPr>
          <w:p>
            <w:pPr>
              <w:jc w:val="center"/>
              <w:rPr>
                <w:bCs/>
                <w:sz w:val="20"/>
                <w:szCs w:val="20"/>
              </w:rPr>
            </w:pPr>
            <w:r>
              <w:rPr>
                <w:bCs/>
                <w:sz w:val="20"/>
                <w:szCs w:val="20"/>
              </w:rPr>
              <w:t>1</w:t>
            </w:r>
            <w:r>
              <w:rPr>
                <w:rFonts w:hint="eastAsia"/>
                <w:bCs/>
                <w:sz w:val="20"/>
                <w:szCs w:val="20"/>
              </w:rPr>
              <w:t>0</w:t>
            </w:r>
          </w:p>
        </w:tc>
        <w:tc>
          <w:tcPr>
            <w:tcW w:w="1606" w:type="pct"/>
            <w:vAlign w:val="center"/>
          </w:tcPr>
          <w:p>
            <w:pPr>
              <w:jc w:val="center"/>
              <w:rPr>
                <w:bCs/>
                <w:sz w:val="20"/>
                <w:szCs w:val="20"/>
              </w:rPr>
            </w:pPr>
            <w:r>
              <w:rPr>
                <w:rFonts w:hint="eastAsia"/>
                <w:bCs/>
                <w:sz w:val="20"/>
                <w:szCs w:val="20"/>
              </w:rPr>
              <w:t>2</w:t>
            </w:r>
          </w:p>
        </w:tc>
        <w:tc>
          <w:tcPr>
            <w:tcW w:w="1606" w:type="pct"/>
            <w:shd w:val="clear" w:color="auto" w:fill="auto"/>
            <w:noWrap/>
            <w:vAlign w:val="center"/>
          </w:tcPr>
          <w:p>
            <w:pPr>
              <w:jc w:val="center"/>
              <w:rPr>
                <w:bCs/>
                <w:sz w:val="20"/>
                <w:szCs w:val="20"/>
              </w:rPr>
            </w:pPr>
            <w:r>
              <w:rPr>
                <w:rFonts w:hint="eastAsia"/>
                <w:bCs/>
                <w:sz w:val="20"/>
                <w:szCs w:val="20"/>
              </w:rPr>
              <w:t>5</w:t>
            </w:r>
          </w:p>
        </w:tc>
      </w:tr>
    </w:tbl>
    <w:p>
      <w:pPr>
        <w:jc w:val="left"/>
        <w:rPr>
          <w:sz w:val="18"/>
          <w:szCs w:val="21"/>
        </w:rPr>
      </w:pPr>
      <w:r>
        <w:rPr>
          <w:rFonts w:hint="eastAsia"/>
          <w:sz w:val="18"/>
          <w:szCs w:val="21"/>
        </w:rPr>
        <w:t>注：位移平均速率为任意7d的位移值，位移最大速率为任意1d的最大位移值。</w:t>
      </w:r>
    </w:p>
    <w:p>
      <w:pPr>
        <w:spacing w:line="440" w:lineRule="exact"/>
        <w:ind w:firstLine="361" w:firstLineChars="150"/>
        <w:rPr>
          <w:sz w:val="24"/>
        </w:rPr>
      </w:pPr>
      <w:r>
        <w:rPr>
          <w:rFonts w:hint="eastAsia"/>
          <w:b/>
          <w:bCs/>
          <w:sz w:val="24"/>
        </w:rPr>
        <w:t>2</w:t>
      </w:r>
      <w:r>
        <w:rPr>
          <w:rFonts w:hint="eastAsia"/>
          <w:sz w:val="24"/>
        </w:rPr>
        <w:t xml:space="preserve">  地表变形及控制值应符合表9.</w:t>
      </w:r>
      <w:r>
        <w:rPr>
          <w:sz w:val="24"/>
        </w:rPr>
        <w:t>5.2</w:t>
      </w:r>
      <w:r>
        <w:rPr>
          <w:rFonts w:hint="eastAsia"/>
          <w:sz w:val="24"/>
        </w:rPr>
        <w:t>-2的规定。</w:t>
      </w:r>
    </w:p>
    <w:p>
      <w:pPr>
        <w:spacing w:before="156" w:beforeLines="50"/>
        <w:jc w:val="center"/>
        <w:rPr>
          <w:rFonts w:eastAsia="黑体"/>
          <w:bCs/>
          <w:kern w:val="0"/>
          <w:szCs w:val="21"/>
        </w:rPr>
      </w:pPr>
      <w:r>
        <w:rPr>
          <w:rFonts w:hint="eastAsia" w:eastAsia="黑体"/>
          <w:bCs/>
          <w:kern w:val="0"/>
          <w:szCs w:val="21"/>
        </w:rPr>
        <w:t>表9.</w:t>
      </w:r>
      <w:r>
        <w:rPr>
          <w:rFonts w:eastAsia="黑体"/>
          <w:bCs/>
          <w:kern w:val="0"/>
          <w:szCs w:val="21"/>
        </w:rPr>
        <w:t>5.2</w:t>
      </w:r>
      <w:r>
        <w:rPr>
          <w:rFonts w:hint="eastAsia" w:eastAsia="黑体"/>
          <w:bCs/>
          <w:kern w:val="0"/>
          <w:szCs w:val="21"/>
        </w:rPr>
        <w:t>-2  地表变形及控制值</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51"/>
        <w:gridCol w:w="1274"/>
        <w:gridCol w:w="1816"/>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0" w:type="auto"/>
            <w:vAlign w:val="center"/>
          </w:tcPr>
          <w:p>
            <w:pPr>
              <w:jc w:val="center"/>
              <w:rPr>
                <w:bCs/>
                <w:sz w:val="20"/>
                <w:szCs w:val="20"/>
              </w:rPr>
            </w:pPr>
            <w:r>
              <w:rPr>
                <w:rFonts w:hint="eastAsia"/>
                <w:bCs/>
                <w:sz w:val="20"/>
                <w:szCs w:val="20"/>
              </w:rPr>
              <w:t>序号</w:t>
            </w:r>
          </w:p>
        </w:tc>
        <w:tc>
          <w:tcPr>
            <w:tcW w:w="1151" w:type="dxa"/>
            <w:shd w:val="clear" w:color="auto" w:fill="auto"/>
            <w:noWrap/>
            <w:vAlign w:val="center"/>
          </w:tcPr>
          <w:p>
            <w:pPr>
              <w:jc w:val="center"/>
              <w:rPr>
                <w:bCs/>
                <w:sz w:val="20"/>
                <w:szCs w:val="20"/>
              </w:rPr>
            </w:pPr>
            <w:r>
              <w:rPr>
                <w:rFonts w:hint="eastAsia"/>
                <w:bCs/>
                <w:sz w:val="20"/>
                <w:szCs w:val="20"/>
              </w:rPr>
              <w:t>变形</w:t>
            </w:r>
          </w:p>
        </w:tc>
        <w:tc>
          <w:tcPr>
            <w:tcW w:w="1274" w:type="dxa"/>
            <w:shd w:val="clear" w:color="auto" w:fill="auto"/>
            <w:noWrap/>
            <w:vAlign w:val="center"/>
          </w:tcPr>
          <w:p>
            <w:pPr>
              <w:jc w:val="center"/>
              <w:rPr>
                <w:bCs/>
                <w:sz w:val="20"/>
                <w:szCs w:val="20"/>
              </w:rPr>
            </w:pPr>
            <w:r>
              <w:rPr>
                <w:rFonts w:hint="eastAsia"/>
                <w:bCs/>
                <w:sz w:val="20"/>
                <w:szCs w:val="20"/>
              </w:rPr>
              <w:t>控制值（mm）</w:t>
            </w:r>
          </w:p>
        </w:tc>
        <w:tc>
          <w:tcPr>
            <w:tcW w:w="0" w:type="auto"/>
            <w:shd w:val="clear" w:color="auto" w:fill="auto"/>
            <w:noWrap/>
            <w:vAlign w:val="center"/>
          </w:tcPr>
          <w:p>
            <w:pPr>
              <w:jc w:val="center"/>
              <w:rPr>
                <w:bCs/>
                <w:sz w:val="20"/>
                <w:szCs w:val="20"/>
              </w:rPr>
            </w:pPr>
            <w:r>
              <w:rPr>
                <w:rFonts w:hint="eastAsia"/>
                <w:bCs/>
                <w:sz w:val="20"/>
                <w:szCs w:val="20"/>
              </w:rPr>
              <w:t>位移平均速率位移</w:t>
            </w:r>
          </w:p>
          <w:p>
            <w:pPr>
              <w:jc w:val="center"/>
              <w:rPr>
                <w:bCs/>
                <w:sz w:val="20"/>
                <w:szCs w:val="20"/>
              </w:rPr>
            </w:pPr>
            <w:r>
              <w:rPr>
                <w:rFonts w:hint="eastAsia"/>
                <w:bCs/>
                <w:sz w:val="20"/>
                <w:szCs w:val="20"/>
              </w:rPr>
              <w:t>控制值（mm/d）</w:t>
            </w:r>
          </w:p>
        </w:tc>
        <w:tc>
          <w:tcPr>
            <w:tcW w:w="0" w:type="auto"/>
            <w:shd w:val="clear" w:color="auto" w:fill="auto"/>
            <w:noWrap/>
            <w:vAlign w:val="center"/>
          </w:tcPr>
          <w:p>
            <w:pPr>
              <w:jc w:val="center"/>
              <w:rPr>
                <w:bCs/>
                <w:sz w:val="20"/>
                <w:szCs w:val="20"/>
              </w:rPr>
            </w:pPr>
            <w:r>
              <w:rPr>
                <w:rFonts w:hint="eastAsia"/>
                <w:bCs/>
                <w:sz w:val="20"/>
                <w:szCs w:val="20"/>
              </w:rPr>
              <w:t>最大速率控制值（mm/d）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Align w:val="center"/>
          </w:tcPr>
          <w:p>
            <w:pPr>
              <w:jc w:val="center"/>
              <w:rPr>
                <w:bCs/>
                <w:sz w:val="20"/>
                <w:szCs w:val="20"/>
              </w:rPr>
            </w:pPr>
            <w:r>
              <w:rPr>
                <w:rFonts w:hint="eastAsia"/>
                <w:bCs/>
                <w:sz w:val="20"/>
                <w:szCs w:val="20"/>
              </w:rPr>
              <w:t>1</w:t>
            </w:r>
          </w:p>
        </w:tc>
        <w:tc>
          <w:tcPr>
            <w:tcW w:w="1151" w:type="dxa"/>
            <w:shd w:val="clear" w:color="auto" w:fill="auto"/>
            <w:noWrap/>
            <w:vAlign w:val="center"/>
          </w:tcPr>
          <w:p>
            <w:pPr>
              <w:jc w:val="center"/>
              <w:rPr>
                <w:bCs/>
                <w:sz w:val="20"/>
                <w:szCs w:val="20"/>
              </w:rPr>
            </w:pPr>
            <w:r>
              <w:rPr>
                <w:rFonts w:hint="eastAsia"/>
                <w:bCs/>
                <w:sz w:val="20"/>
                <w:szCs w:val="20"/>
              </w:rPr>
              <w:t>地表下沉</w:t>
            </w:r>
          </w:p>
        </w:tc>
        <w:tc>
          <w:tcPr>
            <w:tcW w:w="1274" w:type="dxa"/>
            <w:shd w:val="clear" w:color="auto" w:fill="auto"/>
            <w:noWrap/>
            <w:vAlign w:val="center"/>
          </w:tcPr>
          <w:p>
            <w:pPr>
              <w:jc w:val="center"/>
              <w:rPr>
                <w:bCs/>
                <w:sz w:val="20"/>
                <w:szCs w:val="20"/>
              </w:rPr>
            </w:pPr>
            <w:r>
              <w:rPr>
                <w:rFonts w:hint="eastAsia"/>
                <w:bCs/>
                <w:sz w:val="20"/>
                <w:szCs w:val="20"/>
              </w:rPr>
              <w:t>20</w:t>
            </w:r>
          </w:p>
        </w:tc>
        <w:tc>
          <w:tcPr>
            <w:tcW w:w="0" w:type="auto"/>
            <w:shd w:val="clear" w:color="auto" w:fill="auto"/>
            <w:noWrap/>
            <w:vAlign w:val="center"/>
          </w:tcPr>
          <w:p>
            <w:pPr>
              <w:jc w:val="center"/>
              <w:rPr>
                <w:bCs/>
                <w:sz w:val="20"/>
                <w:szCs w:val="20"/>
              </w:rPr>
            </w:pPr>
            <w:r>
              <w:rPr>
                <w:rFonts w:hint="eastAsia"/>
                <w:bCs/>
                <w:sz w:val="20"/>
                <w:szCs w:val="20"/>
              </w:rPr>
              <w:t>2</w:t>
            </w:r>
          </w:p>
        </w:tc>
        <w:tc>
          <w:tcPr>
            <w:tcW w:w="0" w:type="auto"/>
            <w:shd w:val="clear" w:color="auto" w:fill="auto"/>
            <w:noWrap/>
            <w:vAlign w:val="center"/>
          </w:tcPr>
          <w:p>
            <w:pPr>
              <w:jc w:val="center"/>
              <w:rPr>
                <w:bCs/>
                <w:sz w:val="20"/>
                <w:szCs w:val="20"/>
              </w:rPr>
            </w:pPr>
            <w:r>
              <w:rPr>
                <w:rFonts w:hint="eastAsia"/>
                <w:bCs/>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Align w:val="center"/>
          </w:tcPr>
          <w:p>
            <w:pPr>
              <w:jc w:val="center"/>
              <w:rPr>
                <w:bCs/>
                <w:sz w:val="20"/>
                <w:szCs w:val="20"/>
              </w:rPr>
            </w:pPr>
            <w:r>
              <w:rPr>
                <w:rFonts w:hint="eastAsia"/>
                <w:bCs/>
                <w:sz w:val="20"/>
                <w:szCs w:val="20"/>
              </w:rPr>
              <w:t>2</w:t>
            </w:r>
          </w:p>
        </w:tc>
        <w:tc>
          <w:tcPr>
            <w:tcW w:w="1151" w:type="dxa"/>
            <w:shd w:val="clear" w:color="auto" w:fill="auto"/>
            <w:noWrap/>
            <w:vAlign w:val="center"/>
          </w:tcPr>
          <w:p>
            <w:pPr>
              <w:jc w:val="center"/>
              <w:rPr>
                <w:bCs/>
                <w:sz w:val="20"/>
                <w:szCs w:val="20"/>
              </w:rPr>
            </w:pPr>
            <w:r>
              <w:rPr>
                <w:rFonts w:hint="eastAsia"/>
                <w:bCs/>
                <w:sz w:val="20"/>
                <w:szCs w:val="20"/>
              </w:rPr>
              <w:t>地表隆起</w:t>
            </w:r>
          </w:p>
        </w:tc>
        <w:tc>
          <w:tcPr>
            <w:tcW w:w="1274" w:type="dxa"/>
            <w:shd w:val="clear" w:color="auto" w:fill="auto"/>
            <w:noWrap/>
            <w:vAlign w:val="center"/>
          </w:tcPr>
          <w:p>
            <w:pPr>
              <w:jc w:val="center"/>
              <w:rPr>
                <w:bCs/>
                <w:sz w:val="20"/>
                <w:szCs w:val="20"/>
              </w:rPr>
            </w:pPr>
            <w:r>
              <w:rPr>
                <w:rFonts w:hint="eastAsia"/>
                <w:bCs/>
                <w:sz w:val="20"/>
                <w:szCs w:val="20"/>
              </w:rPr>
              <w:t>10</w:t>
            </w:r>
          </w:p>
        </w:tc>
        <w:tc>
          <w:tcPr>
            <w:tcW w:w="0" w:type="auto"/>
            <w:shd w:val="clear" w:color="auto" w:fill="auto"/>
            <w:noWrap/>
            <w:vAlign w:val="center"/>
          </w:tcPr>
          <w:p>
            <w:pPr>
              <w:jc w:val="center"/>
              <w:rPr>
                <w:bCs/>
                <w:sz w:val="20"/>
                <w:szCs w:val="20"/>
              </w:rPr>
            </w:pPr>
            <w:r>
              <w:rPr>
                <w:rFonts w:hint="eastAsia"/>
                <w:bCs/>
                <w:sz w:val="20"/>
                <w:szCs w:val="20"/>
              </w:rPr>
              <w:t>1</w:t>
            </w:r>
          </w:p>
        </w:tc>
        <w:tc>
          <w:tcPr>
            <w:tcW w:w="0" w:type="auto"/>
            <w:shd w:val="clear" w:color="auto" w:fill="auto"/>
            <w:noWrap/>
            <w:vAlign w:val="center"/>
          </w:tcPr>
          <w:p>
            <w:pPr>
              <w:jc w:val="center"/>
              <w:rPr>
                <w:bCs/>
                <w:sz w:val="20"/>
                <w:szCs w:val="20"/>
              </w:rPr>
            </w:pPr>
            <w:r>
              <w:rPr>
                <w:rFonts w:hint="eastAsia"/>
                <w:bCs/>
                <w:sz w:val="20"/>
                <w:szCs w:val="20"/>
              </w:rPr>
              <w:t>2.5</w:t>
            </w:r>
          </w:p>
        </w:tc>
      </w:tr>
    </w:tbl>
    <w:p>
      <w:pPr>
        <w:jc w:val="left"/>
        <w:rPr>
          <w:sz w:val="18"/>
          <w:szCs w:val="21"/>
        </w:rPr>
      </w:pPr>
      <w:r>
        <w:rPr>
          <w:rFonts w:hint="eastAsia"/>
          <w:sz w:val="18"/>
          <w:szCs w:val="21"/>
        </w:rPr>
        <w:t>注：位移平均速率为任意7d的位移值，位移最大速率为任意1d的最大位移值。</w:t>
      </w:r>
    </w:p>
    <w:p>
      <w:pPr>
        <w:spacing w:line="440" w:lineRule="exact"/>
        <w:rPr>
          <w:sz w:val="24"/>
        </w:rPr>
      </w:pPr>
      <w:r>
        <w:rPr>
          <w:rFonts w:hint="eastAsia"/>
          <w:b/>
          <w:bCs/>
          <w:sz w:val="24"/>
        </w:rPr>
        <w:t>9.5.</w:t>
      </w:r>
      <w:r>
        <w:rPr>
          <w:b/>
          <w:bCs/>
          <w:sz w:val="24"/>
        </w:rPr>
        <w:t>3</w:t>
      </w:r>
      <w:r>
        <w:rPr>
          <w:rFonts w:hint="eastAsia"/>
          <w:sz w:val="24"/>
        </w:rPr>
        <w:t xml:space="preserve">  监测预警标准和预警等级应根据工程特点、监测项目控制值及当地施工经验等确定。</w:t>
      </w:r>
    </w:p>
    <w:p>
      <w:pPr>
        <w:spacing w:line="440" w:lineRule="exact"/>
        <w:rPr>
          <w:sz w:val="24"/>
        </w:rPr>
      </w:pPr>
      <w:r>
        <w:rPr>
          <w:rFonts w:hint="eastAsia"/>
          <w:b/>
          <w:bCs/>
          <w:sz w:val="24"/>
        </w:rPr>
        <w:t>9.5.</w:t>
      </w:r>
      <w:r>
        <w:rPr>
          <w:b/>
          <w:bCs/>
          <w:sz w:val="24"/>
        </w:rPr>
        <w:t>4</w:t>
      </w:r>
      <w:r>
        <w:rPr>
          <w:rFonts w:hint="eastAsia"/>
          <w:sz w:val="24"/>
        </w:rPr>
        <w:t xml:space="preserve">  当监测数据达到预警标准或实测变形值大于允许变形的2/3时，应进行警情报送。</w:t>
      </w:r>
    </w:p>
    <w:p>
      <w:pPr>
        <w:spacing w:line="440" w:lineRule="exact"/>
        <w:rPr>
          <w:sz w:val="24"/>
        </w:rPr>
      </w:pPr>
      <w:r>
        <w:rPr>
          <w:rFonts w:hint="eastAsia"/>
          <w:b/>
          <w:bCs/>
          <w:sz w:val="24"/>
        </w:rPr>
        <w:t>9.5.</w:t>
      </w:r>
      <w:r>
        <w:rPr>
          <w:b/>
          <w:bCs/>
          <w:sz w:val="24"/>
        </w:rPr>
        <w:t>5</w:t>
      </w:r>
      <w:r>
        <w:rPr>
          <w:rFonts w:hint="eastAsia"/>
          <w:sz w:val="24"/>
        </w:rPr>
        <w:t xml:space="preserve">  预警管理制度应根据监测预警等级和预警标准制定，预警管理制度应包括不同预警等级的警情报送对象、时间、方式和流程。</w:t>
      </w:r>
    </w:p>
    <w:p>
      <w:pPr>
        <w:spacing w:line="440" w:lineRule="exact"/>
        <w:rPr>
          <w:sz w:val="24"/>
        </w:rPr>
      </w:pPr>
      <w:r>
        <w:rPr>
          <w:rFonts w:hint="eastAsia"/>
          <w:b/>
          <w:bCs/>
          <w:sz w:val="24"/>
        </w:rPr>
        <w:t>9.5.</w:t>
      </w:r>
      <w:r>
        <w:rPr>
          <w:b/>
          <w:bCs/>
          <w:sz w:val="24"/>
        </w:rPr>
        <w:t>6</w:t>
      </w:r>
      <w:r>
        <w:rPr>
          <w:rFonts w:hint="eastAsia"/>
          <w:sz w:val="24"/>
        </w:rPr>
        <w:t xml:space="preserve">  当现场巡查过程中发现下列警情之一时，应根据警情紧急程度、发展趋势和造成后果的严重程度按预警管理制度进行警情报送：</w:t>
      </w:r>
    </w:p>
    <w:p>
      <w:pPr>
        <w:spacing w:line="440" w:lineRule="exact"/>
        <w:ind w:firstLine="361" w:firstLineChars="150"/>
        <w:rPr>
          <w:sz w:val="24"/>
        </w:rPr>
      </w:pPr>
      <w:r>
        <w:rPr>
          <w:rFonts w:hint="eastAsia"/>
          <w:b/>
          <w:bCs/>
          <w:sz w:val="24"/>
        </w:rPr>
        <w:t>1</w:t>
      </w:r>
      <w:r>
        <w:rPr>
          <w:rFonts w:hint="eastAsia"/>
          <w:sz w:val="24"/>
        </w:rPr>
        <w:t xml:space="preserve">  周边地表出现突然明显沉降（隆起）或较严重的突发裂缝、坍塌；</w:t>
      </w:r>
    </w:p>
    <w:p>
      <w:pPr>
        <w:spacing w:line="440" w:lineRule="exact"/>
        <w:ind w:firstLine="361" w:firstLineChars="150"/>
        <w:rPr>
          <w:sz w:val="24"/>
        </w:rPr>
      </w:pPr>
      <w:r>
        <w:rPr>
          <w:rFonts w:hint="eastAsia"/>
          <w:b/>
          <w:bCs/>
          <w:sz w:val="24"/>
        </w:rPr>
        <w:t>2</w:t>
      </w:r>
      <w:r>
        <w:rPr>
          <w:rFonts w:hint="eastAsia"/>
          <w:sz w:val="24"/>
        </w:rPr>
        <w:t xml:space="preserve">  建（构）筑物等周边环境出现危害正常使用功能或结构出现过大变形、沉降、倾斜或裂缝等；</w:t>
      </w:r>
    </w:p>
    <w:p>
      <w:pPr>
        <w:spacing w:line="440" w:lineRule="exact"/>
        <w:ind w:firstLine="361" w:firstLineChars="150"/>
        <w:rPr>
          <w:sz w:val="24"/>
        </w:rPr>
      </w:pPr>
      <w:r>
        <w:rPr>
          <w:rFonts w:hint="eastAsia"/>
          <w:b/>
          <w:bCs/>
          <w:sz w:val="24"/>
        </w:rPr>
        <w:t>3</w:t>
      </w:r>
      <w:r>
        <w:rPr>
          <w:rFonts w:hint="eastAsia"/>
          <w:sz w:val="24"/>
        </w:rPr>
        <w:t xml:space="preserve">  周边地下管线变形明显增长或出现裂缝、泄漏等；</w:t>
      </w:r>
    </w:p>
    <w:p>
      <w:pPr>
        <w:spacing w:line="440" w:lineRule="exact"/>
        <w:ind w:firstLine="361" w:firstLineChars="150"/>
        <w:rPr>
          <w:sz w:val="24"/>
        </w:rPr>
      </w:pPr>
      <w:r>
        <w:rPr>
          <w:rFonts w:hint="eastAsia"/>
          <w:b/>
          <w:bCs/>
          <w:sz w:val="24"/>
        </w:rPr>
        <w:t>4</w:t>
      </w:r>
      <w:r>
        <w:rPr>
          <w:rFonts w:hint="eastAsia"/>
          <w:sz w:val="24"/>
        </w:rPr>
        <w:t xml:space="preserve">  隧道结构出现明显变形、较大裂缝、较严重漏水：</w:t>
      </w:r>
    </w:p>
    <w:p>
      <w:pPr>
        <w:spacing w:line="440" w:lineRule="exact"/>
        <w:ind w:firstLine="361" w:firstLineChars="150"/>
        <w:rPr>
          <w:sz w:val="24"/>
        </w:rPr>
      </w:pPr>
      <w:r>
        <w:rPr>
          <w:rFonts w:hint="eastAsia"/>
          <w:b/>
          <w:bCs/>
          <w:sz w:val="24"/>
        </w:rPr>
        <w:t>5</w:t>
      </w:r>
      <w:r>
        <w:rPr>
          <w:rFonts w:hint="eastAsia"/>
          <w:sz w:val="24"/>
        </w:rPr>
        <w:t xml:space="preserve">  根据工程经验判断可能出现的其他警情。</w:t>
      </w:r>
    </w:p>
    <w:p>
      <w:pPr>
        <w:spacing w:before="156" w:beforeLines="50" w:after="156" w:afterLines="50" w:line="440" w:lineRule="exact"/>
        <w:jc w:val="center"/>
        <w:outlineLvl w:val="1"/>
        <w:rPr>
          <w:rFonts w:eastAsia="黑体"/>
          <w:sz w:val="24"/>
        </w:rPr>
      </w:pPr>
      <w:bookmarkStart w:id="132" w:name="_Toc13049"/>
      <w:bookmarkStart w:id="133" w:name="_Toc26229"/>
      <w:r>
        <w:rPr>
          <w:rFonts w:hint="eastAsia" w:eastAsia="黑体"/>
          <w:sz w:val="24"/>
        </w:rPr>
        <w:t>9.</w:t>
      </w:r>
      <w:r>
        <w:rPr>
          <w:rFonts w:eastAsia="黑体"/>
          <w:sz w:val="24"/>
        </w:rPr>
        <w:t>5</w:t>
      </w:r>
      <w:r>
        <w:rPr>
          <w:rFonts w:hint="eastAsia" w:eastAsia="黑体"/>
          <w:sz w:val="24"/>
        </w:rPr>
        <w:t xml:space="preserve">  数据处理与信息反馈</w:t>
      </w:r>
      <w:bookmarkEnd w:id="132"/>
      <w:bookmarkEnd w:id="133"/>
    </w:p>
    <w:p>
      <w:pPr>
        <w:spacing w:line="440" w:lineRule="exact"/>
        <w:rPr>
          <w:sz w:val="24"/>
        </w:rPr>
      </w:pPr>
      <w:r>
        <w:rPr>
          <w:rFonts w:hint="eastAsia"/>
          <w:b/>
          <w:bCs/>
          <w:sz w:val="24"/>
        </w:rPr>
        <w:t>9.</w:t>
      </w:r>
      <w:r>
        <w:rPr>
          <w:b/>
          <w:bCs/>
          <w:sz w:val="24"/>
        </w:rPr>
        <w:t>5</w:t>
      </w:r>
      <w:r>
        <w:rPr>
          <w:rFonts w:hint="eastAsia"/>
          <w:b/>
          <w:bCs/>
          <w:sz w:val="24"/>
        </w:rPr>
        <w:t>.1</w:t>
      </w:r>
      <w:r>
        <w:rPr>
          <w:rFonts w:hint="eastAsia"/>
          <w:sz w:val="24"/>
        </w:rPr>
        <w:t xml:space="preserve">  监测项目的允许变形值应根据工程要求确定，并应按不同预警分级上报有关单位。</w:t>
      </w:r>
    </w:p>
    <w:p>
      <w:pPr>
        <w:spacing w:line="440" w:lineRule="exact"/>
        <w:rPr>
          <w:sz w:val="24"/>
        </w:rPr>
      </w:pPr>
      <w:r>
        <w:rPr>
          <w:rFonts w:hint="eastAsia"/>
          <w:b/>
          <w:bCs/>
          <w:sz w:val="24"/>
        </w:rPr>
        <w:t>9.</w:t>
      </w:r>
      <w:r>
        <w:rPr>
          <w:b/>
          <w:bCs/>
          <w:sz w:val="24"/>
        </w:rPr>
        <w:t>5</w:t>
      </w:r>
      <w:r>
        <w:rPr>
          <w:rFonts w:hint="eastAsia"/>
          <w:b/>
          <w:bCs/>
          <w:sz w:val="24"/>
        </w:rPr>
        <w:t>.2</w:t>
      </w:r>
      <w:r>
        <w:rPr>
          <w:rFonts w:hint="eastAsia"/>
          <w:sz w:val="24"/>
        </w:rPr>
        <w:t xml:space="preserve">  监测数据应结合施工经验和现场环境状况定期进行分析，并应绘制变形时态曲线图。</w:t>
      </w:r>
    </w:p>
    <w:p>
      <w:pPr>
        <w:spacing w:line="440" w:lineRule="exact"/>
        <w:rPr>
          <w:sz w:val="24"/>
        </w:rPr>
      </w:pPr>
      <w:r>
        <w:rPr>
          <w:rFonts w:hint="eastAsia"/>
          <w:b/>
          <w:bCs/>
          <w:sz w:val="24"/>
        </w:rPr>
        <w:t>9.</w:t>
      </w:r>
      <w:r>
        <w:rPr>
          <w:b/>
          <w:bCs/>
          <w:sz w:val="24"/>
        </w:rPr>
        <w:t>5</w:t>
      </w:r>
      <w:r>
        <w:rPr>
          <w:rFonts w:hint="eastAsia"/>
          <w:b/>
          <w:bCs/>
          <w:sz w:val="24"/>
        </w:rPr>
        <w:t>.3</w:t>
      </w:r>
      <w:r>
        <w:rPr>
          <w:rFonts w:hint="eastAsia"/>
          <w:sz w:val="24"/>
        </w:rPr>
        <w:t xml:space="preserve">  时态曲线回归分析宜选择与实测数据拟合较好的函数，并应对变形趋势进行预测。</w:t>
      </w:r>
    </w:p>
    <w:p>
      <w:pPr>
        <w:spacing w:line="440" w:lineRule="exact"/>
        <w:rPr>
          <w:sz w:val="24"/>
        </w:rPr>
      </w:pPr>
      <w:r>
        <w:rPr>
          <w:rFonts w:hint="eastAsia"/>
          <w:b/>
          <w:bCs/>
          <w:sz w:val="24"/>
        </w:rPr>
        <w:t>9.</w:t>
      </w:r>
      <w:r>
        <w:rPr>
          <w:b/>
          <w:bCs/>
          <w:sz w:val="24"/>
        </w:rPr>
        <w:t>5</w:t>
      </w:r>
      <w:r>
        <w:rPr>
          <w:rFonts w:hint="eastAsia"/>
          <w:b/>
          <w:bCs/>
          <w:sz w:val="24"/>
        </w:rPr>
        <w:t>.4</w:t>
      </w:r>
      <w:r>
        <w:rPr>
          <w:rFonts w:hint="eastAsia"/>
          <w:sz w:val="24"/>
        </w:rPr>
        <w:t xml:space="preserve">  监测成果应包括现场监测资料、计算分析资料、各种曲线图表和文字报告等，资料应完整、清晰。</w:t>
      </w:r>
    </w:p>
    <w:p>
      <w:pPr>
        <w:spacing w:line="440" w:lineRule="exact"/>
        <w:rPr>
          <w:b/>
          <w:bCs/>
          <w:sz w:val="24"/>
        </w:rPr>
      </w:pPr>
      <w:r>
        <w:rPr>
          <w:rFonts w:hint="eastAsia"/>
          <w:b/>
          <w:bCs/>
          <w:sz w:val="24"/>
        </w:rPr>
        <w:t>9.</w:t>
      </w:r>
      <w:r>
        <w:rPr>
          <w:b/>
          <w:bCs/>
          <w:sz w:val="24"/>
        </w:rPr>
        <w:t>5</w:t>
      </w:r>
      <w:r>
        <w:rPr>
          <w:rFonts w:hint="eastAsia"/>
          <w:b/>
          <w:bCs/>
          <w:sz w:val="24"/>
        </w:rPr>
        <w:t xml:space="preserve">.5  </w:t>
      </w:r>
      <w:r>
        <w:rPr>
          <w:rFonts w:hint="eastAsia"/>
          <w:sz w:val="24"/>
        </w:rPr>
        <w:t>管幕法应采用信息化施工，项目建设相关方应根据监测反馈信息及时采取相应措施。</w:t>
      </w:r>
    </w:p>
    <w:p>
      <w:pPr>
        <w:spacing w:line="440" w:lineRule="exact"/>
        <w:rPr>
          <w:sz w:val="24"/>
        </w:rPr>
      </w:pPr>
      <w:r>
        <w:rPr>
          <w:rFonts w:hint="eastAsia"/>
          <w:b/>
          <w:bCs/>
          <w:sz w:val="24"/>
        </w:rPr>
        <w:t>9.</w:t>
      </w:r>
      <w:r>
        <w:rPr>
          <w:b/>
          <w:bCs/>
          <w:sz w:val="24"/>
        </w:rPr>
        <w:t>5</w:t>
      </w:r>
      <w:r>
        <w:rPr>
          <w:rFonts w:hint="eastAsia"/>
          <w:b/>
          <w:bCs/>
          <w:sz w:val="24"/>
        </w:rPr>
        <w:t>.</w:t>
      </w:r>
      <w:r>
        <w:rPr>
          <w:b/>
          <w:bCs/>
          <w:sz w:val="24"/>
        </w:rPr>
        <w:t>6</w:t>
      </w:r>
      <w:r>
        <w:rPr>
          <w:rFonts w:hint="eastAsia"/>
          <w:b/>
          <w:bCs/>
          <w:sz w:val="24"/>
        </w:rPr>
        <w:t xml:space="preserve">  </w:t>
      </w:r>
      <w:r>
        <w:rPr>
          <w:rFonts w:hint="eastAsia"/>
          <w:sz w:val="24"/>
        </w:rPr>
        <w:t>监测数据应进行综合分析和处理，并应编制监测日报、周报或月报，监测项目完成后应编制分析总结报告。</w:t>
      </w:r>
    </w:p>
    <w:p>
      <w:pPr>
        <w:spacing w:line="440" w:lineRule="exact"/>
        <w:rPr>
          <w:sz w:val="24"/>
        </w:rPr>
      </w:pPr>
      <w:r>
        <w:rPr>
          <w:rFonts w:hint="eastAsia"/>
          <w:b/>
          <w:bCs/>
          <w:sz w:val="24"/>
        </w:rPr>
        <w:t>9.</w:t>
      </w:r>
      <w:r>
        <w:rPr>
          <w:b/>
          <w:bCs/>
          <w:sz w:val="24"/>
        </w:rPr>
        <w:t>5</w:t>
      </w:r>
      <w:r>
        <w:rPr>
          <w:rFonts w:hint="eastAsia"/>
          <w:b/>
          <w:bCs/>
          <w:sz w:val="24"/>
        </w:rPr>
        <w:t>.</w:t>
      </w:r>
      <w:r>
        <w:rPr>
          <w:b/>
          <w:bCs/>
          <w:sz w:val="24"/>
        </w:rPr>
        <w:t>7</w:t>
      </w:r>
      <w:r>
        <w:rPr>
          <w:rFonts w:hint="eastAsia"/>
          <w:b/>
          <w:bCs/>
          <w:sz w:val="24"/>
        </w:rPr>
        <w:t xml:space="preserve">  </w:t>
      </w:r>
      <w:r>
        <w:rPr>
          <w:rFonts w:hint="eastAsia"/>
          <w:sz w:val="24"/>
        </w:rPr>
        <w:t>监测完成后应及时向有关单位提供阶段性监测成果。</w:t>
      </w:r>
    </w:p>
    <w:p>
      <w:pPr>
        <w:spacing w:line="440" w:lineRule="exact"/>
        <w:rPr>
          <w:sz w:val="24"/>
        </w:rPr>
      </w:pPr>
      <w:r>
        <w:rPr>
          <w:rFonts w:hint="eastAsia"/>
          <w:b/>
          <w:bCs/>
          <w:sz w:val="24"/>
        </w:rPr>
        <w:t>9.</w:t>
      </w:r>
      <w:r>
        <w:rPr>
          <w:b/>
          <w:bCs/>
          <w:sz w:val="24"/>
        </w:rPr>
        <w:t>5</w:t>
      </w:r>
      <w:r>
        <w:rPr>
          <w:rFonts w:hint="eastAsia"/>
          <w:b/>
          <w:bCs/>
          <w:sz w:val="24"/>
        </w:rPr>
        <w:t>.</w:t>
      </w:r>
      <w:r>
        <w:rPr>
          <w:b/>
          <w:bCs/>
          <w:sz w:val="24"/>
        </w:rPr>
        <w:t>8</w:t>
      </w:r>
      <w:r>
        <w:rPr>
          <w:rFonts w:hint="eastAsia"/>
          <w:b/>
          <w:bCs/>
          <w:sz w:val="24"/>
        </w:rPr>
        <w:t xml:space="preserve">  </w:t>
      </w:r>
      <w:r>
        <w:rPr>
          <w:rFonts w:hint="eastAsia"/>
          <w:sz w:val="24"/>
        </w:rPr>
        <w:t>工程竣工或监测工作完成后应提供监测技术总结报告。</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156" w:beforeLines="50" w:after="156" w:afterLines="50"/>
        <w:jc w:val="center"/>
        <w:outlineLvl w:val="0"/>
        <w:rPr>
          <w:sz w:val="32"/>
          <w:szCs w:val="20"/>
        </w:rPr>
      </w:pPr>
      <w:bookmarkStart w:id="134" w:name="_Toc30850"/>
      <w:bookmarkStart w:id="135" w:name="_Toc25563"/>
      <w:r>
        <w:rPr>
          <w:rFonts w:hint="eastAsia"/>
          <w:sz w:val="32"/>
          <w:szCs w:val="20"/>
        </w:rPr>
        <w:t>10  质量验收</w:t>
      </w:r>
      <w:bookmarkEnd w:id="134"/>
      <w:bookmarkEnd w:id="135"/>
    </w:p>
    <w:p>
      <w:pPr>
        <w:spacing w:before="156" w:beforeLines="50" w:after="156" w:afterLines="50" w:line="440" w:lineRule="exact"/>
        <w:jc w:val="center"/>
        <w:outlineLvl w:val="1"/>
        <w:rPr>
          <w:rFonts w:eastAsia="黑体"/>
          <w:sz w:val="24"/>
        </w:rPr>
      </w:pPr>
      <w:bookmarkStart w:id="136" w:name="_Toc24215"/>
      <w:bookmarkStart w:id="137" w:name="_Toc25913"/>
      <w:r>
        <w:rPr>
          <w:rFonts w:hint="eastAsia" w:eastAsia="黑体"/>
          <w:sz w:val="24"/>
        </w:rPr>
        <w:t>10.1  一 般 规 定</w:t>
      </w:r>
      <w:bookmarkEnd w:id="136"/>
      <w:bookmarkEnd w:id="137"/>
    </w:p>
    <w:p>
      <w:pPr>
        <w:spacing w:line="440" w:lineRule="exact"/>
        <w:rPr>
          <w:sz w:val="24"/>
        </w:rPr>
      </w:pPr>
      <w:r>
        <w:rPr>
          <w:rFonts w:hint="eastAsia"/>
          <w:b/>
          <w:bCs/>
          <w:sz w:val="24"/>
        </w:rPr>
        <w:t>10.1.1</w:t>
      </w:r>
      <w:r>
        <w:rPr>
          <w:rFonts w:hint="eastAsia"/>
          <w:sz w:val="24"/>
        </w:rPr>
        <w:t xml:space="preserve">  施工现场应具有健全的质量管理体系，应有相应的施工技术标准。</w:t>
      </w:r>
    </w:p>
    <w:p>
      <w:pPr>
        <w:spacing w:line="440" w:lineRule="exact"/>
        <w:rPr>
          <w:sz w:val="24"/>
        </w:rPr>
      </w:pPr>
      <w:r>
        <w:rPr>
          <w:rFonts w:hint="eastAsia"/>
          <w:b/>
          <w:bCs/>
          <w:sz w:val="24"/>
        </w:rPr>
        <w:t>10.1.2</w:t>
      </w:r>
      <w:r>
        <w:rPr>
          <w:rFonts w:hint="eastAsia"/>
          <w:sz w:val="24"/>
        </w:rPr>
        <w:t xml:space="preserve">  工程中使用的原材料的检验、施工过程的质量控制的检验、工程质量验收程序和组织应符合现行国家标准</w:t>
      </w:r>
      <w:bookmarkStart w:id="138" w:name="_Hlk103457170"/>
      <w:r>
        <w:rPr>
          <w:rFonts w:hint="eastAsia"/>
          <w:sz w:val="24"/>
        </w:rPr>
        <w:t>《建筑工程施工质量验收统一标准》GB50300</w:t>
      </w:r>
      <w:bookmarkEnd w:id="138"/>
      <w:r>
        <w:rPr>
          <w:rFonts w:hint="eastAsia"/>
          <w:sz w:val="24"/>
        </w:rPr>
        <w:t>的规定。</w:t>
      </w:r>
    </w:p>
    <w:p>
      <w:pPr>
        <w:spacing w:line="440" w:lineRule="exact"/>
        <w:rPr>
          <w:sz w:val="24"/>
        </w:rPr>
      </w:pPr>
      <w:r>
        <w:rPr>
          <w:rFonts w:hint="eastAsia"/>
          <w:b/>
          <w:bCs/>
          <w:sz w:val="24"/>
        </w:rPr>
        <w:t>10.1.</w:t>
      </w:r>
      <w:r>
        <w:rPr>
          <w:b/>
          <w:bCs/>
          <w:sz w:val="24"/>
        </w:rPr>
        <w:t>3</w:t>
      </w:r>
      <w:r>
        <w:rPr>
          <w:rFonts w:hint="eastAsia"/>
          <w:sz w:val="24"/>
        </w:rPr>
        <w:t xml:space="preserve">  工程质量验收应划分为子分部工程、分项工程和检验批。</w:t>
      </w:r>
    </w:p>
    <w:p>
      <w:pPr>
        <w:spacing w:line="440" w:lineRule="exact"/>
        <w:rPr>
          <w:sz w:val="24"/>
        </w:rPr>
      </w:pPr>
      <w:r>
        <w:rPr>
          <w:rFonts w:hint="eastAsia"/>
          <w:b/>
          <w:bCs/>
          <w:sz w:val="24"/>
        </w:rPr>
        <w:t>10.1.3</w:t>
      </w:r>
      <w:r>
        <w:rPr>
          <w:rFonts w:hint="eastAsia"/>
          <w:sz w:val="24"/>
        </w:rPr>
        <w:t xml:space="preserve">  管幕法结构施工的子分部工程、分项工程、检验批划分应符合表10.1.3的规定。</w:t>
      </w:r>
    </w:p>
    <w:p>
      <w:pPr>
        <w:spacing w:before="156" w:beforeLines="50"/>
        <w:jc w:val="center"/>
        <w:rPr>
          <w:rFonts w:eastAsia="黑体"/>
          <w:bCs/>
          <w:kern w:val="0"/>
          <w:szCs w:val="21"/>
        </w:rPr>
      </w:pPr>
      <w:r>
        <w:rPr>
          <w:rFonts w:hint="eastAsia" w:eastAsia="黑体"/>
          <w:bCs/>
          <w:kern w:val="0"/>
          <w:szCs w:val="21"/>
        </w:rPr>
        <w:t>表10.1.</w:t>
      </w:r>
      <w:r>
        <w:rPr>
          <w:rFonts w:eastAsia="黑体"/>
          <w:bCs/>
          <w:kern w:val="0"/>
          <w:szCs w:val="21"/>
        </w:rPr>
        <w:t>3</w:t>
      </w:r>
      <w:r>
        <w:rPr>
          <w:rFonts w:hint="eastAsia" w:eastAsia="黑体"/>
          <w:bCs/>
          <w:kern w:val="0"/>
          <w:szCs w:val="21"/>
        </w:rPr>
        <w:t xml:space="preserve">  子分部工程、分项工程、检验批划分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pPr>
              <w:jc w:val="center"/>
              <w:rPr>
                <w:sz w:val="20"/>
                <w:szCs w:val="20"/>
              </w:rPr>
            </w:pPr>
            <w:r>
              <w:rPr>
                <w:sz w:val="20"/>
                <w:szCs w:val="20"/>
              </w:rPr>
              <w:t>子分部工程</w:t>
            </w:r>
          </w:p>
        </w:tc>
        <w:tc>
          <w:tcPr>
            <w:tcW w:w="2835" w:type="dxa"/>
            <w:tcBorders>
              <w:top w:val="single" w:color="auto" w:sz="4" w:space="0"/>
              <w:left w:val="single" w:color="auto" w:sz="4" w:space="0"/>
              <w:bottom w:val="single" w:color="auto" w:sz="4" w:space="0"/>
              <w:right w:val="single" w:color="auto" w:sz="4" w:space="0"/>
            </w:tcBorders>
          </w:tcPr>
          <w:p>
            <w:pPr>
              <w:jc w:val="center"/>
              <w:rPr>
                <w:sz w:val="20"/>
                <w:szCs w:val="20"/>
              </w:rPr>
            </w:pPr>
            <w:r>
              <w:rPr>
                <w:sz w:val="20"/>
                <w:szCs w:val="20"/>
              </w:rPr>
              <w:t>分项工程</w:t>
            </w:r>
          </w:p>
        </w:tc>
        <w:tc>
          <w:tcPr>
            <w:tcW w:w="2835" w:type="dxa"/>
            <w:tcBorders>
              <w:top w:val="single" w:color="auto" w:sz="4" w:space="0"/>
              <w:left w:val="single" w:color="auto" w:sz="4" w:space="0"/>
              <w:bottom w:val="single" w:color="auto" w:sz="4" w:space="0"/>
              <w:right w:val="single" w:color="auto" w:sz="4" w:space="0"/>
            </w:tcBorders>
          </w:tcPr>
          <w:p>
            <w:pPr>
              <w:jc w:val="center"/>
              <w:rPr>
                <w:sz w:val="20"/>
                <w:szCs w:val="20"/>
              </w:rPr>
            </w:pPr>
            <w:r>
              <w:rPr>
                <w:sz w:val="20"/>
                <w:szCs w:val="20"/>
              </w:rPr>
              <w:t>检验批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管幕法支护结构</w:t>
            </w:r>
          </w:p>
        </w:tc>
        <w:tc>
          <w:tcPr>
            <w:tcW w:w="2835" w:type="dxa"/>
            <w:tcBorders>
              <w:top w:val="single" w:color="auto" w:sz="4" w:space="0"/>
              <w:left w:val="single" w:color="auto" w:sz="4" w:space="0"/>
              <w:bottom w:val="single" w:color="auto" w:sz="4" w:space="0"/>
              <w:right w:val="single" w:color="auto" w:sz="4" w:space="0"/>
            </w:tcBorders>
          </w:tcPr>
          <w:p>
            <w:pPr>
              <w:jc w:val="center"/>
              <w:rPr>
                <w:sz w:val="20"/>
                <w:szCs w:val="20"/>
              </w:rPr>
            </w:pPr>
            <w:r>
              <w:rPr>
                <w:rFonts w:hint="eastAsia"/>
                <w:sz w:val="20"/>
                <w:szCs w:val="20"/>
              </w:rPr>
              <w:t>钢管及附件制作</w:t>
            </w:r>
          </w:p>
        </w:tc>
        <w:tc>
          <w:tcPr>
            <w:tcW w:w="2835" w:type="dxa"/>
            <w:tcBorders>
              <w:top w:val="single" w:color="auto" w:sz="4" w:space="0"/>
              <w:left w:val="single" w:color="auto" w:sz="4" w:space="0"/>
              <w:bottom w:val="single" w:color="auto" w:sz="4" w:space="0"/>
              <w:right w:val="single" w:color="auto" w:sz="4" w:space="0"/>
            </w:tcBorders>
          </w:tcPr>
          <w:p>
            <w:pPr>
              <w:jc w:val="center"/>
              <w:rPr>
                <w:sz w:val="20"/>
                <w:szCs w:val="20"/>
              </w:rPr>
            </w:pPr>
            <w:r>
              <w:rPr>
                <w:rFonts w:hint="eastAsia"/>
                <w:sz w:val="20"/>
                <w:szCs w:val="20"/>
              </w:rPr>
              <w:t>每孔位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2835" w:type="dxa"/>
            <w:tcBorders>
              <w:top w:val="single" w:color="auto" w:sz="4" w:space="0"/>
              <w:left w:val="single" w:color="auto" w:sz="4" w:space="0"/>
              <w:bottom w:val="single" w:color="auto" w:sz="4" w:space="0"/>
              <w:right w:val="single" w:color="auto" w:sz="4" w:space="0"/>
            </w:tcBorders>
          </w:tcPr>
          <w:p>
            <w:pPr>
              <w:jc w:val="center"/>
              <w:rPr>
                <w:sz w:val="20"/>
                <w:szCs w:val="20"/>
              </w:rPr>
            </w:pPr>
            <w:r>
              <w:rPr>
                <w:rFonts w:hint="eastAsia"/>
                <w:sz w:val="20"/>
                <w:szCs w:val="20"/>
              </w:rPr>
              <w:t>钢管拉管法施工</w:t>
            </w:r>
          </w:p>
        </w:tc>
        <w:tc>
          <w:tcPr>
            <w:tcW w:w="2835" w:type="dxa"/>
            <w:tcBorders>
              <w:top w:val="single" w:color="auto" w:sz="4" w:space="0"/>
              <w:left w:val="single" w:color="auto" w:sz="4" w:space="0"/>
              <w:bottom w:val="single" w:color="auto" w:sz="4" w:space="0"/>
              <w:right w:val="single" w:color="auto" w:sz="4" w:space="0"/>
            </w:tcBorders>
          </w:tcPr>
          <w:p>
            <w:pPr>
              <w:jc w:val="center"/>
              <w:rPr>
                <w:sz w:val="20"/>
                <w:szCs w:val="20"/>
              </w:rPr>
            </w:pPr>
            <w:r>
              <w:rPr>
                <w:sz w:val="20"/>
                <w:szCs w:val="20"/>
              </w:rPr>
              <w:t>每</w:t>
            </w:r>
            <w:r>
              <w:rPr>
                <w:rFonts w:hint="eastAsia"/>
                <w:sz w:val="20"/>
                <w:szCs w:val="20"/>
              </w:rPr>
              <w:t>孔位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2835" w:type="dxa"/>
            <w:tcBorders>
              <w:top w:val="single" w:color="auto" w:sz="4" w:space="0"/>
              <w:left w:val="single" w:color="auto" w:sz="4" w:space="0"/>
              <w:bottom w:val="single" w:color="auto" w:sz="4" w:space="0"/>
              <w:right w:val="single" w:color="auto" w:sz="4" w:space="0"/>
            </w:tcBorders>
          </w:tcPr>
          <w:p>
            <w:pPr>
              <w:jc w:val="center"/>
              <w:rPr>
                <w:sz w:val="20"/>
                <w:szCs w:val="20"/>
              </w:rPr>
            </w:pPr>
            <w:r>
              <w:rPr>
                <w:rFonts w:hint="eastAsia"/>
                <w:sz w:val="20"/>
                <w:szCs w:val="20"/>
              </w:rPr>
              <w:t>钢管</w:t>
            </w:r>
            <w:r>
              <w:rPr>
                <w:sz w:val="20"/>
                <w:szCs w:val="20"/>
              </w:rPr>
              <w:t>夯管</w:t>
            </w:r>
            <w:r>
              <w:rPr>
                <w:rFonts w:hint="eastAsia"/>
                <w:sz w:val="20"/>
                <w:szCs w:val="20"/>
              </w:rPr>
              <w:t>法施工</w:t>
            </w:r>
          </w:p>
        </w:tc>
        <w:tc>
          <w:tcPr>
            <w:tcW w:w="2835" w:type="dxa"/>
            <w:tcBorders>
              <w:top w:val="single" w:color="auto" w:sz="4" w:space="0"/>
              <w:left w:val="single" w:color="auto" w:sz="4" w:space="0"/>
              <w:bottom w:val="single" w:color="auto" w:sz="4" w:space="0"/>
              <w:right w:val="single" w:color="auto" w:sz="4" w:space="0"/>
            </w:tcBorders>
          </w:tcPr>
          <w:p>
            <w:pPr>
              <w:jc w:val="center"/>
              <w:rPr>
                <w:sz w:val="20"/>
                <w:szCs w:val="20"/>
              </w:rPr>
            </w:pPr>
            <w:r>
              <w:rPr>
                <w:sz w:val="20"/>
                <w:szCs w:val="20"/>
              </w:rPr>
              <w:t>每</w:t>
            </w:r>
            <w:r>
              <w:rPr>
                <w:rFonts w:hint="eastAsia"/>
                <w:sz w:val="20"/>
                <w:szCs w:val="20"/>
              </w:rPr>
              <w:t>孔位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2835" w:type="dxa"/>
            <w:tcBorders>
              <w:top w:val="single" w:color="auto" w:sz="4" w:space="0"/>
              <w:left w:val="single" w:color="auto" w:sz="4" w:space="0"/>
              <w:bottom w:val="single" w:color="auto" w:sz="4" w:space="0"/>
              <w:right w:val="single" w:color="auto" w:sz="4" w:space="0"/>
            </w:tcBorders>
          </w:tcPr>
          <w:p>
            <w:pPr>
              <w:jc w:val="center"/>
              <w:rPr>
                <w:sz w:val="20"/>
                <w:szCs w:val="20"/>
              </w:rPr>
            </w:pPr>
            <w:r>
              <w:rPr>
                <w:rFonts w:hint="eastAsia"/>
                <w:sz w:val="20"/>
                <w:szCs w:val="20"/>
              </w:rPr>
              <w:t>钢管钻进顶管法施工</w:t>
            </w:r>
          </w:p>
        </w:tc>
        <w:tc>
          <w:tcPr>
            <w:tcW w:w="2835" w:type="dxa"/>
            <w:tcBorders>
              <w:top w:val="single" w:color="auto" w:sz="4" w:space="0"/>
              <w:left w:val="single" w:color="auto" w:sz="4" w:space="0"/>
              <w:bottom w:val="single" w:color="auto" w:sz="4" w:space="0"/>
              <w:right w:val="single" w:color="auto" w:sz="4" w:space="0"/>
            </w:tcBorders>
          </w:tcPr>
          <w:p>
            <w:pPr>
              <w:jc w:val="center"/>
              <w:rPr>
                <w:sz w:val="20"/>
                <w:szCs w:val="20"/>
              </w:rPr>
            </w:pPr>
            <w:r>
              <w:rPr>
                <w:sz w:val="20"/>
                <w:szCs w:val="20"/>
              </w:rPr>
              <w:t>每</w:t>
            </w:r>
            <w:r>
              <w:rPr>
                <w:rFonts w:hint="eastAsia"/>
                <w:sz w:val="20"/>
                <w:szCs w:val="20"/>
              </w:rPr>
              <w:t>孔位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2835" w:type="dxa"/>
            <w:tcBorders>
              <w:top w:val="single" w:color="auto" w:sz="4" w:space="0"/>
              <w:left w:val="single" w:color="auto" w:sz="4" w:space="0"/>
              <w:bottom w:val="single" w:color="auto" w:sz="4" w:space="0"/>
              <w:right w:val="single" w:color="auto" w:sz="4" w:space="0"/>
            </w:tcBorders>
          </w:tcPr>
          <w:p>
            <w:pPr>
              <w:jc w:val="center"/>
              <w:rPr>
                <w:sz w:val="20"/>
                <w:szCs w:val="20"/>
              </w:rPr>
            </w:pPr>
            <w:r>
              <w:rPr>
                <w:rFonts w:hint="eastAsia"/>
                <w:sz w:val="20"/>
                <w:szCs w:val="20"/>
              </w:rPr>
              <w:t>钢管机械</w:t>
            </w:r>
            <w:r>
              <w:rPr>
                <w:sz w:val="20"/>
                <w:szCs w:val="20"/>
              </w:rPr>
              <w:t>顶管</w:t>
            </w:r>
            <w:r>
              <w:rPr>
                <w:rFonts w:hint="eastAsia"/>
                <w:sz w:val="20"/>
                <w:szCs w:val="20"/>
              </w:rPr>
              <w:t>法施工</w:t>
            </w:r>
          </w:p>
        </w:tc>
        <w:tc>
          <w:tcPr>
            <w:tcW w:w="2835" w:type="dxa"/>
            <w:tcBorders>
              <w:top w:val="single" w:color="auto" w:sz="4" w:space="0"/>
              <w:left w:val="single" w:color="auto" w:sz="4" w:space="0"/>
              <w:bottom w:val="single" w:color="auto" w:sz="4" w:space="0"/>
              <w:right w:val="single" w:color="auto" w:sz="4" w:space="0"/>
            </w:tcBorders>
          </w:tcPr>
          <w:p>
            <w:pPr>
              <w:jc w:val="center"/>
              <w:rPr>
                <w:sz w:val="20"/>
                <w:szCs w:val="20"/>
              </w:rPr>
            </w:pPr>
            <w:r>
              <w:rPr>
                <w:sz w:val="20"/>
                <w:szCs w:val="20"/>
              </w:rPr>
              <w:t>每</w:t>
            </w:r>
            <w:r>
              <w:rPr>
                <w:rFonts w:hint="eastAsia"/>
                <w:sz w:val="20"/>
                <w:szCs w:val="20"/>
              </w:rPr>
              <w:t>孔位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2835" w:type="dxa"/>
            <w:tcBorders>
              <w:top w:val="single" w:color="auto" w:sz="4" w:space="0"/>
              <w:left w:val="single" w:color="auto" w:sz="4" w:space="0"/>
              <w:bottom w:val="single" w:color="auto" w:sz="4" w:space="0"/>
              <w:right w:val="single" w:color="auto" w:sz="4" w:space="0"/>
            </w:tcBorders>
          </w:tcPr>
          <w:p>
            <w:pPr>
              <w:jc w:val="center"/>
              <w:rPr>
                <w:sz w:val="20"/>
                <w:szCs w:val="20"/>
              </w:rPr>
            </w:pPr>
            <w:r>
              <w:rPr>
                <w:rFonts w:hint="eastAsia"/>
                <w:sz w:val="20"/>
                <w:szCs w:val="20"/>
              </w:rPr>
              <w:t>管内骨架制作安装</w:t>
            </w:r>
          </w:p>
        </w:tc>
        <w:tc>
          <w:tcPr>
            <w:tcW w:w="2835" w:type="dxa"/>
            <w:tcBorders>
              <w:top w:val="single" w:color="auto" w:sz="4" w:space="0"/>
              <w:left w:val="single" w:color="auto" w:sz="4" w:space="0"/>
              <w:bottom w:val="single" w:color="auto" w:sz="4" w:space="0"/>
              <w:right w:val="single" w:color="auto" w:sz="4" w:space="0"/>
            </w:tcBorders>
          </w:tcPr>
          <w:p>
            <w:pPr>
              <w:jc w:val="center"/>
              <w:rPr>
                <w:sz w:val="20"/>
                <w:szCs w:val="20"/>
              </w:rPr>
            </w:pPr>
            <w:r>
              <w:rPr>
                <w:rFonts w:hint="eastAsia"/>
                <w:sz w:val="20"/>
                <w:szCs w:val="20"/>
              </w:rPr>
              <w:t>每孔段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47"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2835" w:type="dxa"/>
            <w:tcBorders>
              <w:top w:val="single" w:color="auto" w:sz="4" w:space="0"/>
              <w:left w:val="single" w:color="auto" w:sz="4" w:space="0"/>
              <w:bottom w:val="single" w:color="auto" w:sz="4" w:space="0"/>
              <w:right w:val="single" w:color="auto" w:sz="4" w:space="0"/>
            </w:tcBorders>
          </w:tcPr>
          <w:p>
            <w:pPr>
              <w:jc w:val="center"/>
              <w:rPr>
                <w:sz w:val="20"/>
                <w:szCs w:val="20"/>
              </w:rPr>
            </w:pPr>
            <w:r>
              <w:rPr>
                <w:rFonts w:hint="eastAsia"/>
                <w:sz w:val="20"/>
                <w:szCs w:val="20"/>
              </w:rPr>
              <w:t>钢管填充</w:t>
            </w:r>
          </w:p>
        </w:tc>
        <w:tc>
          <w:tcPr>
            <w:tcW w:w="2835" w:type="dxa"/>
            <w:tcBorders>
              <w:top w:val="single" w:color="auto" w:sz="4" w:space="0"/>
              <w:left w:val="single" w:color="auto" w:sz="4" w:space="0"/>
              <w:bottom w:val="single" w:color="auto" w:sz="4" w:space="0"/>
              <w:right w:val="single" w:color="auto" w:sz="4" w:space="0"/>
            </w:tcBorders>
          </w:tcPr>
          <w:p>
            <w:pPr>
              <w:jc w:val="center"/>
              <w:rPr>
                <w:sz w:val="20"/>
                <w:szCs w:val="20"/>
              </w:rPr>
            </w:pPr>
            <w:r>
              <w:rPr>
                <w:rFonts w:hint="eastAsia"/>
                <w:sz w:val="20"/>
                <w:szCs w:val="20"/>
              </w:rPr>
              <w:t>每孔段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Merge w:val="continue"/>
            <w:tcBorders>
              <w:top w:val="single" w:color="auto" w:sz="4" w:space="0"/>
              <w:left w:val="single" w:color="auto" w:sz="4" w:space="0"/>
              <w:bottom w:val="single" w:color="auto" w:sz="4" w:space="0"/>
              <w:right w:val="single" w:color="auto" w:sz="4" w:space="0"/>
            </w:tcBorders>
          </w:tcPr>
          <w:p>
            <w:pPr>
              <w:jc w:val="center"/>
              <w:rPr>
                <w:sz w:val="20"/>
                <w:szCs w:val="20"/>
              </w:rPr>
            </w:pPr>
          </w:p>
        </w:tc>
        <w:tc>
          <w:tcPr>
            <w:tcW w:w="2835" w:type="dxa"/>
            <w:tcBorders>
              <w:top w:val="single" w:color="auto" w:sz="4" w:space="0"/>
              <w:left w:val="single" w:color="auto" w:sz="4" w:space="0"/>
              <w:bottom w:val="single" w:color="auto" w:sz="4" w:space="0"/>
              <w:right w:val="single" w:color="auto" w:sz="4" w:space="0"/>
            </w:tcBorders>
          </w:tcPr>
          <w:p>
            <w:pPr>
              <w:jc w:val="center"/>
              <w:rPr>
                <w:sz w:val="20"/>
                <w:szCs w:val="20"/>
              </w:rPr>
            </w:pPr>
            <w:r>
              <w:rPr>
                <w:rFonts w:hint="eastAsia"/>
                <w:sz w:val="20"/>
                <w:szCs w:val="20"/>
              </w:rPr>
              <w:t>钢管壁后</w:t>
            </w:r>
            <w:r>
              <w:rPr>
                <w:sz w:val="20"/>
                <w:szCs w:val="20"/>
              </w:rPr>
              <w:t>注浆</w:t>
            </w:r>
          </w:p>
        </w:tc>
        <w:tc>
          <w:tcPr>
            <w:tcW w:w="2835" w:type="dxa"/>
            <w:tcBorders>
              <w:top w:val="single" w:color="auto" w:sz="4" w:space="0"/>
              <w:left w:val="single" w:color="auto" w:sz="4" w:space="0"/>
              <w:bottom w:val="single" w:color="auto" w:sz="4" w:space="0"/>
              <w:right w:val="single" w:color="auto" w:sz="4" w:space="0"/>
            </w:tcBorders>
          </w:tcPr>
          <w:p>
            <w:pPr>
              <w:jc w:val="center"/>
              <w:rPr>
                <w:sz w:val="20"/>
                <w:szCs w:val="20"/>
              </w:rPr>
            </w:pPr>
            <w:r>
              <w:rPr>
                <w:sz w:val="20"/>
                <w:szCs w:val="20"/>
              </w:rPr>
              <w:t>每</w:t>
            </w:r>
            <w:r>
              <w:rPr>
                <w:rFonts w:hint="eastAsia"/>
                <w:sz w:val="20"/>
                <w:szCs w:val="20"/>
              </w:rPr>
              <w:t>孔位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Merge w:val="continue"/>
            <w:tcBorders>
              <w:top w:val="single" w:color="auto" w:sz="4" w:space="0"/>
              <w:left w:val="single" w:color="auto" w:sz="4" w:space="0"/>
              <w:bottom w:val="single" w:color="auto" w:sz="4" w:space="0"/>
              <w:right w:val="single" w:color="auto" w:sz="4" w:space="0"/>
            </w:tcBorders>
          </w:tcPr>
          <w:p>
            <w:pPr>
              <w:jc w:val="center"/>
              <w:rPr>
                <w:sz w:val="20"/>
                <w:szCs w:val="20"/>
              </w:rPr>
            </w:pPr>
          </w:p>
        </w:tc>
        <w:tc>
          <w:tcPr>
            <w:tcW w:w="2835" w:type="dxa"/>
            <w:tcBorders>
              <w:top w:val="single" w:color="auto" w:sz="4" w:space="0"/>
              <w:left w:val="single" w:color="auto" w:sz="4" w:space="0"/>
              <w:bottom w:val="single" w:color="auto" w:sz="4" w:space="0"/>
              <w:right w:val="single" w:color="auto" w:sz="4" w:space="0"/>
            </w:tcBorders>
          </w:tcPr>
          <w:p>
            <w:pPr>
              <w:jc w:val="center"/>
              <w:rPr>
                <w:sz w:val="20"/>
                <w:szCs w:val="20"/>
              </w:rPr>
            </w:pPr>
            <w:r>
              <w:rPr>
                <w:rFonts w:hint="eastAsia"/>
                <w:sz w:val="20"/>
                <w:szCs w:val="20"/>
              </w:rPr>
              <w:t>施工测量</w:t>
            </w:r>
          </w:p>
        </w:tc>
        <w:tc>
          <w:tcPr>
            <w:tcW w:w="2835" w:type="dxa"/>
            <w:tcBorders>
              <w:top w:val="single" w:color="auto" w:sz="4" w:space="0"/>
              <w:left w:val="single" w:color="auto" w:sz="4" w:space="0"/>
              <w:bottom w:val="single" w:color="auto" w:sz="4" w:space="0"/>
              <w:right w:val="single" w:color="auto" w:sz="4" w:space="0"/>
            </w:tcBorders>
          </w:tcPr>
          <w:p>
            <w:pPr>
              <w:jc w:val="center"/>
              <w:rPr>
                <w:strike/>
                <w:sz w:val="20"/>
                <w:szCs w:val="20"/>
              </w:rPr>
            </w:pPr>
            <w:r>
              <w:rPr>
                <w:rFonts w:hint="eastAsia"/>
                <w:sz w:val="20"/>
                <w:szCs w:val="20"/>
              </w:rPr>
              <w:t>每施工段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Merge w:val="continue"/>
            <w:tcBorders>
              <w:top w:val="single" w:color="auto" w:sz="4" w:space="0"/>
              <w:left w:val="single" w:color="auto" w:sz="4" w:space="0"/>
              <w:bottom w:val="single" w:color="auto" w:sz="4" w:space="0"/>
              <w:right w:val="single" w:color="auto" w:sz="4" w:space="0"/>
            </w:tcBorders>
          </w:tcPr>
          <w:p>
            <w:pPr>
              <w:jc w:val="center"/>
              <w:rPr>
                <w:sz w:val="20"/>
                <w:szCs w:val="20"/>
              </w:rPr>
            </w:pPr>
          </w:p>
        </w:tc>
        <w:tc>
          <w:tcPr>
            <w:tcW w:w="2835" w:type="dxa"/>
            <w:tcBorders>
              <w:top w:val="single" w:color="auto" w:sz="4" w:space="0"/>
              <w:left w:val="single" w:color="auto" w:sz="4" w:space="0"/>
              <w:bottom w:val="single" w:color="auto" w:sz="4" w:space="0"/>
              <w:right w:val="single" w:color="auto" w:sz="4" w:space="0"/>
            </w:tcBorders>
          </w:tcPr>
          <w:p>
            <w:pPr>
              <w:jc w:val="center"/>
              <w:rPr>
                <w:sz w:val="20"/>
                <w:szCs w:val="20"/>
              </w:rPr>
            </w:pPr>
            <w:r>
              <w:rPr>
                <w:rFonts w:hint="eastAsia"/>
                <w:sz w:val="20"/>
                <w:szCs w:val="20"/>
              </w:rPr>
              <w:t>监控量测</w:t>
            </w:r>
          </w:p>
        </w:tc>
        <w:tc>
          <w:tcPr>
            <w:tcW w:w="2835" w:type="dxa"/>
            <w:tcBorders>
              <w:top w:val="single" w:color="auto" w:sz="4" w:space="0"/>
              <w:left w:val="single" w:color="auto" w:sz="4" w:space="0"/>
              <w:bottom w:val="single" w:color="auto" w:sz="4" w:space="0"/>
              <w:right w:val="single" w:color="auto" w:sz="4" w:space="0"/>
            </w:tcBorders>
          </w:tcPr>
          <w:p>
            <w:pPr>
              <w:jc w:val="center"/>
              <w:rPr>
                <w:sz w:val="20"/>
                <w:szCs w:val="20"/>
              </w:rPr>
            </w:pPr>
            <w:r>
              <w:rPr>
                <w:sz w:val="20"/>
                <w:szCs w:val="20"/>
              </w:rPr>
              <w:t>每一监测断面</w:t>
            </w:r>
          </w:p>
        </w:tc>
      </w:tr>
    </w:tbl>
    <w:p>
      <w:pPr>
        <w:spacing w:line="440" w:lineRule="exact"/>
        <w:rPr>
          <w:sz w:val="24"/>
        </w:rPr>
      </w:pPr>
      <w:r>
        <w:rPr>
          <w:rFonts w:hint="eastAsia"/>
          <w:b/>
          <w:bCs/>
          <w:sz w:val="24"/>
        </w:rPr>
        <w:t>10.1.</w:t>
      </w:r>
      <w:r>
        <w:rPr>
          <w:b/>
          <w:bCs/>
          <w:sz w:val="24"/>
        </w:rPr>
        <w:t>4</w:t>
      </w:r>
      <w:r>
        <w:rPr>
          <w:rFonts w:hint="eastAsia"/>
          <w:sz w:val="24"/>
        </w:rPr>
        <w:t xml:space="preserve">  检验批验收应包括下列内容：</w:t>
      </w:r>
    </w:p>
    <w:p>
      <w:pPr>
        <w:spacing w:line="440" w:lineRule="exact"/>
        <w:ind w:firstLine="361" w:firstLineChars="150"/>
        <w:rPr>
          <w:sz w:val="24"/>
        </w:rPr>
      </w:pPr>
      <w:r>
        <w:rPr>
          <w:rFonts w:hint="eastAsia"/>
          <w:b/>
          <w:bCs/>
          <w:sz w:val="24"/>
        </w:rPr>
        <w:t>1</w:t>
      </w:r>
      <w:r>
        <w:rPr>
          <w:rFonts w:hint="eastAsia"/>
          <w:sz w:val="24"/>
        </w:rPr>
        <w:t xml:space="preserve">  对工程实体和原材料、构配件和设备的实物检查。</w:t>
      </w:r>
    </w:p>
    <w:p>
      <w:pPr>
        <w:spacing w:line="440" w:lineRule="exact"/>
        <w:ind w:firstLine="361" w:firstLineChars="150"/>
        <w:rPr>
          <w:sz w:val="24"/>
        </w:rPr>
      </w:pPr>
      <w:r>
        <w:rPr>
          <w:rFonts w:hint="eastAsia"/>
          <w:b/>
          <w:bCs/>
          <w:sz w:val="24"/>
        </w:rPr>
        <w:t>2</w:t>
      </w:r>
      <w:r>
        <w:rPr>
          <w:rFonts w:hint="eastAsia"/>
          <w:sz w:val="24"/>
        </w:rPr>
        <w:t xml:space="preserve">  工程实体和原材料、构配件和设备的资料检查。</w:t>
      </w:r>
    </w:p>
    <w:p>
      <w:pPr>
        <w:spacing w:line="440" w:lineRule="exact"/>
        <w:rPr>
          <w:sz w:val="24"/>
        </w:rPr>
      </w:pPr>
      <w:r>
        <w:rPr>
          <w:rFonts w:hint="eastAsia"/>
          <w:b/>
          <w:bCs/>
          <w:sz w:val="24"/>
        </w:rPr>
        <w:t>10.1.</w:t>
      </w:r>
      <w:r>
        <w:rPr>
          <w:b/>
          <w:bCs/>
          <w:sz w:val="24"/>
        </w:rPr>
        <w:t>5</w:t>
      </w:r>
      <w:r>
        <w:rPr>
          <w:rFonts w:hint="eastAsia"/>
          <w:sz w:val="24"/>
        </w:rPr>
        <w:t xml:space="preserve">  检验批质量验收合格应符合下列规定：</w:t>
      </w:r>
    </w:p>
    <w:p>
      <w:pPr>
        <w:spacing w:line="440" w:lineRule="exact"/>
        <w:ind w:firstLine="361" w:firstLineChars="150"/>
        <w:rPr>
          <w:sz w:val="24"/>
        </w:rPr>
      </w:pPr>
      <w:r>
        <w:rPr>
          <w:rFonts w:hint="eastAsia"/>
          <w:b/>
          <w:bCs/>
          <w:sz w:val="24"/>
        </w:rPr>
        <w:t>1</w:t>
      </w:r>
      <w:r>
        <w:rPr>
          <w:rFonts w:hint="eastAsia"/>
          <w:sz w:val="24"/>
        </w:rPr>
        <w:t xml:space="preserve">  主控项目的质量经抽样检验应全部合格；</w:t>
      </w:r>
    </w:p>
    <w:p>
      <w:pPr>
        <w:spacing w:line="440" w:lineRule="exact"/>
        <w:ind w:firstLine="361" w:firstLineChars="150"/>
        <w:rPr>
          <w:sz w:val="24"/>
        </w:rPr>
      </w:pPr>
      <w:r>
        <w:rPr>
          <w:rFonts w:hint="eastAsia"/>
          <w:b/>
          <w:bCs/>
          <w:sz w:val="24"/>
        </w:rPr>
        <w:t>2</w:t>
      </w:r>
      <w:r>
        <w:rPr>
          <w:rFonts w:hint="eastAsia"/>
          <w:sz w:val="24"/>
        </w:rPr>
        <w:t xml:space="preserve">  一般项目的质量经抽样检验应合格；当采取计数检验时，一般项目的合格点率应达到80%以上，且不合格点的最大偏差值不应大于规定允许偏差的1.5倍，钢结构工程不合格点的最大偏差值不应大于规定允许偏差的1.2倍；</w:t>
      </w:r>
    </w:p>
    <w:p>
      <w:pPr>
        <w:spacing w:line="440" w:lineRule="exact"/>
        <w:ind w:firstLine="361" w:firstLineChars="150"/>
        <w:rPr>
          <w:sz w:val="24"/>
        </w:rPr>
      </w:pPr>
      <w:r>
        <w:rPr>
          <w:rFonts w:hint="eastAsia"/>
          <w:b/>
          <w:bCs/>
          <w:sz w:val="24"/>
        </w:rPr>
        <w:t>3</w:t>
      </w:r>
      <w:r>
        <w:rPr>
          <w:rFonts w:hint="eastAsia"/>
          <w:sz w:val="24"/>
        </w:rPr>
        <w:t xml:space="preserve">  应具有完整的施工操作依据、质量验收记录。</w:t>
      </w:r>
    </w:p>
    <w:p>
      <w:pPr>
        <w:spacing w:line="440" w:lineRule="exact"/>
        <w:rPr>
          <w:sz w:val="24"/>
        </w:rPr>
      </w:pPr>
      <w:r>
        <w:rPr>
          <w:rFonts w:hint="eastAsia"/>
          <w:b/>
          <w:bCs/>
          <w:sz w:val="24"/>
        </w:rPr>
        <w:t>10.1.</w:t>
      </w:r>
      <w:r>
        <w:rPr>
          <w:b/>
          <w:bCs/>
          <w:sz w:val="24"/>
        </w:rPr>
        <w:t>6</w:t>
      </w:r>
      <w:r>
        <w:rPr>
          <w:rFonts w:hint="eastAsia"/>
          <w:sz w:val="24"/>
        </w:rPr>
        <w:t xml:space="preserve"> 分项工程质量验收合格应符合下列规定</w:t>
      </w:r>
    </w:p>
    <w:p>
      <w:pPr>
        <w:spacing w:line="440" w:lineRule="exact"/>
        <w:ind w:firstLine="361" w:firstLineChars="150"/>
        <w:rPr>
          <w:sz w:val="24"/>
        </w:rPr>
      </w:pPr>
      <w:r>
        <w:rPr>
          <w:rFonts w:hint="eastAsia"/>
          <w:b/>
          <w:bCs/>
          <w:sz w:val="24"/>
        </w:rPr>
        <w:t>1</w:t>
      </w:r>
      <w:r>
        <w:rPr>
          <w:rFonts w:hint="eastAsia"/>
          <w:sz w:val="24"/>
        </w:rPr>
        <w:t xml:space="preserve">  分项工程所含的检验批均应符合合格质量的规定。</w:t>
      </w:r>
    </w:p>
    <w:p>
      <w:pPr>
        <w:spacing w:line="440" w:lineRule="exact"/>
        <w:ind w:firstLine="361" w:firstLineChars="150"/>
        <w:rPr>
          <w:sz w:val="24"/>
        </w:rPr>
      </w:pPr>
      <w:r>
        <w:rPr>
          <w:rFonts w:hint="eastAsia"/>
          <w:b/>
          <w:bCs/>
          <w:sz w:val="24"/>
        </w:rPr>
        <w:t>2</w:t>
      </w:r>
      <w:r>
        <w:rPr>
          <w:rFonts w:hint="eastAsia"/>
          <w:sz w:val="24"/>
        </w:rPr>
        <w:t xml:space="preserve">  分项工程所含的检验批的质量验收记录应完整。</w:t>
      </w:r>
    </w:p>
    <w:p>
      <w:pPr>
        <w:spacing w:line="440" w:lineRule="exact"/>
        <w:rPr>
          <w:sz w:val="24"/>
        </w:rPr>
      </w:pPr>
      <w:r>
        <w:rPr>
          <w:rFonts w:hint="eastAsia"/>
          <w:b/>
          <w:bCs/>
          <w:sz w:val="24"/>
        </w:rPr>
        <w:t>10.1.</w:t>
      </w:r>
      <w:r>
        <w:rPr>
          <w:b/>
          <w:bCs/>
          <w:sz w:val="24"/>
        </w:rPr>
        <w:t>7</w:t>
      </w:r>
      <w:r>
        <w:rPr>
          <w:rFonts w:hint="eastAsia"/>
          <w:sz w:val="24"/>
        </w:rPr>
        <w:t>子分部工程质量验收合格应符合下列规定：</w:t>
      </w:r>
    </w:p>
    <w:p>
      <w:pPr>
        <w:spacing w:line="440" w:lineRule="exact"/>
        <w:ind w:firstLine="361" w:firstLineChars="150"/>
        <w:rPr>
          <w:sz w:val="24"/>
        </w:rPr>
      </w:pPr>
      <w:r>
        <w:rPr>
          <w:rFonts w:hint="eastAsia"/>
          <w:b/>
          <w:bCs/>
          <w:sz w:val="24"/>
        </w:rPr>
        <w:t>1</w:t>
      </w:r>
      <w:r>
        <w:rPr>
          <w:rFonts w:hint="eastAsia"/>
          <w:sz w:val="24"/>
        </w:rPr>
        <w:t xml:space="preserve">  子分部工程所含分项工程的质量均应验收合格。</w:t>
      </w:r>
    </w:p>
    <w:p>
      <w:pPr>
        <w:spacing w:line="440" w:lineRule="exact"/>
        <w:ind w:firstLine="361" w:firstLineChars="150"/>
        <w:rPr>
          <w:sz w:val="24"/>
        </w:rPr>
      </w:pPr>
      <w:r>
        <w:rPr>
          <w:rFonts w:hint="eastAsia"/>
          <w:b/>
          <w:bCs/>
          <w:sz w:val="24"/>
        </w:rPr>
        <w:t>2</w:t>
      </w:r>
      <w:r>
        <w:rPr>
          <w:rFonts w:hint="eastAsia"/>
          <w:sz w:val="24"/>
        </w:rPr>
        <w:t xml:space="preserve">  质量控制资料应完整。</w:t>
      </w:r>
    </w:p>
    <w:p>
      <w:pPr>
        <w:spacing w:line="440" w:lineRule="exact"/>
        <w:ind w:firstLine="361" w:firstLineChars="150"/>
        <w:rPr>
          <w:sz w:val="24"/>
        </w:rPr>
      </w:pPr>
      <w:r>
        <w:rPr>
          <w:rFonts w:hint="eastAsia"/>
          <w:b/>
          <w:bCs/>
          <w:sz w:val="24"/>
        </w:rPr>
        <w:t>3</w:t>
      </w:r>
      <w:r>
        <w:rPr>
          <w:rFonts w:hint="eastAsia"/>
          <w:sz w:val="24"/>
        </w:rPr>
        <w:t xml:space="preserve">  子分部工程有关安全及功能的检验和抽样检测结果应符合有关规定。</w:t>
      </w:r>
    </w:p>
    <w:p>
      <w:pPr>
        <w:spacing w:line="440" w:lineRule="exact"/>
        <w:ind w:firstLine="361" w:firstLineChars="150"/>
        <w:rPr>
          <w:sz w:val="24"/>
        </w:rPr>
      </w:pPr>
      <w:r>
        <w:rPr>
          <w:rFonts w:hint="eastAsia"/>
          <w:b/>
          <w:bCs/>
          <w:sz w:val="24"/>
        </w:rPr>
        <w:t>4</w:t>
      </w:r>
      <w:r>
        <w:rPr>
          <w:rFonts w:hint="eastAsia"/>
          <w:sz w:val="24"/>
        </w:rPr>
        <w:t xml:space="preserve">  观感质量验收应符合要求。</w:t>
      </w:r>
    </w:p>
    <w:p>
      <w:pPr>
        <w:spacing w:line="440" w:lineRule="exact"/>
        <w:rPr>
          <w:sz w:val="24"/>
        </w:rPr>
      </w:pPr>
      <w:r>
        <w:rPr>
          <w:rFonts w:hint="eastAsia"/>
          <w:b/>
          <w:bCs/>
          <w:sz w:val="24"/>
        </w:rPr>
        <w:t>10.1.</w:t>
      </w:r>
      <w:r>
        <w:rPr>
          <w:b/>
          <w:bCs/>
          <w:sz w:val="24"/>
        </w:rPr>
        <w:t>8</w:t>
      </w:r>
      <w:r>
        <w:rPr>
          <w:rFonts w:hint="eastAsia"/>
          <w:sz w:val="24"/>
        </w:rPr>
        <w:t xml:space="preserve">  管幕法施工质量验收记录宜按下列规定填写：</w:t>
      </w:r>
    </w:p>
    <w:p>
      <w:pPr>
        <w:spacing w:line="440" w:lineRule="exact"/>
        <w:ind w:firstLine="361" w:firstLineChars="150"/>
        <w:rPr>
          <w:sz w:val="24"/>
        </w:rPr>
      </w:pPr>
      <w:r>
        <w:rPr>
          <w:rFonts w:hint="eastAsia"/>
          <w:b/>
          <w:bCs/>
          <w:sz w:val="24"/>
        </w:rPr>
        <w:t>1</w:t>
      </w:r>
      <w:r>
        <w:rPr>
          <w:rFonts w:hint="eastAsia"/>
          <w:sz w:val="24"/>
        </w:rPr>
        <w:t xml:space="preserve">  检验批质量验收记录宜按本标准附录A填写；</w:t>
      </w:r>
    </w:p>
    <w:p>
      <w:pPr>
        <w:spacing w:line="440" w:lineRule="exact"/>
        <w:ind w:firstLine="361" w:firstLineChars="150"/>
        <w:rPr>
          <w:sz w:val="24"/>
        </w:rPr>
      </w:pPr>
      <w:r>
        <w:rPr>
          <w:rFonts w:hint="eastAsia"/>
          <w:b/>
          <w:bCs/>
          <w:sz w:val="24"/>
        </w:rPr>
        <w:t>2</w:t>
      </w:r>
      <w:r>
        <w:rPr>
          <w:rFonts w:hint="eastAsia"/>
          <w:sz w:val="24"/>
        </w:rPr>
        <w:t xml:space="preserve">  分项工程质量验收记录宜安本标准附录B填写；</w:t>
      </w:r>
    </w:p>
    <w:p>
      <w:pPr>
        <w:spacing w:line="440" w:lineRule="exact"/>
        <w:ind w:firstLine="361" w:firstLineChars="150"/>
        <w:rPr>
          <w:sz w:val="24"/>
        </w:rPr>
      </w:pPr>
      <w:r>
        <w:rPr>
          <w:rFonts w:hint="eastAsia"/>
          <w:b/>
          <w:bCs/>
          <w:sz w:val="24"/>
        </w:rPr>
        <w:t>3</w:t>
      </w:r>
      <w:r>
        <w:rPr>
          <w:rFonts w:hint="eastAsia"/>
          <w:sz w:val="24"/>
        </w:rPr>
        <w:t xml:space="preserve">  子分部工程质量验收记录宜安本标准附录C填写。</w:t>
      </w:r>
    </w:p>
    <w:p>
      <w:pPr>
        <w:spacing w:line="440" w:lineRule="exact"/>
        <w:rPr>
          <w:sz w:val="24"/>
        </w:rPr>
      </w:pPr>
      <w:r>
        <w:rPr>
          <w:rFonts w:hint="eastAsia"/>
          <w:b/>
          <w:bCs/>
          <w:sz w:val="24"/>
        </w:rPr>
        <w:t>10.1.</w:t>
      </w:r>
      <w:r>
        <w:rPr>
          <w:b/>
          <w:bCs/>
          <w:sz w:val="24"/>
        </w:rPr>
        <w:t>9</w:t>
      </w:r>
      <w:r>
        <w:rPr>
          <w:rFonts w:hint="eastAsia"/>
          <w:sz w:val="24"/>
        </w:rPr>
        <w:t xml:space="preserve">  管幕法施工质量验收应按检验批、分项工程、子分部工程的顺序进行验收。</w:t>
      </w:r>
    </w:p>
    <w:p>
      <w:pPr>
        <w:spacing w:line="360" w:lineRule="auto"/>
        <w:rPr>
          <w:sz w:val="24"/>
        </w:rPr>
      </w:pPr>
      <w:r>
        <w:rPr>
          <w:rFonts w:hint="eastAsia"/>
          <w:b/>
          <w:bCs/>
          <w:sz w:val="24"/>
        </w:rPr>
        <w:t>10.1.1</w:t>
      </w:r>
      <w:r>
        <w:rPr>
          <w:b/>
          <w:bCs/>
          <w:sz w:val="24"/>
        </w:rPr>
        <w:t>0</w:t>
      </w:r>
      <w:r>
        <w:rPr>
          <w:rFonts w:hint="eastAsia"/>
          <w:sz w:val="24"/>
        </w:rPr>
        <w:t xml:space="preserve">  管幕钢管顶进施工中采用拉管法、夯管法施工的工程质量验收除应符合本章规定外，还应符合现行国家标准《给水排水管道工程施工及验收规范》GB 50268的规定。</w:t>
      </w:r>
    </w:p>
    <w:p>
      <w:pPr>
        <w:spacing w:line="440" w:lineRule="exact"/>
        <w:rPr>
          <w:sz w:val="24"/>
        </w:rPr>
      </w:pPr>
      <w:r>
        <w:rPr>
          <w:rFonts w:hint="eastAsia"/>
          <w:b/>
          <w:bCs/>
          <w:sz w:val="24"/>
        </w:rPr>
        <w:t>10.1.</w:t>
      </w:r>
      <w:r>
        <w:rPr>
          <w:b/>
          <w:bCs/>
          <w:sz w:val="24"/>
        </w:rPr>
        <w:t>11</w:t>
      </w:r>
      <w:r>
        <w:rPr>
          <w:rFonts w:hint="eastAsia"/>
          <w:sz w:val="24"/>
        </w:rPr>
        <w:t xml:space="preserve">  工程测量的质量验收，应符合现行国家标准《工程测量通用规范》GB 55018、《工程测量标准》GB50026和《城市轨道交通工程测量规范》GB/T 50308的规定。</w:t>
      </w:r>
    </w:p>
    <w:p>
      <w:pPr>
        <w:spacing w:line="440" w:lineRule="exact"/>
        <w:rPr>
          <w:sz w:val="24"/>
        </w:rPr>
      </w:pPr>
      <w:r>
        <w:rPr>
          <w:rFonts w:hint="eastAsia"/>
          <w:b/>
          <w:bCs/>
          <w:sz w:val="24"/>
        </w:rPr>
        <w:t>10.1.</w:t>
      </w:r>
      <w:r>
        <w:rPr>
          <w:b/>
          <w:bCs/>
          <w:sz w:val="24"/>
        </w:rPr>
        <w:t>12</w:t>
      </w:r>
      <w:r>
        <w:rPr>
          <w:rFonts w:hint="eastAsia"/>
          <w:sz w:val="24"/>
        </w:rPr>
        <w:t xml:space="preserve">  工程监控量测的质量验收，应符合现行国家标准《建筑基坑工程监测技术规范》GB50497和《城市轨道交通工程监测技术规范》GB 50911的规定。</w:t>
      </w:r>
    </w:p>
    <w:p>
      <w:pPr>
        <w:spacing w:before="156" w:beforeLines="50" w:after="156" w:afterLines="50" w:line="440" w:lineRule="exact"/>
        <w:jc w:val="center"/>
        <w:outlineLvl w:val="1"/>
        <w:rPr>
          <w:rFonts w:eastAsia="黑体"/>
          <w:sz w:val="24"/>
        </w:rPr>
      </w:pPr>
      <w:bookmarkStart w:id="139" w:name="_Toc16722"/>
      <w:bookmarkStart w:id="140" w:name="_Toc31883"/>
      <w:r>
        <w:rPr>
          <w:rFonts w:hint="eastAsia" w:eastAsia="黑体"/>
          <w:sz w:val="24"/>
        </w:rPr>
        <w:t>10.2 钢管及附件制作</w:t>
      </w:r>
      <w:bookmarkEnd w:id="139"/>
      <w:bookmarkEnd w:id="140"/>
    </w:p>
    <w:p>
      <w:pPr>
        <w:spacing w:before="156" w:beforeLines="50" w:after="156" w:afterLines="50"/>
        <w:jc w:val="center"/>
        <w:rPr>
          <w:sz w:val="24"/>
        </w:rPr>
      </w:pPr>
      <w:r>
        <w:rPr>
          <w:rFonts w:hint="eastAsia"/>
          <w:sz w:val="24"/>
        </w:rPr>
        <w:t xml:space="preserve">Ⅰ </w:t>
      </w:r>
      <w:r>
        <w:rPr>
          <w:sz w:val="24"/>
        </w:rPr>
        <w:t xml:space="preserve"> </w:t>
      </w:r>
      <w:r>
        <w:rPr>
          <w:rFonts w:hint="eastAsia"/>
          <w:sz w:val="24"/>
        </w:rPr>
        <w:t>主控项目</w:t>
      </w:r>
    </w:p>
    <w:p>
      <w:pPr>
        <w:spacing w:before="156" w:beforeLines="50" w:after="156" w:afterLines="50" w:line="440" w:lineRule="exact"/>
        <w:rPr>
          <w:sz w:val="24"/>
        </w:rPr>
      </w:pPr>
      <w:r>
        <w:rPr>
          <w:rFonts w:hint="eastAsia"/>
          <w:b/>
          <w:bCs/>
          <w:sz w:val="24"/>
        </w:rPr>
        <w:t>10.2.1</w:t>
      </w:r>
      <w:r>
        <w:rPr>
          <w:rFonts w:hint="eastAsia"/>
          <w:sz w:val="24"/>
        </w:rPr>
        <w:t xml:space="preserve">  管幕用管材、型材的品种规格性能应符合国家现行标准《热轧型钢》GB/T706、《结构用无缝钢管》GB/T8162、《结构用直缝埋弧焊接钢管》GB/T30063的规定并符合设计文件规定。型材和管材进场时，应按国家现行标准的规定抽取试件且应进行屈服强度、抗拉强度、伸长率检验，检验结果应符合国家现行标准的规定。</w:t>
      </w:r>
    </w:p>
    <w:p>
      <w:pPr>
        <w:spacing w:line="440" w:lineRule="exact"/>
        <w:ind w:firstLine="480" w:firstLineChars="200"/>
        <w:rPr>
          <w:sz w:val="24"/>
        </w:rPr>
      </w:pPr>
      <w:r>
        <w:rPr>
          <w:rFonts w:hint="eastAsia"/>
          <w:sz w:val="24"/>
        </w:rPr>
        <w:t>检验数量：质量证明文件全数检查，取样复检以同一牌号、同一质量、同一质量等级、同一规格、同一交货条件的钢材、每180t为1批，不足180t按1批计，每个检验批取一组进行检验。</w:t>
      </w:r>
    </w:p>
    <w:p>
      <w:pPr>
        <w:spacing w:line="440" w:lineRule="exact"/>
        <w:ind w:firstLine="480" w:firstLineChars="200"/>
        <w:rPr>
          <w:sz w:val="24"/>
        </w:rPr>
      </w:pPr>
      <w:r>
        <w:rPr>
          <w:rFonts w:hint="eastAsia"/>
          <w:sz w:val="24"/>
        </w:rPr>
        <w:t>检验方法：检查质量证明文件、检查抽样检验报告。</w:t>
      </w:r>
    </w:p>
    <w:p>
      <w:pPr>
        <w:spacing w:line="440" w:lineRule="exact"/>
        <w:rPr>
          <w:sz w:val="24"/>
        </w:rPr>
      </w:pPr>
      <w:r>
        <w:rPr>
          <w:rFonts w:hint="eastAsia"/>
          <w:b/>
          <w:bCs/>
          <w:sz w:val="24"/>
        </w:rPr>
        <w:t>10.2.</w:t>
      </w:r>
      <w:r>
        <w:rPr>
          <w:b/>
          <w:bCs/>
          <w:sz w:val="24"/>
        </w:rPr>
        <w:t>2</w:t>
      </w:r>
      <w:r>
        <w:rPr>
          <w:rFonts w:hint="eastAsia"/>
          <w:sz w:val="24"/>
        </w:rPr>
        <w:t xml:space="preserve">  管幕用管材、型材加工过程中钢材切割面应无裂纹、夹渣、毛刺和分层。</w:t>
      </w:r>
    </w:p>
    <w:p>
      <w:pPr>
        <w:spacing w:line="440" w:lineRule="exact"/>
        <w:ind w:firstLine="480" w:firstLineChars="200"/>
        <w:rPr>
          <w:sz w:val="24"/>
        </w:rPr>
      </w:pPr>
      <w:r>
        <w:rPr>
          <w:rFonts w:hint="eastAsia"/>
          <w:sz w:val="24"/>
        </w:rPr>
        <w:t>检验数量：全数检查。</w:t>
      </w:r>
    </w:p>
    <w:p>
      <w:pPr>
        <w:spacing w:line="440" w:lineRule="exact"/>
        <w:ind w:firstLine="480" w:firstLineChars="200"/>
        <w:rPr>
          <w:sz w:val="24"/>
        </w:rPr>
      </w:pPr>
      <w:r>
        <w:rPr>
          <w:rFonts w:hint="eastAsia"/>
          <w:sz w:val="24"/>
        </w:rPr>
        <w:t>检验方法：观察或用放大镜，有疑义时应进行渗透、磁粉或超声波探伤检查。</w:t>
      </w:r>
    </w:p>
    <w:p>
      <w:pPr>
        <w:spacing w:before="156" w:beforeLines="50" w:after="156" w:afterLines="50"/>
        <w:jc w:val="center"/>
        <w:rPr>
          <w:sz w:val="24"/>
        </w:rPr>
      </w:pPr>
      <w:r>
        <w:rPr>
          <w:rFonts w:hint="eastAsia"/>
          <w:sz w:val="24"/>
        </w:rPr>
        <w:t>Ⅱ  一般项目</w:t>
      </w:r>
    </w:p>
    <w:p>
      <w:pPr>
        <w:spacing w:line="440" w:lineRule="exact"/>
        <w:rPr>
          <w:sz w:val="24"/>
        </w:rPr>
      </w:pPr>
      <w:r>
        <w:rPr>
          <w:rFonts w:hint="eastAsia"/>
          <w:b/>
          <w:bCs/>
          <w:sz w:val="24"/>
        </w:rPr>
        <w:t>10.2.</w:t>
      </w:r>
      <w:r>
        <w:rPr>
          <w:b/>
          <w:bCs/>
          <w:sz w:val="24"/>
        </w:rPr>
        <w:t>4</w:t>
      </w:r>
      <w:r>
        <w:rPr>
          <w:rFonts w:hint="eastAsia"/>
          <w:sz w:val="24"/>
        </w:rPr>
        <w:t xml:space="preserve">  钢管及附件的型材、管材截面尺寸、厚度及允许偏差应符合现行国家标准《钢结构工程施工质量验收标准》GB50205的规定。</w:t>
      </w:r>
    </w:p>
    <w:p>
      <w:pPr>
        <w:spacing w:line="440" w:lineRule="exact"/>
        <w:ind w:firstLine="480" w:firstLineChars="200"/>
        <w:rPr>
          <w:sz w:val="24"/>
        </w:rPr>
      </w:pPr>
      <w:r>
        <w:rPr>
          <w:rFonts w:hint="eastAsia"/>
          <w:sz w:val="24"/>
        </w:rPr>
        <w:t>检验数量：每批同一品种、规格的型材或管材抽检10%，且不应小于3根，每根检测3处。</w:t>
      </w:r>
    </w:p>
    <w:p>
      <w:pPr>
        <w:spacing w:line="440" w:lineRule="exact"/>
        <w:ind w:firstLine="480" w:firstLineChars="200"/>
        <w:rPr>
          <w:sz w:val="24"/>
        </w:rPr>
      </w:pPr>
      <w:r>
        <w:rPr>
          <w:rFonts w:hint="eastAsia"/>
          <w:sz w:val="24"/>
        </w:rPr>
        <w:t>检验方法：用钢尺、游标卡尺及超声波测厚仪量测。</w:t>
      </w:r>
    </w:p>
    <w:p>
      <w:pPr>
        <w:pStyle w:val="2"/>
      </w:pPr>
    </w:p>
    <w:p>
      <w:pPr>
        <w:spacing w:line="440" w:lineRule="exact"/>
        <w:rPr>
          <w:sz w:val="24"/>
        </w:rPr>
      </w:pPr>
      <w:r>
        <w:rPr>
          <w:rFonts w:hint="eastAsia"/>
          <w:b/>
          <w:bCs/>
          <w:sz w:val="24"/>
        </w:rPr>
        <w:t>10.2.</w:t>
      </w:r>
      <w:r>
        <w:rPr>
          <w:b/>
          <w:bCs/>
          <w:sz w:val="24"/>
        </w:rPr>
        <w:t>5</w:t>
      </w:r>
      <w:r>
        <w:rPr>
          <w:rFonts w:hint="eastAsia"/>
          <w:sz w:val="24"/>
        </w:rPr>
        <w:t xml:space="preserve">  管幕管材、型材切割采用气割切割的允许偏差应符合表10.2.</w:t>
      </w:r>
      <w:r>
        <w:rPr>
          <w:sz w:val="24"/>
        </w:rPr>
        <w:t>5</w:t>
      </w:r>
      <w:r>
        <w:rPr>
          <w:rFonts w:hint="eastAsia"/>
          <w:sz w:val="24"/>
        </w:rPr>
        <w:t>的规定。</w:t>
      </w:r>
    </w:p>
    <w:p>
      <w:pPr>
        <w:spacing w:before="156" w:beforeLines="50"/>
        <w:jc w:val="center"/>
        <w:rPr>
          <w:rFonts w:eastAsia="黑体"/>
          <w:bCs/>
          <w:kern w:val="0"/>
          <w:szCs w:val="21"/>
        </w:rPr>
      </w:pPr>
      <w:r>
        <w:rPr>
          <w:rFonts w:hint="eastAsia" w:eastAsia="黑体"/>
          <w:bCs/>
          <w:kern w:val="0"/>
          <w:szCs w:val="21"/>
        </w:rPr>
        <w:t>表10.2.</w:t>
      </w:r>
      <w:r>
        <w:rPr>
          <w:rFonts w:eastAsia="黑体"/>
          <w:bCs/>
          <w:kern w:val="0"/>
          <w:szCs w:val="21"/>
        </w:rPr>
        <w:t>5</w:t>
      </w:r>
      <w:r>
        <w:rPr>
          <w:rFonts w:hint="eastAsia" w:eastAsia="黑体"/>
          <w:bCs/>
          <w:kern w:val="0"/>
          <w:szCs w:val="21"/>
        </w:rPr>
        <w:t xml:space="preserve"> 气割的允许偏差</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261" w:type="dxa"/>
          </w:tcPr>
          <w:p>
            <w:pPr>
              <w:jc w:val="center"/>
              <w:rPr>
                <w:sz w:val="20"/>
                <w:szCs w:val="20"/>
              </w:rPr>
            </w:pPr>
            <w:r>
              <w:rPr>
                <w:rFonts w:hint="eastAsia"/>
                <w:sz w:val="20"/>
                <w:szCs w:val="20"/>
              </w:rPr>
              <w:t>项目</w:t>
            </w:r>
          </w:p>
        </w:tc>
        <w:tc>
          <w:tcPr>
            <w:tcW w:w="4261" w:type="dxa"/>
          </w:tcPr>
          <w:p>
            <w:pPr>
              <w:jc w:val="center"/>
              <w:rPr>
                <w:sz w:val="20"/>
                <w:szCs w:val="20"/>
              </w:rPr>
            </w:pPr>
            <w:r>
              <w:rPr>
                <w:rFonts w:hint="eastAsia"/>
                <w:sz w:val="20"/>
                <w:szCs w:val="20"/>
              </w:rPr>
              <w:t>允许偏差（m</w:t>
            </w:r>
            <w:r>
              <w:rPr>
                <w:sz w:val="20"/>
                <w:szCs w:val="20"/>
              </w:rPr>
              <w:t>m</w:t>
            </w:r>
            <w:r>
              <w:rPr>
                <w:rFonts w:hint="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sz w:val="20"/>
                <w:szCs w:val="20"/>
              </w:rPr>
            </w:pPr>
            <w:r>
              <w:rPr>
                <w:rFonts w:hint="eastAsia"/>
                <w:sz w:val="20"/>
                <w:szCs w:val="20"/>
              </w:rPr>
              <w:t>构件长度、宽度</w:t>
            </w:r>
          </w:p>
        </w:tc>
        <w:tc>
          <w:tcPr>
            <w:tcW w:w="4261" w:type="dxa"/>
          </w:tcPr>
          <w:p>
            <w:pPr>
              <w:jc w:val="center"/>
              <w:rPr>
                <w:sz w:val="20"/>
                <w:szCs w:val="20"/>
              </w:rPr>
            </w:pPr>
            <w:r>
              <w:rPr>
                <w:rFonts w:hint="eastAsia"/>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sz w:val="20"/>
                <w:szCs w:val="20"/>
              </w:rPr>
            </w:pPr>
            <w:r>
              <w:rPr>
                <w:rFonts w:hint="eastAsia"/>
                <w:sz w:val="20"/>
                <w:szCs w:val="20"/>
              </w:rPr>
              <w:t>切割面平面度</w:t>
            </w:r>
          </w:p>
        </w:tc>
        <w:tc>
          <w:tcPr>
            <w:tcW w:w="4261" w:type="dxa"/>
          </w:tcPr>
          <w:p>
            <w:pPr>
              <w:jc w:val="center"/>
              <w:rPr>
                <w:sz w:val="20"/>
                <w:szCs w:val="20"/>
              </w:rPr>
            </w:pPr>
            <w:r>
              <w:rPr>
                <w:rFonts w:hint="eastAsia"/>
                <w:sz w:val="20"/>
                <w:szCs w:val="20"/>
              </w:rPr>
              <w:t>0.05t，且不大于2.0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sz w:val="20"/>
                <w:szCs w:val="20"/>
              </w:rPr>
            </w:pPr>
            <w:r>
              <w:rPr>
                <w:rFonts w:hint="eastAsia"/>
                <w:sz w:val="20"/>
                <w:szCs w:val="20"/>
              </w:rPr>
              <w:t>割纹深度</w:t>
            </w:r>
          </w:p>
        </w:tc>
        <w:tc>
          <w:tcPr>
            <w:tcW w:w="4261" w:type="dxa"/>
          </w:tcPr>
          <w:p>
            <w:pPr>
              <w:jc w:val="center"/>
              <w:rPr>
                <w:sz w:val="20"/>
                <w:szCs w:val="20"/>
              </w:rPr>
            </w:pPr>
            <w:r>
              <w:rPr>
                <w:rFonts w:hint="eastAsia"/>
                <w:sz w:val="20"/>
                <w:szCs w:val="20"/>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sz w:val="20"/>
                <w:szCs w:val="20"/>
              </w:rPr>
            </w:pPr>
            <w:r>
              <w:rPr>
                <w:rFonts w:hint="eastAsia"/>
                <w:sz w:val="20"/>
                <w:szCs w:val="20"/>
              </w:rPr>
              <w:t>局部缺口深度</w:t>
            </w:r>
          </w:p>
        </w:tc>
        <w:tc>
          <w:tcPr>
            <w:tcW w:w="4261" w:type="dxa"/>
          </w:tcPr>
          <w:p>
            <w:pPr>
              <w:jc w:val="center"/>
              <w:rPr>
                <w:sz w:val="20"/>
                <w:szCs w:val="20"/>
              </w:rPr>
            </w:pPr>
            <w:r>
              <w:rPr>
                <w:rFonts w:hint="eastAsia"/>
                <w:sz w:val="20"/>
                <w:szCs w:val="20"/>
              </w:rPr>
              <w:t>1.0</w:t>
            </w:r>
          </w:p>
        </w:tc>
      </w:tr>
    </w:tbl>
    <w:p>
      <w:pPr>
        <w:spacing w:line="440" w:lineRule="exact"/>
        <w:ind w:firstLine="480" w:firstLineChars="200"/>
        <w:rPr>
          <w:sz w:val="24"/>
        </w:rPr>
      </w:pPr>
      <w:r>
        <w:rPr>
          <w:rFonts w:hint="eastAsia"/>
          <w:sz w:val="24"/>
        </w:rPr>
        <w:t>检验数量：按切割面数抽查10%，且不应少于3个。</w:t>
      </w:r>
    </w:p>
    <w:p>
      <w:pPr>
        <w:spacing w:line="440" w:lineRule="exact"/>
        <w:ind w:firstLine="480" w:firstLineChars="200"/>
        <w:rPr>
          <w:sz w:val="24"/>
        </w:rPr>
      </w:pPr>
      <w:r>
        <w:rPr>
          <w:rFonts w:hint="eastAsia"/>
          <w:sz w:val="24"/>
        </w:rPr>
        <w:t>检验方法：观察检查或用钢尺、塞尺检查。</w:t>
      </w:r>
    </w:p>
    <w:p>
      <w:pPr>
        <w:spacing w:line="440" w:lineRule="exact"/>
        <w:rPr>
          <w:sz w:val="24"/>
        </w:rPr>
      </w:pPr>
      <w:r>
        <w:rPr>
          <w:rFonts w:hint="eastAsia"/>
          <w:b/>
          <w:bCs/>
          <w:sz w:val="24"/>
        </w:rPr>
        <w:t>10.2.</w:t>
      </w:r>
      <w:r>
        <w:rPr>
          <w:b/>
          <w:bCs/>
          <w:sz w:val="24"/>
        </w:rPr>
        <w:t>6</w:t>
      </w:r>
      <w:r>
        <w:rPr>
          <w:rFonts w:hint="eastAsia"/>
          <w:sz w:val="24"/>
        </w:rPr>
        <w:t xml:space="preserve">  管幕管材焊缝坡口的允许偏差应符合表10.2.</w:t>
      </w:r>
      <w:r>
        <w:rPr>
          <w:sz w:val="24"/>
        </w:rPr>
        <w:t>6</w:t>
      </w:r>
      <w:r>
        <w:rPr>
          <w:rFonts w:hint="eastAsia"/>
          <w:sz w:val="24"/>
        </w:rPr>
        <w:t>的规定。</w:t>
      </w:r>
    </w:p>
    <w:p>
      <w:pPr>
        <w:spacing w:before="156" w:beforeLines="50"/>
        <w:jc w:val="center"/>
        <w:rPr>
          <w:rFonts w:eastAsia="黑体"/>
          <w:bCs/>
          <w:kern w:val="0"/>
          <w:szCs w:val="21"/>
        </w:rPr>
      </w:pPr>
      <w:r>
        <w:rPr>
          <w:rFonts w:hint="eastAsia" w:eastAsia="黑体"/>
          <w:bCs/>
          <w:kern w:val="0"/>
          <w:szCs w:val="21"/>
        </w:rPr>
        <w:t>表10.2.</w:t>
      </w:r>
      <w:r>
        <w:rPr>
          <w:rFonts w:eastAsia="黑体"/>
          <w:bCs/>
          <w:kern w:val="0"/>
          <w:szCs w:val="21"/>
        </w:rPr>
        <w:t>6</w:t>
      </w:r>
      <w:r>
        <w:rPr>
          <w:rFonts w:hint="eastAsia" w:eastAsia="黑体"/>
          <w:bCs/>
          <w:kern w:val="0"/>
          <w:szCs w:val="21"/>
        </w:rPr>
        <w:t xml:space="preserve"> 焊缝坡口的允许偏差</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sz w:val="20"/>
                <w:szCs w:val="20"/>
              </w:rPr>
            </w:pPr>
            <w:r>
              <w:rPr>
                <w:rFonts w:hint="eastAsia"/>
                <w:sz w:val="20"/>
                <w:szCs w:val="20"/>
              </w:rPr>
              <w:t>项目</w:t>
            </w:r>
          </w:p>
        </w:tc>
        <w:tc>
          <w:tcPr>
            <w:tcW w:w="4261" w:type="dxa"/>
          </w:tcPr>
          <w:p>
            <w:pPr>
              <w:jc w:val="center"/>
              <w:rPr>
                <w:sz w:val="20"/>
                <w:szCs w:val="20"/>
              </w:rPr>
            </w:pPr>
            <w:r>
              <w:rPr>
                <w:rFonts w:hint="eastAsia"/>
                <w:sz w:val="20"/>
                <w:szCs w:val="20"/>
              </w:rPr>
              <w:t>允许偏差（m</w:t>
            </w:r>
            <w:r>
              <w:rPr>
                <w:sz w:val="20"/>
                <w:szCs w:val="20"/>
              </w:rPr>
              <w:t>m</w:t>
            </w:r>
            <w:r>
              <w:rPr>
                <w:rFonts w:hint="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sz w:val="20"/>
                <w:szCs w:val="20"/>
              </w:rPr>
            </w:pPr>
            <w:r>
              <w:rPr>
                <w:rFonts w:hint="eastAsia"/>
                <w:sz w:val="20"/>
                <w:szCs w:val="20"/>
              </w:rPr>
              <w:t>坡口角度</w:t>
            </w:r>
          </w:p>
        </w:tc>
        <w:tc>
          <w:tcPr>
            <w:tcW w:w="4261" w:type="dxa"/>
          </w:tcPr>
          <w:p>
            <w:pPr>
              <w:jc w:val="center"/>
              <w:rPr>
                <w:sz w:val="20"/>
                <w:szCs w:val="20"/>
              </w:rPr>
            </w:pPr>
            <w:r>
              <w:rPr>
                <w:rFonts w:hint="eastAsia"/>
                <w:sz w:val="20"/>
                <w:szCs w:val="20"/>
              </w:rPr>
              <w:t>±5度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sz w:val="20"/>
                <w:szCs w:val="20"/>
              </w:rPr>
            </w:pPr>
            <w:r>
              <w:rPr>
                <w:rFonts w:hint="eastAsia"/>
                <w:sz w:val="20"/>
                <w:szCs w:val="20"/>
              </w:rPr>
              <w:t>钝边</w:t>
            </w:r>
          </w:p>
        </w:tc>
        <w:tc>
          <w:tcPr>
            <w:tcW w:w="4261" w:type="dxa"/>
          </w:tcPr>
          <w:p>
            <w:pPr>
              <w:jc w:val="center"/>
              <w:rPr>
                <w:sz w:val="20"/>
                <w:szCs w:val="20"/>
              </w:rPr>
            </w:pPr>
            <w:r>
              <w:rPr>
                <w:rFonts w:hint="eastAsia"/>
                <w:sz w:val="20"/>
                <w:szCs w:val="20"/>
              </w:rPr>
              <w:t>0.05t，且不大于2.0</w:t>
            </w:r>
          </w:p>
        </w:tc>
      </w:tr>
    </w:tbl>
    <w:p>
      <w:pPr>
        <w:spacing w:line="440" w:lineRule="exact"/>
        <w:ind w:firstLine="480" w:firstLineChars="200"/>
        <w:rPr>
          <w:sz w:val="24"/>
        </w:rPr>
      </w:pPr>
      <w:r>
        <w:rPr>
          <w:rFonts w:hint="eastAsia"/>
          <w:sz w:val="24"/>
        </w:rPr>
        <w:t>检验数量：按加工面数抽查10%,且不应小于3个。</w:t>
      </w:r>
    </w:p>
    <w:p>
      <w:pPr>
        <w:spacing w:line="440" w:lineRule="exact"/>
        <w:ind w:firstLine="480" w:firstLineChars="200"/>
        <w:rPr>
          <w:sz w:val="24"/>
        </w:rPr>
      </w:pPr>
      <w:r>
        <w:rPr>
          <w:rFonts w:hint="eastAsia"/>
          <w:sz w:val="24"/>
        </w:rPr>
        <w:t>检验方法：实测检查。</w:t>
      </w:r>
    </w:p>
    <w:p>
      <w:pPr>
        <w:spacing w:line="440" w:lineRule="exact"/>
        <w:rPr>
          <w:sz w:val="24"/>
        </w:rPr>
      </w:pPr>
      <w:r>
        <w:rPr>
          <w:rFonts w:hint="eastAsia"/>
          <w:b/>
          <w:bCs/>
          <w:sz w:val="24"/>
        </w:rPr>
        <w:t>10.2.</w:t>
      </w:r>
      <w:r>
        <w:rPr>
          <w:b/>
          <w:bCs/>
          <w:sz w:val="24"/>
        </w:rPr>
        <w:t>7</w:t>
      </w:r>
      <w:r>
        <w:rPr>
          <w:rFonts w:hint="eastAsia"/>
          <w:sz w:val="24"/>
        </w:rPr>
        <w:t xml:space="preserve">  管幕钢管所有焊缝尺寸及外观质量应符合《钢结构工程施工质量验收标准》GB50205的规定。</w:t>
      </w:r>
    </w:p>
    <w:p>
      <w:pPr>
        <w:spacing w:line="440" w:lineRule="exact"/>
        <w:ind w:firstLine="480" w:firstLineChars="200"/>
        <w:rPr>
          <w:sz w:val="24"/>
        </w:rPr>
      </w:pPr>
      <w:r>
        <w:rPr>
          <w:rFonts w:hint="eastAsia"/>
          <w:sz w:val="24"/>
        </w:rPr>
        <w:t>检验数量：每批抽查焊缝数量10%，不应少于1条，每条应抽查1处，总抽查数不应少于10处。</w:t>
      </w:r>
    </w:p>
    <w:p>
      <w:pPr>
        <w:spacing w:line="440" w:lineRule="exact"/>
        <w:ind w:firstLine="480" w:firstLineChars="200"/>
        <w:rPr>
          <w:sz w:val="24"/>
        </w:rPr>
      </w:pPr>
      <w:r>
        <w:rPr>
          <w:rFonts w:hint="eastAsia"/>
          <w:sz w:val="24"/>
        </w:rPr>
        <w:t>检验方法：观察检查或使用放大镜、焊缝量规和钢尺检查。</w:t>
      </w:r>
    </w:p>
    <w:p>
      <w:pPr>
        <w:spacing w:before="156" w:beforeLines="50" w:after="156" w:afterLines="50" w:line="440" w:lineRule="exact"/>
        <w:jc w:val="center"/>
        <w:outlineLvl w:val="1"/>
        <w:rPr>
          <w:rFonts w:eastAsia="黑体"/>
          <w:sz w:val="24"/>
        </w:rPr>
      </w:pPr>
      <w:bookmarkStart w:id="141" w:name="_Toc869"/>
      <w:bookmarkStart w:id="142" w:name="_Toc30654"/>
      <w:r>
        <w:rPr>
          <w:rFonts w:hint="eastAsia" w:eastAsia="黑体"/>
          <w:sz w:val="24"/>
        </w:rPr>
        <w:t>10.3  管幕钢管拉管法施工</w:t>
      </w:r>
      <w:bookmarkEnd w:id="141"/>
      <w:bookmarkEnd w:id="142"/>
    </w:p>
    <w:p>
      <w:pPr>
        <w:spacing w:line="440" w:lineRule="exact"/>
        <w:rPr>
          <w:sz w:val="24"/>
        </w:rPr>
      </w:pPr>
      <w:r>
        <w:rPr>
          <w:rFonts w:hint="eastAsia"/>
          <w:b/>
          <w:bCs/>
          <w:sz w:val="24"/>
        </w:rPr>
        <w:t>10.3.1</w:t>
      </w:r>
      <w:r>
        <w:rPr>
          <w:rFonts w:hint="eastAsia"/>
          <w:sz w:val="24"/>
        </w:rPr>
        <w:t xml:space="preserve">  管节组对拼接的质量应符合《给水排水管道工程施工及验收规范》GB 50268标准中的规定。</w:t>
      </w:r>
    </w:p>
    <w:p>
      <w:pPr>
        <w:spacing w:before="156" w:beforeLines="50" w:after="156" w:afterLines="50"/>
        <w:jc w:val="center"/>
        <w:rPr>
          <w:sz w:val="24"/>
        </w:rPr>
      </w:pPr>
      <w:r>
        <w:rPr>
          <w:rFonts w:hint="eastAsia"/>
          <w:sz w:val="24"/>
        </w:rPr>
        <w:t>Ⅰ  主控项目</w:t>
      </w:r>
    </w:p>
    <w:p>
      <w:pPr>
        <w:spacing w:line="440" w:lineRule="exact"/>
        <w:rPr>
          <w:sz w:val="24"/>
        </w:rPr>
      </w:pPr>
      <w:r>
        <w:rPr>
          <w:rFonts w:hint="eastAsia"/>
          <w:b/>
          <w:bCs/>
          <w:sz w:val="24"/>
        </w:rPr>
        <w:t>10.3.</w:t>
      </w:r>
      <w:r>
        <w:rPr>
          <w:b/>
          <w:bCs/>
          <w:sz w:val="24"/>
        </w:rPr>
        <w:t>2</w:t>
      </w:r>
      <w:r>
        <w:rPr>
          <w:rFonts w:hint="eastAsia"/>
          <w:sz w:val="24"/>
        </w:rPr>
        <w:t xml:space="preserve">  管道预水压试验应符合现行国家标准《给水排水管道工程施工及验收规范》GB 50268的规定，管道预水压试验应合格。</w:t>
      </w:r>
    </w:p>
    <w:p>
      <w:pPr>
        <w:spacing w:line="440" w:lineRule="exact"/>
        <w:ind w:firstLine="480" w:firstLineChars="200"/>
        <w:rPr>
          <w:sz w:val="24"/>
        </w:rPr>
      </w:pPr>
      <w:r>
        <w:rPr>
          <w:rFonts w:hint="eastAsia"/>
          <w:sz w:val="24"/>
        </w:rPr>
        <w:t>检验数量：全数检查。</w:t>
      </w:r>
    </w:p>
    <w:p>
      <w:pPr>
        <w:spacing w:line="440" w:lineRule="exact"/>
        <w:ind w:firstLine="480" w:firstLineChars="200"/>
        <w:rPr>
          <w:sz w:val="24"/>
        </w:rPr>
      </w:pPr>
      <w:r>
        <w:rPr>
          <w:rFonts w:hint="eastAsia"/>
          <w:sz w:val="24"/>
        </w:rPr>
        <w:t>检验方法：接口逐个观察；检查焊接检验报告和管道预水压试验记录。</w:t>
      </w:r>
    </w:p>
    <w:p>
      <w:pPr>
        <w:spacing w:line="440" w:lineRule="exact"/>
        <w:rPr>
          <w:sz w:val="24"/>
        </w:rPr>
      </w:pPr>
      <w:r>
        <w:rPr>
          <w:rFonts w:hint="eastAsia"/>
          <w:b/>
          <w:bCs/>
          <w:sz w:val="24"/>
        </w:rPr>
        <w:t>10.3.</w:t>
      </w:r>
      <w:r>
        <w:rPr>
          <w:b/>
          <w:bCs/>
          <w:sz w:val="24"/>
        </w:rPr>
        <w:t>3</w:t>
      </w:r>
      <w:r>
        <w:rPr>
          <w:rFonts w:hint="eastAsia"/>
          <w:sz w:val="24"/>
        </w:rPr>
        <w:t xml:space="preserve">  管段回拖后的线形应平顺、无突变、变形现象，实际曲率半径符合设计文件规定。</w:t>
      </w:r>
    </w:p>
    <w:p>
      <w:pPr>
        <w:spacing w:line="440" w:lineRule="exact"/>
        <w:ind w:firstLine="480" w:firstLineChars="200"/>
        <w:rPr>
          <w:sz w:val="24"/>
        </w:rPr>
      </w:pPr>
      <w:r>
        <w:rPr>
          <w:rFonts w:hint="eastAsia"/>
          <w:sz w:val="24"/>
        </w:rPr>
        <w:t>检验数量：全数检查。</w:t>
      </w:r>
    </w:p>
    <w:p>
      <w:pPr>
        <w:spacing w:line="440" w:lineRule="exact"/>
        <w:ind w:firstLine="480" w:firstLineChars="200"/>
        <w:rPr>
          <w:sz w:val="24"/>
        </w:rPr>
      </w:pPr>
      <w:r>
        <w:rPr>
          <w:rFonts w:hint="eastAsia"/>
          <w:sz w:val="24"/>
        </w:rPr>
        <w:t>检验方法：观察；检查钻进、扩孔、回拖施工记录、探测记录。</w:t>
      </w:r>
    </w:p>
    <w:p>
      <w:pPr>
        <w:spacing w:before="156" w:beforeLines="50" w:after="156" w:afterLines="50"/>
        <w:jc w:val="center"/>
        <w:rPr>
          <w:sz w:val="24"/>
        </w:rPr>
      </w:pPr>
      <w:r>
        <w:rPr>
          <w:rFonts w:hint="eastAsia"/>
          <w:sz w:val="24"/>
        </w:rPr>
        <w:t>Ⅱ  一般项目</w:t>
      </w:r>
    </w:p>
    <w:p>
      <w:pPr>
        <w:spacing w:line="440" w:lineRule="exact"/>
        <w:rPr>
          <w:sz w:val="24"/>
        </w:rPr>
      </w:pPr>
      <w:r>
        <w:rPr>
          <w:rFonts w:hint="eastAsia"/>
          <w:b/>
          <w:bCs/>
          <w:sz w:val="24"/>
        </w:rPr>
        <w:t>10.3.</w:t>
      </w:r>
      <w:r>
        <w:rPr>
          <w:b/>
          <w:bCs/>
          <w:sz w:val="24"/>
        </w:rPr>
        <w:t>4</w:t>
      </w:r>
      <w:r>
        <w:rPr>
          <w:rFonts w:hint="eastAsia"/>
          <w:sz w:val="24"/>
        </w:rPr>
        <w:t xml:space="preserve">  拉管法施工管道的允许偏差应符合表10.3.</w:t>
      </w:r>
      <w:r>
        <w:rPr>
          <w:sz w:val="24"/>
        </w:rPr>
        <w:t>4</w:t>
      </w:r>
      <w:r>
        <w:rPr>
          <w:rFonts w:hint="eastAsia"/>
          <w:sz w:val="24"/>
        </w:rPr>
        <w:t>的规定。</w:t>
      </w:r>
    </w:p>
    <w:p>
      <w:pPr>
        <w:spacing w:before="156" w:beforeLines="50"/>
        <w:jc w:val="center"/>
        <w:rPr>
          <w:rFonts w:eastAsia="黑体"/>
          <w:bCs/>
          <w:kern w:val="0"/>
          <w:szCs w:val="21"/>
        </w:rPr>
      </w:pPr>
      <w:r>
        <w:rPr>
          <w:rFonts w:hint="eastAsia" w:eastAsia="黑体"/>
          <w:bCs/>
          <w:kern w:val="0"/>
          <w:szCs w:val="21"/>
        </w:rPr>
        <w:t>表10.3.</w:t>
      </w:r>
      <w:r>
        <w:rPr>
          <w:rFonts w:eastAsia="黑体"/>
          <w:bCs/>
          <w:kern w:val="0"/>
          <w:szCs w:val="21"/>
        </w:rPr>
        <w:t>4</w:t>
      </w:r>
      <w:r>
        <w:rPr>
          <w:rFonts w:hint="eastAsia" w:eastAsia="黑体"/>
          <w:bCs/>
          <w:kern w:val="0"/>
          <w:szCs w:val="21"/>
        </w:rPr>
        <w:t xml:space="preserve">  拉管法施工管道的允许偏差</w:t>
      </w:r>
    </w:p>
    <w:tbl>
      <w:tblPr>
        <w:tblStyle w:val="1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1134"/>
        <w:gridCol w:w="992"/>
        <w:gridCol w:w="1134"/>
        <w:gridCol w:w="1134"/>
        <w:gridCol w:w="850"/>
        <w:gridCol w:w="85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gridSpan w:val="4"/>
            <w:vMerge w:val="restart"/>
            <w:vAlign w:val="center"/>
          </w:tcPr>
          <w:p>
            <w:pPr>
              <w:jc w:val="center"/>
              <w:rPr>
                <w:szCs w:val="20"/>
              </w:rPr>
            </w:pPr>
            <w:r>
              <w:rPr>
                <w:rFonts w:hint="eastAsia"/>
                <w:szCs w:val="20"/>
              </w:rPr>
              <w:t>检查</w:t>
            </w:r>
            <w:r>
              <w:rPr>
                <w:szCs w:val="20"/>
              </w:rPr>
              <w:t>项目</w:t>
            </w:r>
          </w:p>
        </w:tc>
        <w:tc>
          <w:tcPr>
            <w:tcW w:w="1134" w:type="dxa"/>
            <w:vMerge w:val="restart"/>
            <w:vAlign w:val="center"/>
          </w:tcPr>
          <w:p>
            <w:pPr>
              <w:jc w:val="center"/>
              <w:rPr>
                <w:szCs w:val="20"/>
              </w:rPr>
            </w:pPr>
            <w:r>
              <w:rPr>
                <w:rFonts w:hint="eastAsia"/>
                <w:szCs w:val="20"/>
              </w:rPr>
              <w:t>允许</w:t>
            </w:r>
            <w:r>
              <w:rPr>
                <w:szCs w:val="20"/>
              </w:rPr>
              <w:t>偏差（</w:t>
            </w:r>
            <w:r>
              <w:rPr>
                <w:rFonts w:hint="eastAsia"/>
                <w:szCs w:val="20"/>
              </w:rPr>
              <w:t>mm</w:t>
            </w:r>
            <w:r>
              <w:rPr>
                <w:szCs w:val="20"/>
              </w:rPr>
              <w:t>）</w:t>
            </w:r>
          </w:p>
        </w:tc>
        <w:tc>
          <w:tcPr>
            <w:tcW w:w="1701" w:type="dxa"/>
            <w:gridSpan w:val="2"/>
            <w:vAlign w:val="center"/>
          </w:tcPr>
          <w:p>
            <w:pPr>
              <w:jc w:val="center"/>
              <w:rPr>
                <w:szCs w:val="20"/>
              </w:rPr>
            </w:pPr>
            <w:r>
              <w:rPr>
                <w:rFonts w:hint="eastAsia"/>
                <w:szCs w:val="20"/>
              </w:rPr>
              <w:t>检查</w:t>
            </w:r>
            <w:r>
              <w:rPr>
                <w:szCs w:val="20"/>
              </w:rPr>
              <w:t>数量</w:t>
            </w:r>
          </w:p>
        </w:tc>
        <w:tc>
          <w:tcPr>
            <w:tcW w:w="1843" w:type="dxa"/>
            <w:vMerge w:val="restart"/>
            <w:vAlign w:val="center"/>
          </w:tcPr>
          <w:p>
            <w:pPr>
              <w:jc w:val="center"/>
              <w:rPr>
                <w:szCs w:val="20"/>
              </w:rPr>
            </w:pPr>
            <w:r>
              <w:rPr>
                <w:rFonts w:hint="eastAsia"/>
                <w:szCs w:val="20"/>
              </w:rPr>
              <w:t>检查</w:t>
            </w:r>
            <w:r>
              <w:rPr>
                <w:szCs w:val="20"/>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681" w:type="dxa"/>
            <w:gridSpan w:val="4"/>
            <w:vMerge w:val="continue"/>
            <w:vAlign w:val="center"/>
          </w:tcPr>
          <w:p>
            <w:pPr>
              <w:jc w:val="center"/>
              <w:rPr>
                <w:szCs w:val="20"/>
              </w:rPr>
            </w:pPr>
          </w:p>
        </w:tc>
        <w:tc>
          <w:tcPr>
            <w:tcW w:w="1134" w:type="dxa"/>
            <w:vMerge w:val="continue"/>
            <w:vAlign w:val="center"/>
          </w:tcPr>
          <w:p>
            <w:pPr>
              <w:jc w:val="center"/>
              <w:rPr>
                <w:szCs w:val="20"/>
              </w:rPr>
            </w:pPr>
          </w:p>
        </w:tc>
        <w:tc>
          <w:tcPr>
            <w:tcW w:w="850" w:type="dxa"/>
            <w:vAlign w:val="center"/>
          </w:tcPr>
          <w:p>
            <w:pPr>
              <w:jc w:val="center"/>
              <w:rPr>
                <w:szCs w:val="20"/>
              </w:rPr>
            </w:pPr>
            <w:r>
              <w:rPr>
                <w:rFonts w:hint="eastAsia"/>
                <w:szCs w:val="20"/>
              </w:rPr>
              <w:t>范围</w:t>
            </w:r>
          </w:p>
        </w:tc>
        <w:tc>
          <w:tcPr>
            <w:tcW w:w="851" w:type="dxa"/>
            <w:vAlign w:val="center"/>
          </w:tcPr>
          <w:p>
            <w:pPr>
              <w:jc w:val="center"/>
              <w:rPr>
                <w:szCs w:val="20"/>
              </w:rPr>
            </w:pPr>
            <w:r>
              <w:rPr>
                <w:rFonts w:hint="eastAsia"/>
                <w:szCs w:val="20"/>
              </w:rPr>
              <w:t>点数</w:t>
            </w:r>
          </w:p>
        </w:tc>
        <w:tc>
          <w:tcPr>
            <w:tcW w:w="1843" w:type="dxa"/>
            <w:vMerge w:val="continue"/>
            <w:vAlign w:val="center"/>
          </w:tcPr>
          <w:p>
            <w:pPr>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Merge w:val="restart"/>
            <w:vAlign w:val="center"/>
          </w:tcPr>
          <w:p>
            <w:pPr>
              <w:jc w:val="center"/>
              <w:rPr>
                <w:szCs w:val="20"/>
              </w:rPr>
            </w:pPr>
            <w:r>
              <w:rPr>
                <w:rFonts w:hint="eastAsia"/>
                <w:szCs w:val="20"/>
              </w:rPr>
              <w:t>1</w:t>
            </w:r>
          </w:p>
        </w:tc>
        <w:tc>
          <w:tcPr>
            <w:tcW w:w="1134" w:type="dxa"/>
            <w:vMerge w:val="restart"/>
            <w:vAlign w:val="center"/>
          </w:tcPr>
          <w:p>
            <w:pPr>
              <w:jc w:val="center"/>
              <w:rPr>
                <w:szCs w:val="20"/>
              </w:rPr>
            </w:pPr>
            <w:r>
              <w:rPr>
                <w:rFonts w:hint="eastAsia"/>
                <w:szCs w:val="20"/>
              </w:rPr>
              <w:t>入土点</w:t>
            </w:r>
            <w:r>
              <w:rPr>
                <w:szCs w:val="20"/>
              </w:rPr>
              <w:t>位置</w:t>
            </w:r>
          </w:p>
        </w:tc>
        <w:tc>
          <w:tcPr>
            <w:tcW w:w="2126" w:type="dxa"/>
            <w:gridSpan w:val="2"/>
            <w:vAlign w:val="center"/>
          </w:tcPr>
          <w:p>
            <w:pPr>
              <w:jc w:val="center"/>
              <w:rPr>
                <w:szCs w:val="20"/>
              </w:rPr>
            </w:pPr>
            <w:r>
              <w:rPr>
                <w:rFonts w:hint="eastAsia"/>
                <w:szCs w:val="20"/>
              </w:rPr>
              <w:t>平面</w:t>
            </w:r>
            <w:r>
              <w:rPr>
                <w:szCs w:val="20"/>
              </w:rPr>
              <w:t>轴向、平面横向</w:t>
            </w:r>
          </w:p>
        </w:tc>
        <w:tc>
          <w:tcPr>
            <w:tcW w:w="1134" w:type="dxa"/>
            <w:vAlign w:val="center"/>
          </w:tcPr>
          <w:p>
            <w:pPr>
              <w:jc w:val="center"/>
              <w:rPr>
                <w:szCs w:val="20"/>
              </w:rPr>
            </w:pPr>
            <w:r>
              <w:rPr>
                <w:rFonts w:hint="eastAsia"/>
                <w:szCs w:val="20"/>
              </w:rPr>
              <w:t>20</w:t>
            </w:r>
          </w:p>
        </w:tc>
        <w:tc>
          <w:tcPr>
            <w:tcW w:w="850" w:type="dxa"/>
            <w:vMerge w:val="restart"/>
            <w:vAlign w:val="center"/>
          </w:tcPr>
          <w:p>
            <w:pPr>
              <w:jc w:val="center"/>
              <w:rPr>
                <w:szCs w:val="20"/>
              </w:rPr>
            </w:pPr>
            <w:r>
              <w:rPr>
                <w:rFonts w:hint="eastAsia"/>
                <w:szCs w:val="20"/>
              </w:rPr>
              <w:t>每</w:t>
            </w:r>
            <w:r>
              <w:rPr>
                <w:szCs w:val="20"/>
              </w:rPr>
              <w:t>入</w:t>
            </w:r>
            <w:r>
              <w:rPr>
                <w:rFonts w:hint="eastAsia"/>
                <w:szCs w:val="20"/>
              </w:rPr>
              <w:t>出土</w:t>
            </w:r>
            <w:r>
              <w:rPr>
                <w:szCs w:val="20"/>
              </w:rPr>
              <w:t>点</w:t>
            </w:r>
          </w:p>
        </w:tc>
        <w:tc>
          <w:tcPr>
            <w:tcW w:w="851" w:type="dxa"/>
            <w:vMerge w:val="restart"/>
            <w:vAlign w:val="center"/>
          </w:tcPr>
          <w:p>
            <w:pPr>
              <w:jc w:val="center"/>
              <w:rPr>
                <w:szCs w:val="20"/>
              </w:rPr>
            </w:pPr>
            <w:r>
              <w:rPr>
                <w:rFonts w:hint="eastAsia"/>
                <w:szCs w:val="20"/>
              </w:rPr>
              <w:t>各</w:t>
            </w:r>
            <w:r>
              <w:rPr>
                <w:szCs w:val="20"/>
              </w:rPr>
              <w:t>1</w:t>
            </w:r>
            <w:r>
              <w:rPr>
                <w:rFonts w:hint="eastAsia"/>
                <w:szCs w:val="20"/>
              </w:rPr>
              <w:t>点</w:t>
            </w:r>
          </w:p>
        </w:tc>
        <w:tc>
          <w:tcPr>
            <w:tcW w:w="1843" w:type="dxa"/>
            <w:vMerge w:val="restart"/>
            <w:vAlign w:val="center"/>
          </w:tcPr>
          <w:p>
            <w:pPr>
              <w:jc w:val="center"/>
              <w:rPr>
                <w:szCs w:val="20"/>
              </w:rPr>
            </w:pPr>
            <w:r>
              <w:rPr>
                <w:rFonts w:hint="eastAsia"/>
                <w:szCs w:val="20"/>
              </w:rPr>
              <w:t>用</w:t>
            </w:r>
            <w:r>
              <w:rPr>
                <w:szCs w:val="20"/>
              </w:rPr>
              <w:t>经纬仪、水准仪测量、用钢尺</w:t>
            </w:r>
            <w:r>
              <w:rPr>
                <w:rFonts w:hint="eastAsia"/>
                <w:szCs w:val="20"/>
              </w:rPr>
              <w:t>量</w:t>
            </w:r>
            <w:r>
              <w:rPr>
                <w:szCs w:val="20"/>
              </w:rPr>
              <w:t>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Merge w:val="continue"/>
            <w:vAlign w:val="center"/>
          </w:tcPr>
          <w:p>
            <w:pPr>
              <w:jc w:val="center"/>
              <w:rPr>
                <w:szCs w:val="20"/>
              </w:rPr>
            </w:pPr>
          </w:p>
        </w:tc>
        <w:tc>
          <w:tcPr>
            <w:tcW w:w="1134" w:type="dxa"/>
            <w:vMerge w:val="continue"/>
            <w:vAlign w:val="center"/>
          </w:tcPr>
          <w:p>
            <w:pPr>
              <w:jc w:val="center"/>
              <w:rPr>
                <w:szCs w:val="20"/>
              </w:rPr>
            </w:pPr>
          </w:p>
        </w:tc>
        <w:tc>
          <w:tcPr>
            <w:tcW w:w="2126" w:type="dxa"/>
            <w:gridSpan w:val="2"/>
            <w:vAlign w:val="center"/>
          </w:tcPr>
          <w:p>
            <w:pPr>
              <w:jc w:val="center"/>
              <w:rPr>
                <w:szCs w:val="20"/>
              </w:rPr>
            </w:pPr>
            <w:r>
              <w:rPr>
                <w:rFonts w:hint="eastAsia"/>
                <w:szCs w:val="20"/>
              </w:rPr>
              <w:t>垂直</w:t>
            </w:r>
            <w:r>
              <w:rPr>
                <w:szCs w:val="20"/>
              </w:rPr>
              <w:t>向高程</w:t>
            </w:r>
          </w:p>
        </w:tc>
        <w:tc>
          <w:tcPr>
            <w:tcW w:w="1134" w:type="dxa"/>
            <w:vAlign w:val="center"/>
          </w:tcPr>
          <w:p>
            <w:pPr>
              <w:jc w:val="center"/>
              <w:rPr>
                <w:szCs w:val="20"/>
              </w:rPr>
            </w:pPr>
            <w:r>
              <w:rPr>
                <w:rFonts w:hint="eastAsia"/>
                <w:szCs w:val="20"/>
              </w:rPr>
              <w:t>±20</w:t>
            </w:r>
          </w:p>
        </w:tc>
        <w:tc>
          <w:tcPr>
            <w:tcW w:w="850" w:type="dxa"/>
            <w:vMerge w:val="continue"/>
            <w:vAlign w:val="center"/>
          </w:tcPr>
          <w:p>
            <w:pPr>
              <w:jc w:val="center"/>
              <w:rPr>
                <w:szCs w:val="20"/>
              </w:rPr>
            </w:pPr>
          </w:p>
        </w:tc>
        <w:tc>
          <w:tcPr>
            <w:tcW w:w="851" w:type="dxa"/>
            <w:vMerge w:val="continue"/>
            <w:vAlign w:val="center"/>
          </w:tcPr>
          <w:p>
            <w:pPr>
              <w:jc w:val="center"/>
              <w:rPr>
                <w:szCs w:val="20"/>
              </w:rPr>
            </w:pPr>
          </w:p>
        </w:tc>
        <w:tc>
          <w:tcPr>
            <w:tcW w:w="1843" w:type="dxa"/>
            <w:vMerge w:val="continue"/>
            <w:vAlign w:val="center"/>
          </w:tcPr>
          <w:p>
            <w:pPr>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Merge w:val="restart"/>
            <w:vAlign w:val="center"/>
          </w:tcPr>
          <w:p>
            <w:pPr>
              <w:jc w:val="center"/>
              <w:rPr>
                <w:szCs w:val="20"/>
              </w:rPr>
            </w:pPr>
            <w:r>
              <w:rPr>
                <w:rFonts w:hint="eastAsia"/>
                <w:szCs w:val="20"/>
              </w:rPr>
              <w:t>2</w:t>
            </w:r>
          </w:p>
        </w:tc>
        <w:tc>
          <w:tcPr>
            <w:tcW w:w="1134" w:type="dxa"/>
            <w:vMerge w:val="restart"/>
            <w:vAlign w:val="center"/>
          </w:tcPr>
          <w:p>
            <w:pPr>
              <w:jc w:val="center"/>
              <w:rPr>
                <w:szCs w:val="20"/>
              </w:rPr>
            </w:pPr>
            <w:r>
              <w:rPr>
                <w:rFonts w:hint="eastAsia"/>
                <w:szCs w:val="20"/>
              </w:rPr>
              <w:t>出土</w:t>
            </w:r>
            <w:r>
              <w:rPr>
                <w:szCs w:val="20"/>
              </w:rPr>
              <w:t>点位置</w:t>
            </w:r>
          </w:p>
        </w:tc>
        <w:tc>
          <w:tcPr>
            <w:tcW w:w="2126" w:type="dxa"/>
            <w:gridSpan w:val="2"/>
            <w:vAlign w:val="center"/>
          </w:tcPr>
          <w:p>
            <w:pPr>
              <w:jc w:val="center"/>
              <w:rPr>
                <w:szCs w:val="20"/>
              </w:rPr>
            </w:pPr>
            <w:r>
              <w:rPr>
                <w:rFonts w:hint="eastAsia"/>
                <w:szCs w:val="20"/>
              </w:rPr>
              <w:t>平面</w:t>
            </w:r>
            <w:r>
              <w:rPr>
                <w:szCs w:val="20"/>
              </w:rPr>
              <w:t>轴向</w:t>
            </w:r>
          </w:p>
        </w:tc>
        <w:tc>
          <w:tcPr>
            <w:tcW w:w="1134" w:type="dxa"/>
            <w:vAlign w:val="center"/>
          </w:tcPr>
          <w:p>
            <w:pPr>
              <w:jc w:val="center"/>
              <w:rPr>
                <w:szCs w:val="20"/>
              </w:rPr>
            </w:pPr>
            <w:r>
              <w:rPr>
                <w:rFonts w:hint="eastAsia"/>
                <w:szCs w:val="20"/>
              </w:rPr>
              <w:t>500</w:t>
            </w:r>
          </w:p>
        </w:tc>
        <w:tc>
          <w:tcPr>
            <w:tcW w:w="850" w:type="dxa"/>
            <w:vMerge w:val="continue"/>
            <w:vAlign w:val="center"/>
          </w:tcPr>
          <w:p>
            <w:pPr>
              <w:jc w:val="center"/>
              <w:rPr>
                <w:szCs w:val="20"/>
              </w:rPr>
            </w:pPr>
          </w:p>
        </w:tc>
        <w:tc>
          <w:tcPr>
            <w:tcW w:w="851" w:type="dxa"/>
            <w:vMerge w:val="continue"/>
            <w:vAlign w:val="center"/>
          </w:tcPr>
          <w:p>
            <w:pPr>
              <w:jc w:val="center"/>
              <w:rPr>
                <w:szCs w:val="20"/>
              </w:rPr>
            </w:pPr>
          </w:p>
        </w:tc>
        <w:tc>
          <w:tcPr>
            <w:tcW w:w="1843" w:type="dxa"/>
            <w:vMerge w:val="continue"/>
            <w:vAlign w:val="center"/>
          </w:tcPr>
          <w:p>
            <w:pPr>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Merge w:val="continue"/>
            <w:vAlign w:val="center"/>
          </w:tcPr>
          <w:p>
            <w:pPr>
              <w:jc w:val="center"/>
              <w:rPr>
                <w:szCs w:val="20"/>
              </w:rPr>
            </w:pPr>
          </w:p>
        </w:tc>
        <w:tc>
          <w:tcPr>
            <w:tcW w:w="1134" w:type="dxa"/>
            <w:vMerge w:val="continue"/>
            <w:vAlign w:val="center"/>
          </w:tcPr>
          <w:p>
            <w:pPr>
              <w:jc w:val="center"/>
              <w:rPr>
                <w:szCs w:val="20"/>
              </w:rPr>
            </w:pPr>
          </w:p>
        </w:tc>
        <w:tc>
          <w:tcPr>
            <w:tcW w:w="2126" w:type="dxa"/>
            <w:gridSpan w:val="2"/>
            <w:vAlign w:val="center"/>
          </w:tcPr>
          <w:p>
            <w:pPr>
              <w:jc w:val="center"/>
              <w:rPr>
                <w:szCs w:val="20"/>
              </w:rPr>
            </w:pPr>
            <w:r>
              <w:rPr>
                <w:rFonts w:hint="eastAsia"/>
                <w:szCs w:val="20"/>
              </w:rPr>
              <w:t>平面</w:t>
            </w:r>
            <w:r>
              <w:rPr>
                <w:szCs w:val="20"/>
              </w:rPr>
              <w:t>横向</w:t>
            </w:r>
          </w:p>
        </w:tc>
        <w:tc>
          <w:tcPr>
            <w:tcW w:w="1134" w:type="dxa"/>
            <w:vAlign w:val="center"/>
          </w:tcPr>
          <w:p>
            <w:pPr>
              <w:jc w:val="center"/>
              <w:rPr>
                <w:szCs w:val="20"/>
              </w:rPr>
            </w:pPr>
            <w:r>
              <w:rPr>
                <w:rFonts w:hint="eastAsia"/>
                <w:szCs w:val="20"/>
              </w:rPr>
              <w:t>1/2倍D</w:t>
            </w:r>
          </w:p>
        </w:tc>
        <w:tc>
          <w:tcPr>
            <w:tcW w:w="850" w:type="dxa"/>
            <w:vMerge w:val="continue"/>
            <w:vAlign w:val="center"/>
          </w:tcPr>
          <w:p>
            <w:pPr>
              <w:jc w:val="center"/>
              <w:rPr>
                <w:szCs w:val="20"/>
              </w:rPr>
            </w:pPr>
          </w:p>
        </w:tc>
        <w:tc>
          <w:tcPr>
            <w:tcW w:w="851" w:type="dxa"/>
            <w:vMerge w:val="continue"/>
            <w:vAlign w:val="center"/>
          </w:tcPr>
          <w:p>
            <w:pPr>
              <w:jc w:val="center"/>
              <w:rPr>
                <w:szCs w:val="20"/>
              </w:rPr>
            </w:pPr>
          </w:p>
        </w:tc>
        <w:tc>
          <w:tcPr>
            <w:tcW w:w="1843" w:type="dxa"/>
            <w:vMerge w:val="continue"/>
            <w:vAlign w:val="center"/>
          </w:tcPr>
          <w:p>
            <w:pPr>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Merge w:val="continue"/>
            <w:vAlign w:val="center"/>
          </w:tcPr>
          <w:p>
            <w:pPr>
              <w:jc w:val="center"/>
              <w:rPr>
                <w:szCs w:val="20"/>
              </w:rPr>
            </w:pPr>
          </w:p>
        </w:tc>
        <w:tc>
          <w:tcPr>
            <w:tcW w:w="1134" w:type="dxa"/>
            <w:vMerge w:val="continue"/>
            <w:vAlign w:val="center"/>
          </w:tcPr>
          <w:p>
            <w:pPr>
              <w:jc w:val="center"/>
              <w:rPr>
                <w:szCs w:val="20"/>
              </w:rPr>
            </w:pPr>
          </w:p>
        </w:tc>
        <w:tc>
          <w:tcPr>
            <w:tcW w:w="992" w:type="dxa"/>
            <w:vAlign w:val="center"/>
          </w:tcPr>
          <w:p>
            <w:pPr>
              <w:jc w:val="center"/>
              <w:rPr>
                <w:szCs w:val="20"/>
              </w:rPr>
            </w:pPr>
            <w:r>
              <w:rPr>
                <w:rFonts w:hint="eastAsia"/>
                <w:szCs w:val="20"/>
              </w:rPr>
              <w:t>垂直向</w:t>
            </w:r>
          </w:p>
          <w:p>
            <w:pPr>
              <w:jc w:val="center"/>
              <w:rPr>
                <w:szCs w:val="20"/>
              </w:rPr>
            </w:pPr>
            <w:r>
              <w:rPr>
                <w:szCs w:val="20"/>
              </w:rPr>
              <w:t>高程</w:t>
            </w:r>
          </w:p>
        </w:tc>
        <w:tc>
          <w:tcPr>
            <w:tcW w:w="1134" w:type="dxa"/>
            <w:vAlign w:val="center"/>
          </w:tcPr>
          <w:p>
            <w:pPr>
              <w:jc w:val="center"/>
              <w:rPr>
                <w:szCs w:val="20"/>
              </w:rPr>
            </w:pPr>
            <w:r>
              <w:rPr>
                <w:rFonts w:hint="eastAsia"/>
                <w:szCs w:val="20"/>
              </w:rPr>
              <w:t>压力</w:t>
            </w:r>
            <w:r>
              <w:rPr>
                <w:szCs w:val="20"/>
              </w:rPr>
              <w:t>管道</w:t>
            </w:r>
          </w:p>
        </w:tc>
        <w:tc>
          <w:tcPr>
            <w:tcW w:w="1134" w:type="dxa"/>
            <w:vAlign w:val="center"/>
          </w:tcPr>
          <w:p>
            <w:pPr>
              <w:jc w:val="center"/>
              <w:rPr>
                <w:szCs w:val="20"/>
              </w:rPr>
            </w:pPr>
            <w:r>
              <w:rPr>
                <w:rFonts w:hint="eastAsia"/>
                <w:szCs w:val="20"/>
              </w:rPr>
              <w:t>±1/2倍D</w:t>
            </w:r>
          </w:p>
        </w:tc>
        <w:tc>
          <w:tcPr>
            <w:tcW w:w="850" w:type="dxa"/>
            <w:vMerge w:val="continue"/>
            <w:vAlign w:val="center"/>
          </w:tcPr>
          <w:p>
            <w:pPr>
              <w:jc w:val="center"/>
              <w:rPr>
                <w:szCs w:val="20"/>
              </w:rPr>
            </w:pPr>
          </w:p>
        </w:tc>
        <w:tc>
          <w:tcPr>
            <w:tcW w:w="851" w:type="dxa"/>
            <w:vMerge w:val="continue"/>
            <w:vAlign w:val="center"/>
          </w:tcPr>
          <w:p>
            <w:pPr>
              <w:jc w:val="center"/>
              <w:rPr>
                <w:szCs w:val="20"/>
              </w:rPr>
            </w:pPr>
          </w:p>
        </w:tc>
        <w:tc>
          <w:tcPr>
            <w:tcW w:w="1843" w:type="dxa"/>
            <w:vMerge w:val="continue"/>
            <w:vAlign w:val="center"/>
          </w:tcPr>
          <w:p>
            <w:pPr>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Merge w:val="restart"/>
            <w:vAlign w:val="center"/>
          </w:tcPr>
          <w:p>
            <w:pPr>
              <w:jc w:val="center"/>
              <w:rPr>
                <w:szCs w:val="20"/>
              </w:rPr>
            </w:pPr>
            <w:r>
              <w:rPr>
                <w:rFonts w:hint="eastAsia"/>
                <w:szCs w:val="20"/>
              </w:rPr>
              <w:t>3</w:t>
            </w:r>
          </w:p>
        </w:tc>
        <w:tc>
          <w:tcPr>
            <w:tcW w:w="1134" w:type="dxa"/>
            <w:vMerge w:val="restart"/>
            <w:vAlign w:val="center"/>
          </w:tcPr>
          <w:p>
            <w:pPr>
              <w:jc w:val="center"/>
              <w:rPr>
                <w:szCs w:val="20"/>
              </w:rPr>
            </w:pPr>
            <w:r>
              <w:rPr>
                <w:rFonts w:hint="eastAsia"/>
                <w:szCs w:val="20"/>
              </w:rPr>
              <w:t>管道</w:t>
            </w:r>
            <w:r>
              <w:rPr>
                <w:szCs w:val="20"/>
              </w:rPr>
              <w:t>位置</w:t>
            </w:r>
          </w:p>
        </w:tc>
        <w:tc>
          <w:tcPr>
            <w:tcW w:w="2126" w:type="dxa"/>
            <w:gridSpan w:val="2"/>
            <w:vAlign w:val="center"/>
          </w:tcPr>
          <w:p>
            <w:pPr>
              <w:jc w:val="center"/>
              <w:rPr>
                <w:szCs w:val="20"/>
              </w:rPr>
            </w:pPr>
            <w:r>
              <w:rPr>
                <w:rFonts w:hint="eastAsia"/>
                <w:szCs w:val="20"/>
              </w:rPr>
              <w:t>水平</w:t>
            </w:r>
            <w:r>
              <w:rPr>
                <w:szCs w:val="20"/>
              </w:rPr>
              <w:t>轴线</w:t>
            </w:r>
          </w:p>
        </w:tc>
        <w:tc>
          <w:tcPr>
            <w:tcW w:w="1134" w:type="dxa"/>
            <w:vAlign w:val="center"/>
          </w:tcPr>
          <w:p>
            <w:pPr>
              <w:jc w:val="center"/>
              <w:rPr>
                <w:szCs w:val="20"/>
              </w:rPr>
            </w:pPr>
            <w:r>
              <w:rPr>
                <w:rFonts w:hint="eastAsia"/>
                <w:szCs w:val="20"/>
              </w:rPr>
              <w:t>1/2倍D</w:t>
            </w:r>
          </w:p>
        </w:tc>
        <w:tc>
          <w:tcPr>
            <w:tcW w:w="850" w:type="dxa"/>
            <w:vMerge w:val="restart"/>
            <w:vAlign w:val="center"/>
          </w:tcPr>
          <w:p>
            <w:pPr>
              <w:jc w:val="center"/>
              <w:rPr>
                <w:szCs w:val="20"/>
              </w:rPr>
            </w:pPr>
            <w:r>
              <w:rPr>
                <w:rFonts w:hint="eastAsia"/>
                <w:szCs w:val="20"/>
              </w:rPr>
              <w:t>每节管</w:t>
            </w:r>
          </w:p>
        </w:tc>
        <w:tc>
          <w:tcPr>
            <w:tcW w:w="851" w:type="dxa"/>
            <w:vMerge w:val="restart"/>
            <w:vAlign w:val="center"/>
          </w:tcPr>
          <w:p>
            <w:pPr>
              <w:jc w:val="center"/>
              <w:rPr>
                <w:szCs w:val="20"/>
              </w:rPr>
            </w:pPr>
            <w:r>
              <w:rPr>
                <w:rFonts w:hint="eastAsia"/>
                <w:szCs w:val="20"/>
              </w:rPr>
              <w:t>不少于1点</w:t>
            </w:r>
          </w:p>
        </w:tc>
        <w:tc>
          <w:tcPr>
            <w:tcW w:w="1843" w:type="dxa"/>
            <w:vMerge w:val="restart"/>
            <w:vAlign w:val="center"/>
          </w:tcPr>
          <w:p>
            <w:pPr>
              <w:jc w:val="center"/>
              <w:rPr>
                <w:szCs w:val="20"/>
              </w:rPr>
            </w:pPr>
            <w:r>
              <w:rPr>
                <w:rFonts w:hint="eastAsia"/>
                <w:szCs w:val="20"/>
              </w:rPr>
              <w:t>用</w:t>
            </w:r>
            <w:r>
              <w:rPr>
                <w:szCs w:val="20"/>
              </w:rPr>
              <w:t>导向探测仪器检查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Merge w:val="continue"/>
            <w:vAlign w:val="center"/>
          </w:tcPr>
          <w:p>
            <w:pPr>
              <w:jc w:val="center"/>
              <w:rPr>
                <w:szCs w:val="20"/>
              </w:rPr>
            </w:pPr>
          </w:p>
        </w:tc>
        <w:tc>
          <w:tcPr>
            <w:tcW w:w="1134" w:type="dxa"/>
            <w:vMerge w:val="continue"/>
            <w:vAlign w:val="center"/>
          </w:tcPr>
          <w:p>
            <w:pPr>
              <w:jc w:val="center"/>
              <w:rPr>
                <w:szCs w:val="20"/>
              </w:rPr>
            </w:pPr>
          </w:p>
        </w:tc>
        <w:tc>
          <w:tcPr>
            <w:tcW w:w="992" w:type="dxa"/>
            <w:vAlign w:val="center"/>
          </w:tcPr>
          <w:p>
            <w:pPr>
              <w:jc w:val="center"/>
              <w:rPr>
                <w:szCs w:val="20"/>
              </w:rPr>
            </w:pPr>
            <w:r>
              <w:rPr>
                <w:rFonts w:hint="eastAsia"/>
                <w:szCs w:val="20"/>
              </w:rPr>
              <w:t>管道内</w:t>
            </w:r>
            <w:r>
              <w:rPr>
                <w:szCs w:val="20"/>
              </w:rPr>
              <w:t>底高程</w:t>
            </w:r>
          </w:p>
        </w:tc>
        <w:tc>
          <w:tcPr>
            <w:tcW w:w="1134" w:type="dxa"/>
            <w:vAlign w:val="center"/>
          </w:tcPr>
          <w:p>
            <w:pPr>
              <w:jc w:val="center"/>
              <w:rPr>
                <w:szCs w:val="20"/>
              </w:rPr>
            </w:pPr>
            <w:r>
              <w:rPr>
                <w:rFonts w:hint="eastAsia"/>
                <w:szCs w:val="20"/>
              </w:rPr>
              <w:t>压力管道</w:t>
            </w:r>
          </w:p>
        </w:tc>
        <w:tc>
          <w:tcPr>
            <w:tcW w:w="1134" w:type="dxa"/>
            <w:vAlign w:val="center"/>
          </w:tcPr>
          <w:p>
            <w:pPr>
              <w:jc w:val="center"/>
              <w:rPr>
                <w:szCs w:val="20"/>
              </w:rPr>
            </w:pPr>
            <w:r>
              <w:rPr>
                <w:rFonts w:hint="eastAsia"/>
                <w:szCs w:val="20"/>
              </w:rPr>
              <w:t>±1/2倍D</w:t>
            </w:r>
          </w:p>
        </w:tc>
        <w:tc>
          <w:tcPr>
            <w:tcW w:w="850" w:type="dxa"/>
            <w:vMerge w:val="continue"/>
            <w:vAlign w:val="center"/>
          </w:tcPr>
          <w:p>
            <w:pPr>
              <w:jc w:val="center"/>
              <w:rPr>
                <w:szCs w:val="20"/>
              </w:rPr>
            </w:pPr>
          </w:p>
        </w:tc>
        <w:tc>
          <w:tcPr>
            <w:tcW w:w="851" w:type="dxa"/>
            <w:vMerge w:val="continue"/>
            <w:vAlign w:val="center"/>
          </w:tcPr>
          <w:p>
            <w:pPr>
              <w:jc w:val="center"/>
              <w:rPr>
                <w:szCs w:val="20"/>
              </w:rPr>
            </w:pPr>
          </w:p>
        </w:tc>
        <w:tc>
          <w:tcPr>
            <w:tcW w:w="1843" w:type="dxa"/>
            <w:vMerge w:val="continue"/>
            <w:vAlign w:val="center"/>
          </w:tcPr>
          <w:p>
            <w:pPr>
              <w:jc w:val="center"/>
              <w:rPr>
                <w:szCs w:val="20"/>
              </w:rPr>
            </w:pPr>
          </w:p>
        </w:tc>
      </w:tr>
    </w:tbl>
    <w:p>
      <w:pPr>
        <w:ind w:left="720" w:hanging="720" w:hangingChars="400"/>
        <w:jc w:val="left"/>
        <w:rPr>
          <w:sz w:val="18"/>
          <w:szCs w:val="21"/>
        </w:rPr>
      </w:pPr>
      <w:r>
        <w:rPr>
          <w:rFonts w:hint="eastAsia"/>
          <w:sz w:val="18"/>
          <w:szCs w:val="21"/>
        </w:rPr>
        <w:t>注：D为管道内径（mm）。</w:t>
      </w:r>
    </w:p>
    <w:p>
      <w:pPr>
        <w:spacing w:before="156" w:beforeLines="50" w:after="156" w:afterLines="50" w:line="440" w:lineRule="exact"/>
        <w:jc w:val="center"/>
        <w:outlineLvl w:val="1"/>
        <w:rPr>
          <w:rFonts w:eastAsia="黑体"/>
          <w:sz w:val="24"/>
        </w:rPr>
      </w:pPr>
      <w:bookmarkStart w:id="143" w:name="_Toc8196"/>
      <w:bookmarkStart w:id="144" w:name="_Toc27432"/>
      <w:bookmarkStart w:id="145" w:name="_Hlk103463897"/>
      <w:r>
        <w:rPr>
          <w:rFonts w:hint="eastAsia" w:eastAsia="黑体"/>
          <w:sz w:val="24"/>
        </w:rPr>
        <w:t>10.4  管幕钢管夯管法施工</w:t>
      </w:r>
      <w:bookmarkEnd w:id="143"/>
      <w:bookmarkEnd w:id="144"/>
    </w:p>
    <w:bookmarkEnd w:id="145"/>
    <w:p>
      <w:pPr>
        <w:spacing w:line="440" w:lineRule="exact"/>
        <w:rPr>
          <w:sz w:val="24"/>
        </w:rPr>
      </w:pPr>
      <w:r>
        <w:rPr>
          <w:rFonts w:hint="eastAsia"/>
          <w:b/>
          <w:bCs/>
          <w:sz w:val="24"/>
        </w:rPr>
        <w:t>10.4.1</w:t>
      </w:r>
      <w:r>
        <w:rPr>
          <w:rFonts w:hint="eastAsia"/>
          <w:sz w:val="24"/>
        </w:rPr>
        <w:t xml:space="preserve">  钢管组对拼焊接的质量应符合本规程第1</w:t>
      </w:r>
      <w:r>
        <w:rPr>
          <w:sz w:val="24"/>
        </w:rPr>
        <w:t>0.3.1</w:t>
      </w:r>
      <w:r>
        <w:rPr>
          <w:rFonts w:hint="eastAsia"/>
          <w:sz w:val="24"/>
        </w:rPr>
        <w:t>条的规定。</w:t>
      </w:r>
    </w:p>
    <w:p>
      <w:pPr>
        <w:spacing w:before="156" w:beforeLines="50" w:after="156" w:afterLines="50"/>
        <w:jc w:val="center"/>
        <w:rPr>
          <w:sz w:val="24"/>
        </w:rPr>
      </w:pPr>
      <w:r>
        <w:rPr>
          <w:rFonts w:hint="eastAsia"/>
          <w:sz w:val="24"/>
        </w:rPr>
        <w:t>Ⅰ  主控项目</w:t>
      </w:r>
    </w:p>
    <w:p>
      <w:pPr>
        <w:spacing w:line="440" w:lineRule="exact"/>
        <w:rPr>
          <w:b/>
          <w:bCs/>
          <w:sz w:val="24"/>
        </w:rPr>
      </w:pPr>
      <w:r>
        <w:rPr>
          <w:rFonts w:hint="eastAsia"/>
          <w:b/>
          <w:bCs/>
          <w:sz w:val="24"/>
        </w:rPr>
        <w:t>10.</w:t>
      </w:r>
      <w:r>
        <w:rPr>
          <w:b/>
          <w:bCs/>
          <w:sz w:val="24"/>
        </w:rPr>
        <w:t>4</w:t>
      </w:r>
      <w:r>
        <w:rPr>
          <w:rFonts w:hint="eastAsia"/>
          <w:b/>
          <w:bCs/>
          <w:sz w:val="24"/>
        </w:rPr>
        <w:t>.</w:t>
      </w:r>
      <w:r>
        <w:rPr>
          <w:b/>
          <w:bCs/>
          <w:sz w:val="24"/>
        </w:rPr>
        <w:t>2</w:t>
      </w:r>
      <w:r>
        <w:rPr>
          <w:rFonts w:hint="eastAsia"/>
          <w:sz w:val="24"/>
        </w:rPr>
        <w:t xml:space="preserve">  管道预水压试验应符合本规程第1</w:t>
      </w:r>
      <w:r>
        <w:rPr>
          <w:sz w:val="24"/>
        </w:rPr>
        <w:t>0.4.2</w:t>
      </w:r>
      <w:r>
        <w:rPr>
          <w:rFonts w:hint="eastAsia"/>
          <w:sz w:val="24"/>
        </w:rPr>
        <w:t>条的规定</w:t>
      </w:r>
    </w:p>
    <w:p>
      <w:pPr>
        <w:spacing w:line="440" w:lineRule="exact"/>
        <w:rPr>
          <w:sz w:val="24"/>
        </w:rPr>
      </w:pPr>
      <w:r>
        <w:rPr>
          <w:rFonts w:hint="eastAsia"/>
          <w:b/>
          <w:bCs/>
          <w:sz w:val="24"/>
        </w:rPr>
        <w:t>10.4.</w:t>
      </w:r>
      <w:r>
        <w:rPr>
          <w:b/>
          <w:bCs/>
          <w:sz w:val="24"/>
        </w:rPr>
        <w:t>3</w:t>
      </w:r>
      <w:r>
        <w:rPr>
          <w:rFonts w:hint="eastAsia"/>
          <w:sz w:val="24"/>
        </w:rPr>
        <w:t xml:space="preserve">  管道线形应平顺、无变形、裂缝、突起、突弯、破损现象。</w:t>
      </w:r>
    </w:p>
    <w:p>
      <w:pPr>
        <w:spacing w:line="440" w:lineRule="exact"/>
        <w:rPr>
          <w:sz w:val="24"/>
        </w:rPr>
      </w:pPr>
      <w:r>
        <w:rPr>
          <w:rFonts w:hint="eastAsia"/>
          <w:b/>
          <w:bCs/>
          <w:sz w:val="24"/>
        </w:rPr>
        <w:t>10.4.</w:t>
      </w:r>
      <w:r>
        <w:rPr>
          <w:b/>
          <w:bCs/>
          <w:sz w:val="24"/>
        </w:rPr>
        <w:t xml:space="preserve">4  </w:t>
      </w:r>
      <w:r>
        <w:rPr>
          <w:rFonts w:hint="eastAsia"/>
          <w:sz w:val="24"/>
        </w:rPr>
        <w:t>管道应无明显渗水现象，其中渗漏水程度应符合现行国家标准《给水排水管道工程施工及验收规范》GB 50268标准中的规定。</w:t>
      </w:r>
    </w:p>
    <w:p>
      <w:pPr>
        <w:spacing w:line="440" w:lineRule="exact"/>
        <w:jc w:val="center"/>
        <w:rPr>
          <w:sz w:val="24"/>
        </w:rPr>
      </w:pPr>
      <w:r>
        <w:rPr>
          <w:rFonts w:hint="eastAsia"/>
          <w:sz w:val="24"/>
        </w:rPr>
        <w:t>Ⅱ  一般项目</w:t>
      </w:r>
    </w:p>
    <w:p>
      <w:pPr>
        <w:spacing w:line="440" w:lineRule="exact"/>
        <w:rPr>
          <w:sz w:val="24"/>
        </w:rPr>
      </w:pPr>
      <w:r>
        <w:rPr>
          <w:rFonts w:hint="eastAsia"/>
          <w:b/>
          <w:bCs/>
          <w:sz w:val="24"/>
        </w:rPr>
        <w:t>10.4.</w:t>
      </w:r>
      <w:r>
        <w:rPr>
          <w:b/>
          <w:bCs/>
          <w:sz w:val="24"/>
        </w:rPr>
        <w:t>5</w:t>
      </w:r>
      <w:r>
        <w:rPr>
          <w:rFonts w:hint="eastAsia"/>
          <w:b/>
          <w:bCs/>
          <w:sz w:val="24"/>
        </w:rPr>
        <w:t xml:space="preserve"> </w:t>
      </w:r>
      <w:r>
        <w:rPr>
          <w:rFonts w:hint="eastAsia"/>
          <w:sz w:val="24"/>
        </w:rPr>
        <w:t xml:space="preserve"> 钢管内应清理干净，无杂物、余土、污泥、油污等。 </w:t>
      </w:r>
    </w:p>
    <w:p>
      <w:pPr>
        <w:spacing w:line="440" w:lineRule="exact"/>
        <w:ind w:firstLine="480" w:firstLineChars="200"/>
        <w:rPr>
          <w:sz w:val="24"/>
        </w:rPr>
      </w:pPr>
      <w:r>
        <w:rPr>
          <w:rFonts w:hint="eastAsia"/>
          <w:sz w:val="24"/>
        </w:rPr>
        <w:t>检验数量：全数检查。</w:t>
      </w:r>
    </w:p>
    <w:p>
      <w:pPr>
        <w:spacing w:line="440" w:lineRule="exact"/>
        <w:ind w:firstLine="480" w:firstLineChars="200"/>
        <w:rPr>
          <w:sz w:val="24"/>
        </w:rPr>
      </w:pPr>
      <w:r>
        <w:rPr>
          <w:rFonts w:hint="eastAsia"/>
          <w:sz w:val="24"/>
        </w:rPr>
        <w:t>检验方法：观察；检查施工记录。</w:t>
      </w:r>
    </w:p>
    <w:p>
      <w:pPr>
        <w:spacing w:line="440" w:lineRule="exact"/>
        <w:rPr>
          <w:sz w:val="24"/>
        </w:rPr>
      </w:pPr>
      <w:r>
        <w:rPr>
          <w:rFonts w:hint="eastAsia"/>
          <w:b/>
          <w:bCs/>
          <w:sz w:val="24"/>
        </w:rPr>
        <w:t>10.4.</w:t>
      </w:r>
      <w:r>
        <w:rPr>
          <w:b/>
          <w:bCs/>
          <w:sz w:val="24"/>
        </w:rPr>
        <w:t>6</w:t>
      </w:r>
      <w:r>
        <w:rPr>
          <w:rFonts w:hint="eastAsia"/>
          <w:sz w:val="24"/>
        </w:rPr>
        <w:t xml:space="preserve">  分出的管节附着紧密，无明显划伤、破损等现象。</w:t>
      </w:r>
    </w:p>
    <w:p>
      <w:pPr>
        <w:spacing w:line="440" w:lineRule="exact"/>
        <w:ind w:firstLine="480" w:firstLineChars="200"/>
        <w:rPr>
          <w:sz w:val="24"/>
        </w:rPr>
      </w:pPr>
      <w:r>
        <w:rPr>
          <w:rFonts w:hint="eastAsia"/>
          <w:sz w:val="24"/>
        </w:rPr>
        <w:t>检验数量：全数检查。</w:t>
      </w:r>
    </w:p>
    <w:p>
      <w:pPr>
        <w:spacing w:line="440" w:lineRule="exact"/>
        <w:ind w:firstLine="480" w:firstLineChars="200"/>
        <w:rPr>
          <w:sz w:val="24"/>
        </w:rPr>
      </w:pPr>
      <w:r>
        <w:rPr>
          <w:rFonts w:hint="eastAsia"/>
          <w:sz w:val="24"/>
        </w:rPr>
        <w:t>检验方法：观察；检查施工记录。</w:t>
      </w:r>
    </w:p>
    <w:p>
      <w:pPr>
        <w:spacing w:line="440" w:lineRule="exact"/>
        <w:rPr>
          <w:szCs w:val="21"/>
        </w:rPr>
      </w:pPr>
      <w:r>
        <w:rPr>
          <w:rFonts w:hint="eastAsia"/>
          <w:b/>
          <w:bCs/>
          <w:sz w:val="24"/>
        </w:rPr>
        <w:t>10.4.</w:t>
      </w:r>
      <w:r>
        <w:rPr>
          <w:b/>
          <w:bCs/>
          <w:sz w:val="24"/>
        </w:rPr>
        <w:t>7</w:t>
      </w:r>
      <w:r>
        <w:rPr>
          <w:rFonts w:hint="eastAsia"/>
          <w:sz w:val="24"/>
        </w:rPr>
        <w:t xml:space="preserve">  夯入的起始管节，其轴向水平位置、管中心高程的允许偏差应控制在土20mm范围内。</w:t>
      </w:r>
    </w:p>
    <w:p>
      <w:pPr>
        <w:spacing w:line="440" w:lineRule="exact"/>
        <w:ind w:firstLine="480" w:firstLineChars="200"/>
        <w:rPr>
          <w:sz w:val="24"/>
        </w:rPr>
      </w:pPr>
      <w:r>
        <w:rPr>
          <w:rFonts w:hint="eastAsia"/>
          <w:sz w:val="24"/>
        </w:rPr>
        <w:t>检验数量：全数检查。</w:t>
      </w:r>
    </w:p>
    <w:p>
      <w:pPr>
        <w:spacing w:line="440" w:lineRule="exact"/>
        <w:ind w:firstLine="480" w:firstLineChars="200"/>
        <w:rPr>
          <w:sz w:val="24"/>
        </w:rPr>
      </w:pPr>
      <w:r>
        <w:rPr>
          <w:rFonts w:hint="eastAsia"/>
          <w:sz w:val="24"/>
        </w:rPr>
        <w:t>检验方法：用经纬仪、水准仪测量；检查施工记录。</w:t>
      </w:r>
    </w:p>
    <w:p>
      <w:pPr>
        <w:spacing w:line="440" w:lineRule="exact"/>
        <w:rPr>
          <w:sz w:val="24"/>
        </w:rPr>
      </w:pPr>
      <w:r>
        <w:rPr>
          <w:rFonts w:hint="eastAsia"/>
          <w:b/>
          <w:bCs/>
          <w:sz w:val="24"/>
        </w:rPr>
        <w:t>10.4.</w:t>
      </w:r>
      <w:r>
        <w:rPr>
          <w:b/>
          <w:bCs/>
          <w:sz w:val="24"/>
        </w:rPr>
        <w:t>8</w:t>
      </w:r>
      <w:r>
        <w:rPr>
          <w:rFonts w:hint="eastAsia"/>
          <w:sz w:val="24"/>
        </w:rPr>
        <w:t xml:space="preserve">  夯管贯通后管道的允许偏差应符合表10.</w:t>
      </w:r>
      <w:r>
        <w:rPr>
          <w:sz w:val="24"/>
        </w:rPr>
        <w:t>4.8</w:t>
      </w:r>
      <w:r>
        <w:rPr>
          <w:rFonts w:hint="eastAsia"/>
          <w:sz w:val="24"/>
        </w:rPr>
        <w:t>的规定。</w:t>
      </w:r>
    </w:p>
    <w:p>
      <w:pPr>
        <w:spacing w:before="156" w:beforeLines="50"/>
        <w:jc w:val="center"/>
        <w:rPr>
          <w:rFonts w:eastAsia="黑体"/>
          <w:bCs/>
          <w:kern w:val="0"/>
          <w:szCs w:val="21"/>
        </w:rPr>
      </w:pPr>
      <w:r>
        <w:rPr>
          <w:rFonts w:hint="eastAsia" w:eastAsia="黑体"/>
          <w:bCs/>
          <w:kern w:val="0"/>
          <w:szCs w:val="21"/>
        </w:rPr>
        <w:t>表10.</w:t>
      </w:r>
      <w:r>
        <w:rPr>
          <w:rFonts w:eastAsia="黑体"/>
          <w:bCs/>
          <w:kern w:val="0"/>
          <w:szCs w:val="21"/>
        </w:rPr>
        <w:t>4.8</w:t>
      </w:r>
      <w:r>
        <w:rPr>
          <w:rFonts w:hint="eastAsia" w:eastAsia="黑体"/>
          <w:bCs/>
          <w:kern w:val="0"/>
          <w:szCs w:val="21"/>
        </w:rPr>
        <w:t xml:space="preserve">  夯管贯通后的管道的允许偏差</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912"/>
        <w:gridCol w:w="1200"/>
        <w:gridCol w:w="1007"/>
        <w:gridCol w:w="992"/>
        <w:gridCol w:w="992"/>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4" w:type="dxa"/>
            <w:gridSpan w:val="3"/>
            <w:vMerge w:val="restart"/>
            <w:vAlign w:val="center"/>
          </w:tcPr>
          <w:p>
            <w:pPr>
              <w:jc w:val="center"/>
              <w:rPr>
                <w:szCs w:val="20"/>
              </w:rPr>
            </w:pPr>
            <w:r>
              <w:rPr>
                <w:rFonts w:hint="eastAsia"/>
                <w:szCs w:val="20"/>
              </w:rPr>
              <w:t>检查</w:t>
            </w:r>
            <w:r>
              <w:rPr>
                <w:szCs w:val="20"/>
              </w:rPr>
              <w:t>项目</w:t>
            </w:r>
          </w:p>
        </w:tc>
        <w:tc>
          <w:tcPr>
            <w:tcW w:w="1007" w:type="dxa"/>
            <w:vMerge w:val="restart"/>
            <w:vAlign w:val="center"/>
          </w:tcPr>
          <w:p>
            <w:pPr>
              <w:jc w:val="center"/>
              <w:rPr>
                <w:szCs w:val="20"/>
              </w:rPr>
            </w:pPr>
            <w:r>
              <w:rPr>
                <w:rFonts w:hint="eastAsia"/>
                <w:szCs w:val="20"/>
              </w:rPr>
              <w:t>允许</w:t>
            </w:r>
            <w:r>
              <w:rPr>
                <w:szCs w:val="20"/>
              </w:rPr>
              <w:t>偏差</w:t>
            </w:r>
            <w:r>
              <w:rPr>
                <w:rFonts w:hint="eastAsia"/>
                <w:szCs w:val="20"/>
              </w:rPr>
              <w:t>(</w:t>
            </w:r>
            <w:r>
              <w:rPr>
                <w:szCs w:val="20"/>
              </w:rPr>
              <w:t>mm</w:t>
            </w:r>
            <w:r>
              <w:rPr>
                <w:rFonts w:hint="eastAsia"/>
                <w:szCs w:val="20"/>
              </w:rPr>
              <w:t>)</w:t>
            </w:r>
          </w:p>
        </w:tc>
        <w:tc>
          <w:tcPr>
            <w:tcW w:w="1984" w:type="dxa"/>
            <w:gridSpan w:val="2"/>
            <w:vAlign w:val="center"/>
          </w:tcPr>
          <w:p>
            <w:pPr>
              <w:jc w:val="center"/>
              <w:rPr>
                <w:szCs w:val="20"/>
              </w:rPr>
            </w:pPr>
            <w:r>
              <w:rPr>
                <w:rFonts w:hint="eastAsia"/>
                <w:szCs w:val="20"/>
              </w:rPr>
              <w:t>检查</w:t>
            </w:r>
            <w:r>
              <w:rPr>
                <w:szCs w:val="20"/>
              </w:rPr>
              <w:t>数量</w:t>
            </w:r>
          </w:p>
        </w:tc>
        <w:tc>
          <w:tcPr>
            <w:tcW w:w="2631" w:type="dxa"/>
            <w:vMerge w:val="restart"/>
            <w:vAlign w:val="center"/>
          </w:tcPr>
          <w:p>
            <w:pPr>
              <w:jc w:val="center"/>
              <w:rPr>
                <w:szCs w:val="20"/>
              </w:rPr>
            </w:pPr>
            <w:r>
              <w:rPr>
                <w:rFonts w:hint="eastAsia"/>
                <w:szCs w:val="20"/>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4" w:type="dxa"/>
            <w:gridSpan w:val="3"/>
            <w:vMerge w:val="continue"/>
            <w:vAlign w:val="center"/>
          </w:tcPr>
          <w:p>
            <w:pPr>
              <w:jc w:val="center"/>
              <w:rPr>
                <w:szCs w:val="20"/>
              </w:rPr>
            </w:pPr>
          </w:p>
        </w:tc>
        <w:tc>
          <w:tcPr>
            <w:tcW w:w="1007" w:type="dxa"/>
            <w:vMerge w:val="continue"/>
            <w:vAlign w:val="center"/>
          </w:tcPr>
          <w:p>
            <w:pPr>
              <w:jc w:val="center"/>
              <w:rPr>
                <w:szCs w:val="20"/>
              </w:rPr>
            </w:pPr>
          </w:p>
        </w:tc>
        <w:tc>
          <w:tcPr>
            <w:tcW w:w="992" w:type="dxa"/>
            <w:vAlign w:val="center"/>
          </w:tcPr>
          <w:p>
            <w:pPr>
              <w:jc w:val="center"/>
              <w:rPr>
                <w:szCs w:val="20"/>
              </w:rPr>
            </w:pPr>
            <w:r>
              <w:rPr>
                <w:rFonts w:hint="eastAsia"/>
                <w:szCs w:val="20"/>
              </w:rPr>
              <w:t>范围</w:t>
            </w:r>
          </w:p>
        </w:tc>
        <w:tc>
          <w:tcPr>
            <w:tcW w:w="992" w:type="dxa"/>
            <w:vAlign w:val="center"/>
          </w:tcPr>
          <w:p>
            <w:pPr>
              <w:jc w:val="center"/>
              <w:rPr>
                <w:szCs w:val="20"/>
              </w:rPr>
            </w:pPr>
            <w:r>
              <w:rPr>
                <w:rFonts w:hint="eastAsia"/>
                <w:szCs w:val="20"/>
              </w:rPr>
              <w:t>点数</w:t>
            </w:r>
          </w:p>
        </w:tc>
        <w:tc>
          <w:tcPr>
            <w:tcW w:w="2631" w:type="dxa"/>
            <w:vMerge w:val="continue"/>
            <w:vAlign w:val="center"/>
          </w:tcPr>
          <w:p>
            <w:pPr>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szCs w:val="20"/>
              </w:rPr>
            </w:pPr>
            <w:r>
              <w:rPr>
                <w:rFonts w:hint="eastAsia"/>
                <w:szCs w:val="20"/>
              </w:rPr>
              <w:t>1</w:t>
            </w:r>
          </w:p>
        </w:tc>
        <w:tc>
          <w:tcPr>
            <w:tcW w:w="2112" w:type="dxa"/>
            <w:gridSpan w:val="2"/>
            <w:vAlign w:val="center"/>
          </w:tcPr>
          <w:p>
            <w:pPr>
              <w:jc w:val="center"/>
              <w:rPr>
                <w:szCs w:val="20"/>
              </w:rPr>
            </w:pPr>
            <w:r>
              <w:rPr>
                <w:rFonts w:hint="eastAsia"/>
                <w:szCs w:val="20"/>
              </w:rPr>
              <w:t>轴线</w:t>
            </w:r>
            <w:r>
              <w:rPr>
                <w:szCs w:val="20"/>
              </w:rPr>
              <w:t>水平位移</w:t>
            </w:r>
          </w:p>
        </w:tc>
        <w:tc>
          <w:tcPr>
            <w:tcW w:w="1007" w:type="dxa"/>
            <w:vAlign w:val="center"/>
          </w:tcPr>
          <w:p>
            <w:pPr>
              <w:jc w:val="center"/>
              <w:rPr>
                <w:szCs w:val="20"/>
              </w:rPr>
            </w:pPr>
            <w:r>
              <w:rPr>
                <w:rFonts w:hint="eastAsia"/>
                <w:szCs w:val="20"/>
              </w:rPr>
              <w:t>80</w:t>
            </w:r>
          </w:p>
        </w:tc>
        <w:tc>
          <w:tcPr>
            <w:tcW w:w="992" w:type="dxa"/>
            <w:vMerge w:val="restart"/>
            <w:vAlign w:val="center"/>
          </w:tcPr>
          <w:p>
            <w:pPr>
              <w:jc w:val="center"/>
              <w:rPr>
                <w:szCs w:val="20"/>
              </w:rPr>
            </w:pPr>
            <w:r>
              <w:rPr>
                <w:rFonts w:hint="eastAsia"/>
                <w:szCs w:val="20"/>
              </w:rPr>
              <w:t>每节</w:t>
            </w:r>
            <w:r>
              <w:rPr>
                <w:szCs w:val="20"/>
              </w:rPr>
              <w:t>管</w:t>
            </w:r>
          </w:p>
        </w:tc>
        <w:tc>
          <w:tcPr>
            <w:tcW w:w="992" w:type="dxa"/>
            <w:vMerge w:val="restart"/>
            <w:vAlign w:val="center"/>
          </w:tcPr>
          <w:p>
            <w:pPr>
              <w:jc w:val="center"/>
              <w:rPr>
                <w:szCs w:val="20"/>
              </w:rPr>
            </w:pPr>
            <w:r>
              <w:rPr>
                <w:rFonts w:hint="eastAsia"/>
                <w:szCs w:val="20"/>
              </w:rPr>
              <w:t>1点</w:t>
            </w:r>
          </w:p>
        </w:tc>
        <w:tc>
          <w:tcPr>
            <w:tcW w:w="2631" w:type="dxa"/>
            <w:vAlign w:val="center"/>
          </w:tcPr>
          <w:p>
            <w:pPr>
              <w:jc w:val="center"/>
              <w:rPr>
                <w:szCs w:val="20"/>
              </w:rPr>
            </w:pPr>
            <w:r>
              <w:rPr>
                <w:rFonts w:hint="eastAsia"/>
                <w:szCs w:val="20"/>
              </w:rPr>
              <w:t>用经纬仪</w:t>
            </w:r>
            <w:r>
              <w:rPr>
                <w:szCs w:val="20"/>
              </w:rPr>
              <w:t>测量或</w:t>
            </w:r>
          </w:p>
          <w:p>
            <w:pPr>
              <w:jc w:val="center"/>
              <w:rPr>
                <w:szCs w:val="20"/>
              </w:rPr>
            </w:pPr>
            <w:r>
              <w:rPr>
                <w:szCs w:val="20"/>
              </w:rPr>
              <w:t>挂中线用</w:t>
            </w:r>
            <w:r>
              <w:rPr>
                <w:rFonts w:hint="eastAsia"/>
                <w:szCs w:val="20"/>
              </w:rPr>
              <w:t>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restart"/>
            <w:vAlign w:val="center"/>
          </w:tcPr>
          <w:p>
            <w:pPr>
              <w:jc w:val="center"/>
              <w:rPr>
                <w:szCs w:val="20"/>
              </w:rPr>
            </w:pPr>
          </w:p>
          <w:p>
            <w:pPr>
              <w:jc w:val="center"/>
              <w:rPr>
                <w:szCs w:val="20"/>
              </w:rPr>
            </w:pPr>
            <w:r>
              <w:rPr>
                <w:rFonts w:hint="eastAsia"/>
                <w:szCs w:val="20"/>
              </w:rPr>
              <w:t>2</w:t>
            </w:r>
          </w:p>
        </w:tc>
        <w:tc>
          <w:tcPr>
            <w:tcW w:w="912" w:type="dxa"/>
            <w:vMerge w:val="restart"/>
            <w:vAlign w:val="center"/>
          </w:tcPr>
          <w:p>
            <w:pPr>
              <w:jc w:val="center"/>
              <w:rPr>
                <w:szCs w:val="20"/>
              </w:rPr>
            </w:pPr>
            <w:r>
              <w:rPr>
                <w:rFonts w:hint="eastAsia"/>
                <w:szCs w:val="20"/>
              </w:rPr>
              <w:t>管道内</w:t>
            </w:r>
            <w:r>
              <w:rPr>
                <w:szCs w:val="20"/>
              </w:rPr>
              <w:t>底</w:t>
            </w:r>
            <w:r>
              <w:rPr>
                <w:rFonts w:hint="eastAsia"/>
                <w:szCs w:val="20"/>
              </w:rPr>
              <w:t>高</w:t>
            </w:r>
            <w:r>
              <w:rPr>
                <w:szCs w:val="20"/>
              </w:rPr>
              <w:t>程</w:t>
            </w:r>
          </w:p>
        </w:tc>
        <w:tc>
          <w:tcPr>
            <w:tcW w:w="1200" w:type="dxa"/>
            <w:vAlign w:val="center"/>
          </w:tcPr>
          <w:p>
            <w:pPr>
              <w:jc w:val="center"/>
              <w:rPr>
                <w:szCs w:val="20"/>
              </w:rPr>
            </w:pPr>
            <w:r>
              <w:rPr>
                <w:rFonts w:hint="eastAsia"/>
                <w:szCs w:val="20"/>
              </w:rPr>
              <w:t>D＜1500</w:t>
            </w:r>
          </w:p>
        </w:tc>
        <w:tc>
          <w:tcPr>
            <w:tcW w:w="1007" w:type="dxa"/>
            <w:vAlign w:val="center"/>
          </w:tcPr>
          <w:p>
            <w:pPr>
              <w:jc w:val="center"/>
              <w:rPr>
                <w:szCs w:val="20"/>
              </w:rPr>
            </w:pPr>
            <w:r>
              <w:rPr>
                <w:rFonts w:hint="eastAsia"/>
                <w:szCs w:val="20"/>
              </w:rPr>
              <w:t>40</w:t>
            </w:r>
          </w:p>
        </w:tc>
        <w:tc>
          <w:tcPr>
            <w:tcW w:w="992" w:type="dxa"/>
            <w:vMerge w:val="continue"/>
            <w:vAlign w:val="center"/>
          </w:tcPr>
          <w:p>
            <w:pPr>
              <w:jc w:val="center"/>
              <w:rPr>
                <w:szCs w:val="20"/>
              </w:rPr>
            </w:pPr>
          </w:p>
        </w:tc>
        <w:tc>
          <w:tcPr>
            <w:tcW w:w="992" w:type="dxa"/>
            <w:vMerge w:val="continue"/>
            <w:vAlign w:val="center"/>
          </w:tcPr>
          <w:p>
            <w:pPr>
              <w:jc w:val="center"/>
              <w:rPr>
                <w:szCs w:val="20"/>
              </w:rPr>
            </w:pPr>
          </w:p>
        </w:tc>
        <w:tc>
          <w:tcPr>
            <w:tcW w:w="2631" w:type="dxa"/>
            <w:vMerge w:val="restart"/>
            <w:vAlign w:val="center"/>
          </w:tcPr>
          <w:p>
            <w:pPr>
              <w:jc w:val="center"/>
              <w:rPr>
                <w:szCs w:val="20"/>
              </w:rPr>
            </w:pPr>
          </w:p>
          <w:p>
            <w:pPr>
              <w:jc w:val="center"/>
              <w:rPr>
                <w:szCs w:val="20"/>
              </w:rPr>
            </w:pPr>
            <w:r>
              <w:rPr>
                <w:rFonts w:hint="eastAsia"/>
                <w:szCs w:val="20"/>
              </w:rPr>
              <w:t>用</w:t>
            </w:r>
            <w:r>
              <w:rPr>
                <w:szCs w:val="20"/>
              </w:rPr>
              <w:t>水准仪检测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vAlign w:val="center"/>
          </w:tcPr>
          <w:p>
            <w:pPr>
              <w:jc w:val="center"/>
              <w:rPr>
                <w:szCs w:val="20"/>
              </w:rPr>
            </w:pPr>
          </w:p>
        </w:tc>
        <w:tc>
          <w:tcPr>
            <w:tcW w:w="912" w:type="dxa"/>
            <w:vMerge w:val="continue"/>
            <w:vAlign w:val="center"/>
          </w:tcPr>
          <w:p>
            <w:pPr>
              <w:jc w:val="center"/>
              <w:rPr>
                <w:szCs w:val="20"/>
              </w:rPr>
            </w:pPr>
          </w:p>
        </w:tc>
        <w:tc>
          <w:tcPr>
            <w:tcW w:w="1200" w:type="dxa"/>
            <w:vAlign w:val="center"/>
          </w:tcPr>
          <w:p>
            <w:pPr>
              <w:jc w:val="center"/>
              <w:rPr>
                <w:szCs w:val="20"/>
              </w:rPr>
            </w:pPr>
            <w:r>
              <w:rPr>
                <w:rFonts w:hint="eastAsia"/>
                <w:szCs w:val="20"/>
              </w:rPr>
              <w:t>D≥1500</w:t>
            </w:r>
          </w:p>
        </w:tc>
        <w:tc>
          <w:tcPr>
            <w:tcW w:w="1007" w:type="dxa"/>
            <w:vAlign w:val="center"/>
          </w:tcPr>
          <w:p>
            <w:pPr>
              <w:jc w:val="center"/>
              <w:rPr>
                <w:szCs w:val="20"/>
              </w:rPr>
            </w:pPr>
            <w:r>
              <w:rPr>
                <w:rFonts w:hint="eastAsia"/>
                <w:szCs w:val="20"/>
              </w:rPr>
              <w:t>60</w:t>
            </w:r>
          </w:p>
        </w:tc>
        <w:tc>
          <w:tcPr>
            <w:tcW w:w="992" w:type="dxa"/>
            <w:vMerge w:val="continue"/>
            <w:vAlign w:val="center"/>
          </w:tcPr>
          <w:p>
            <w:pPr>
              <w:jc w:val="center"/>
              <w:rPr>
                <w:szCs w:val="20"/>
              </w:rPr>
            </w:pPr>
          </w:p>
        </w:tc>
        <w:tc>
          <w:tcPr>
            <w:tcW w:w="992" w:type="dxa"/>
            <w:vMerge w:val="continue"/>
            <w:vAlign w:val="center"/>
          </w:tcPr>
          <w:p>
            <w:pPr>
              <w:jc w:val="center"/>
              <w:rPr>
                <w:szCs w:val="20"/>
              </w:rPr>
            </w:pPr>
          </w:p>
        </w:tc>
        <w:tc>
          <w:tcPr>
            <w:tcW w:w="2631" w:type="dxa"/>
            <w:vMerge w:val="continue"/>
            <w:vAlign w:val="center"/>
          </w:tcPr>
          <w:p>
            <w:pPr>
              <w:jc w:val="cente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szCs w:val="20"/>
              </w:rPr>
            </w:pPr>
            <w:r>
              <w:rPr>
                <w:rFonts w:hint="eastAsia"/>
                <w:szCs w:val="20"/>
              </w:rPr>
              <w:t>3</w:t>
            </w:r>
          </w:p>
        </w:tc>
        <w:tc>
          <w:tcPr>
            <w:tcW w:w="2112" w:type="dxa"/>
            <w:gridSpan w:val="2"/>
            <w:vAlign w:val="center"/>
          </w:tcPr>
          <w:p>
            <w:pPr>
              <w:jc w:val="center"/>
              <w:rPr>
                <w:szCs w:val="20"/>
              </w:rPr>
            </w:pPr>
            <w:r>
              <w:rPr>
                <w:rFonts w:hint="eastAsia"/>
                <w:szCs w:val="20"/>
              </w:rPr>
              <w:t>相邻</w:t>
            </w:r>
            <w:r>
              <w:rPr>
                <w:szCs w:val="20"/>
              </w:rPr>
              <w:t>管</w:t>
            </w:r>
            <w:r>
              <w:rPr>
                <w:rFonts w:hint="eastAsia"/>
                <w:szCs w:val="20"/>
              </w:rPr>
              <w:t>间</w:t>
            </w:r>
            <w:r>
              <w:rPr>
                <w:szCs w:val="20"/>
              </w:rPr>
              <w:t>错口</w:t>
            </w:r>
          </w:p>
        </w:tc>
        <w:tc>
          <w:tcPr>
            <w:tcW w:w="1007" w:type="dxa"/>
            <w:vAlign w:val="center"/>
          </w:tcPr>
          <w:p>
            <w:pPr>
              <w:jc w:val="center"/>
              <w:rPr>
                <w:szCs w:val="20"/>
              </w:rPr>
            </w:pPr>
            <w:r>
              <w:rPr>
                <w:rFonts w:hint="eastAsia"/>
                <w:szCs w:val="20"/>
              </w:rPr>
              <w:t>≤2</w:t>
            </w:r>
          </w:p>
        </w:tc>
        <w:tc>
          <w:tcPr>
            <w:tcW w:w="992" w:type="dxa"/>
            <w:vMerge w:val="continue"/>
            <w:vAlign w:val="center"/>
          </w:tcPr>
          <w:p>
            <w:pPr>
              <w:jc w:val="center"/>
              <w:rPr>
                <w:szCs w:val="20"/>
              </w:rPr>
            </w:pPr>
          </w:p>
        </w:tc>
        <w:tc>
          <w:tcPr>
            <w:tcW w:w="992" w:type="dxa"/>
            <w:vMerge w:val="continue"/>
            <w:vAlign w:val="center"/>
          </w:tcPr>
          <w:p>
            <w:pPr>
              <w:jc w:val="center"/>
              <w:rPr>
                <w:szCs w:val="20"/>
              </w:rPr>
            </w:pPr>
          </w:p>
        </w:tc>
        <w:tc>
          <w:tcPr>
            <w:tcW w:w="2631" w:type="dxa"/>
            <w:vAlign w:val="center"/>
          </w:tcPr>
          <w:p>
            <w:pPr>
              <w:jc w:val="center"/>
              <w:rPr>
                <w:szCs w:val="20"/>
              </w:rPr>
            </w:pPr>
            <w:r>
              <w:rPr>
                <w:rFonts w:hint="eastAsia"/>
                <w:szCs w:val="20"/>
              </w:rPr>
              <w:t>用</w:t>
            </w:r>
            <w:r>
              <w:rPr>
                <w:szCs w:val="20"/>
              </w:rPr>
              <w:t>钢尺量测</w:t>
            </w:r>
          </w:p>
        </w:tc>
      </w:tr>
    </w:tbl>
    <w:p>
      <w:pPr>
        <w:ind w:left="720" w:hanging="720" w:hangingChars="400"/>
        <w:jc w:val="left"/>
        <w:rPr>
          <w:sz w:val="18"/>
          <w:szCs w:val="21"/>
        </w:rPr>
      </w:pPr>
      <w:r>
        <w:rPr>
          <w:rFonts w:hint="eastAsia"/>
          <w:sz w:val="18"/>
          <w:szCs w:val="21"/>
        </w:rPr>
        <w:t>注：1  D为管道内径（mm）</w:t>
      </w:r>
    </w:p>
    <w:p>
      <w:pPr>
        <w:ind w:left="720" w:hanging="720" w:hangingChars="400"/>
        <w:jc w:val="left"/>
        <w:rPr>
          <w:sz w:val="18"/>
          <w:szCs w:val="21"/>
        </w:rPr>
      </w:pPr>
      <w:r>
        <w:rPr>
          <w:rFonts w:hint="eastAsia"/>
          <w:sz w:val="18"/>
          <w:szCs w:val="21"/>
        </w:rPr>
        <w:t xml:space="preserve">    2  D≤700mm时，检查项目1和2可直接测量管道两端，检查项目3可检查施工记录。</w:t>
      </w:r>
    </w:p>
    <w:p>
      <w:pPr>
        <w:spacing w:before="156" w:beforeLines="50" w:after="156" w:afterLines="50" w:line="440" w:lineRule="exact"/>
        <w:jc w:val="center"/>
        <w:outlineLvl w:val="1"/>
        <w:rPr>
          <w:rFonts w:eastAsia="黑体"/>
          <w:sz w:val="24"/>
        </w:rPr>
      </w:pPr>
      <w:bookmarkStart w:id="146" w:name="_Toc103257203"/>
      <w:bookmarkStart w:id="147" w:name="_Toc386"/>
      <w:bookmarkStart w:id="148" w:name="_Toc9115"/>
      <w:r>
        <w:rPr>
          <w:rFonts w:hint="eastAsia" w:eastAsia="黑体"/>
          <w:sz w:val="24"/>
        </w:rPr>
        <w:t>10.5  管幕</w:t>
      </w:r>
      <w:bookmarkStart w:id="149" w:name="_Hlk103463919"/>
      <w:r>
        <w:rPr>
          <w:rFonts w:hint="eastAsia" w:eastAsia="黑体"/>
          <w:sz w:val="24"/>
        </w:rPr>
        <w:t>钢管钻进顶管法</w:t>
      </w:r>
      <w:bookmarkEnd w:id="149"/>
      <w:r>
        <w:rPr>
          <w:rFonts w:hint="eastAsia" w:eastAsia="黑体"/>
          <w:sz w:val="24"/>
        </w:rPr>
        <w:t>施工</w:t>
      </w:r>
      <w:bookmarkEnd w:id="146"/>
      <w:bookmarkEnd w:id="147"/>
      <w:bookmarkEnd w:id="148"/>
    </w:p>
    <w:p>
      <w:pPr>
        <w:spacing w:before="156" w:beforeLines="50" w:after="156" w:afterLines="50"/>
        <w:jc w:val="center"/>
        <w:rPr>
          <w:sz w:val="24"/>
        </w:rPr>
      </w:pPr>
      <w:r>
        <w:rPr>
          <w:rFonts w:hint="eastAsia"/>
          <w:sz w:val="24"/>
        </w:rPr>
        <w:t>Ⅰ  主控项目</w:t>
      </w:r>
    </w:p>
    <w:p>
      <w:pPr>
        <w:spacing w:line="440" w:lineRule="exact"/>
        <w:rPr>
          <w:sz w:val="24"/>
        </w:rPr>
      </w:pPr>
      <w:bookmarkStart w:id="150" w:name="_Hlk103437554"/>
      <w:r>
        <w:rPr>
          <w:rFonts w:hint="eastAsia"/>
          <w:b/>
          <w:bCs/>
          <w:sz w:val="24"/>
        </w:rPr>
        <w:t>10.</w:t>
      </w:r>
      <w:r>
        <w:rPr>
          <w:b/>
          <w:bCs/>
          <w:sz w:val="24"/>
        </w:rPr>
        <w:t>5.1</w:t>
      </w:r>
      <w:r>
        <w:rPr>
          <w:rFonts w:hint="eastAsia"/>
          <w:b/>
          <w:bCs/>
          <w:sz w:val="24"/>
        </w:rPr>
        <w:t xml:space="preserve"> </w:t>
      </w:r>
      <w:r>
        <w:rPr>
          <w:rFonts w:hint="eastAsia"/>
          <w:sz w:val="24"/>
        </w:rPr>
        <w:t xml:space="preserve"> 管幕钢管对接焊缝等级应为二级焊缝、锁扣与钢管之间焊缝等级可为三级焊缝。二级焊缝应进行内部缺陷的无损检测，焊缝质量等级和检测应符合《钢结构工程施工质量验收标准》GB50205的规定。</w:t>
      </w:r>
    </w:p>
    <w:p>
      <w:pPr>
        <w:spacing w:line="440" w:lineRule="exact"/>
        <w:ind w:firstLine="480" w:firstLineChars="200"/>
        <w:rPr>
          <w:sz w:val="24"/>
        </w:rPr>
      </w:pPr>
      <w:r>
        <w:rPr>
          <w:rFonts w:hint="eastAsia"/>
          <w:sz w:val="24"/>
        </w:rPr>
        <w:t>检验数量：焊缝总长的20%。</w:t>
      </w:r>
    </w:p>
    <w:p>
      <w:pPr>
        <w:spacing w:line="440" w:lineRule="exact"/>
        <w:ind w:firstLine="480" w:firstLineChars="200"/>
        <w:rPr>
          <w:sz w:val="24"/>
        </w:rPr>
      </w:pPr>
      <w:r>
        <w:rPr>
          <w:rFonts w:hint="eastAsia"/>
          <w:sz w:val="24"/>
        </w:rPr>
        <w:t>检验方法：检查超声波或射线探伤记录。</w:t>
      </w:r>
    </w:p>
    <w:p>
      <w:pPr>
        <w:spacing w:line="440" w:lineRule="exact"/>
        <w:rPr>
          <w:sz w:val="24"/>
        </w:rPr>
      </w:pPr>
      <w:r>
        <w:rPr>
          <w:rFonts w:hint="eastAsia"/>
          <w:b/>
          <w:bCs/>
          <w:sz w:val="24"/>
        </w:rPr>
        <w:t>10.5.</w:t>
      </w:r>
      <w:r>
        <w:rPr>
          <w:b/>
          <w:bCs/>
          <w:sz w:val="24"/>
        </w:rPr>
        <w:t>2</w:t>
      </w:r>
      <w:r>
        <w:rPr>
          <w:rFonts w:hint="eastAsia"/>
          <w:sz w:val="24"/>
        </w:rPr>
        <w:t xml:space="preserve">  顶入后的管幕钢管的高程不应侵入下部结构界限。</w:t>
      </w:r>
    </w:p>
    <w:bookmarkEnd w:id="150"/>
    <w:p>
      <w:pPr>
        <w:spacing w:line="440" w:lineRule="exact"/>
        <w:ind w:firstLine="480" w:firstLineChars="200"/>
        <w:rPr>
          <w:sz w:val="24"/>
        </w:rPr>
      </w:pPr>
      <w:r>
        <w:rPr>
          <w:rFonts w:hint="eastAsia"/>
          <w:sz w:val="24"/>
        </w:rPr>
        <w:t>检验数量：全数检查。</w:t>
      </w:r>
    </w:p>
    <w:p>
      <w:pPr>
        <w:spacing w:line="440" w:lineRule="exact"/>
        <w:ind w:firstLine="480" w:firstLineChars="200"/>
        <w:rPr>
          <w:sz w:val="24"/>
        </w:rPr>
      </w:pPr>
      <w:r>
        <w:rPr>
          <w:rFonts w:hint="eastAsia"/>
          <w:sz w:val="24"/>
        </w:rPr>
        <w:t>检验方法：逐根检查，全站仪量测。</w:t>
      </w:r>
    </w:p>
    <w:p>
      <w:pPr>
        <w:spacing w:line="440" w:lineRule="exact"/>
        <w:rPr>
          <w:sz w:val="24"/>
        </w:rPr>
      </w:pPr>
      <w:r>
        <w:rPr>
          <w:rFonts w:hint="eastAsia"/>
          <w:b/>
          <w:bCs/>
          <w:sz w:val="24"/>
        </w:rPr>
        <w:t>1</w:t>
      </w:r>
      <w:r>
        <w:rPr>
          <w:b/>
          <w:bCs/>
          <w:sz w:val="24"/>
        </w:rPr>
        <w:t xml:space="preserve">0.5.3  </w:t>
      </w:r>
      <w:r>
        <w:rPr>
          <w:rFonts w:hint="eastAsia"/>
          <w:sz w:val="24"/>
        </w:rPr>
        <w:t>管幕附件（锁扣、注浆管等）应随钢管同步连接，钢管间锁扣应有效互锁。</w:t>
      </w:r>
    </w:p>
    <w:p>
      <w:pPr>
        <w:spacing w:line="440" w:lineRule="exact"/>
        <w:ind w:firstLine="480" w:firstLineChars="200"/>
        <w:rPr>
          <w:sz w:val="24"/>
        </w:rPr>
      </w:pPr>
      <w:r>
        <w:rPr>
          <w:rFonts w:hint="eastAsia"/>
          <w:sz w:val="24"/>
        </w:rPr>
        <w:t>检验数量：全数检查。</w:t>
      </w:r>
    </w:p>
    <w:p>
      <w:pPr>
        <w:spacing w:line="440" w:lineRule="exact"/>
        <w:ind w:firstLine="480" w:firstLineChars="200"/>
      </w:pPr>
      <w:r>
        <w:rPr>
          <w:rFonts w:hint="eastAsia"/>
          <w:sz w:val="24"/>
        </w:rPr>
        <w:t>检验方法：观察检查。</w:t>
      </w:r>
    </w:p>
    <w:p>
      <w:pPr>
        <w:spacing w:line="440" w:lineRule="exact"/>
        <w:rPr>
          <w:sz w:val="24"/>
        </w:rPr>
      </w:pPr>
      <w:r>
        <w:rPr>
          <w:rFonts w:hint="eastAsia"/>
          <w:b/>
          <w:bCs/>
          <w:sz w:val="24"/>
        </w:rPr>
        <w:t>10.5.</w:t>
      </w:r>
      <w:r>
        <w:rPr>
          <w:b/>
          <w:bCs/>
          <w:sz w:val="24"/>
        </w:rPr>
        <w:t>4</w:t>
      </w:r>
      <w:r>
        <w:rPr>
          <w:rFonts w:hint="eastAsia"/>
          <w:sz w:val="24"/>
        </w:rPr>
        <w:t xml:space="preserve">  管幕接管精度应符合设计文件规定，相邻管壁错位允许偏差应在0</w:t>
      </w:r>
      <w:r>
        <w:rPr>
          <w:sz w:val="24"/>
        </w:rPr>
        <w:t>.2</w:t>
      </w:r>
      <w:r>
        <w:rPr>
          <w:rFonts w:hint="eastAsia"/>
          <w:sz w:val="24"/>
        </w:rPr>
        <w:t>倍壁厚以内，且不应大于2mm。</w:t>
      </w:r>
    </w:p>
    <w:p>
      <w:pPr>
        <w:spacing w:line="440" w:lineRule="exact"/>
        <w:ind w:firstLine="480" w:firstLineChars="200"/>
        <w:rPr>
          <w:sz w:val="24"/>
        </w:rPr>
      </w:pPr>
      <w:r>
        <w:rPr>
          <w:rFonts w:hint="eastAsia"/>
          <w:sz w:val="24"/>
        </w:rPr>
        <w:t>检验数量：全数检查。</w:t>
      </w:r>
    </w:p>
    <w:p>
      <w:pPr>
        <w:spacing w:line="440" w:lineRule="exact"/>
        <w:ind w:firstLine="480" w:firstLineChars="200"/>
        <w:rPr>
          <w:sz w:val="24"/>
        </w:rPr>
      </w:pPr>
      <w:r>
        <w:rPr>
          <w:rFonts w:hint="eastAsia"/>
          <w:sz w:val="24"/>
        </w:rPr>
        <w:t>检验方法：水平尺、靠尺和地质罗盘检查，观察检查，检查焊接检验报告。</w:t>
      </w:r>
    </w:p>
    <w:p>
      <w:pPr>
        <w:spacing w:line="440" w:lineRule="exact"/>
        <w:rPr>
          <w:sz w:val="24"/>
        </w:rPr>
      </w:pPr>
      <w:r>
        <w:rPr>
          <w:rFonts w:hint="eastAsia"/>
          <w:b/>
          <w:bCs/>
          <w:sz w:val="24"/>
        </w:rPr>
        <w:t>10.5.</w:t>
      </w:r>
      <w:r>
        <w:rPr>
          <w:b/>
          <w:bCs/>
          <w:sz w:val="24"/>
        </w:rPr>
        <w:t>5</w:t>
      </w:r>
      <w:r>
        <w:rPr>
          <w:rFonts w:hint="eastAsia"/>
          <w:sz w:val="24"/>
        </w:rPr>
        <w:t xml:space="preserve">  单根管幕顶进完成后应及时与工作井或洞室初支临时开口有效连接，并应符合设计文件文件规定。</w:t>
      </w:r>
    </w:p>
    <w:p>
      <w:pPr>
        <w:spacing w:line="440" w:lineRule="exact"/>
        <w:ind w:firstLine="480" w:firstLineChars="200"/>
        <w:rPr>
          <w:sz w:val="24"/>
        </w:rPr>
      </w:pPr>
      <w:r>
        <w:rPr>
          <w:rFonts w:hint="eastAsia"/>
          <w:sz w:val="24"/>
        </w:rPr>
        <w:t>检验数量：全数检查。</w:t>
      </w:r>
    </w:p>
    <w:p>
      <w:pPr>
        <w:spacing w:line="440" w:lineRule="exact"/>
        <w:ind w:firstLine="480" w:firstLineChars="200"/>
        <w:rPr>
          <w:sz w:val="24"/>
        </w:rPr>
      </w:pPr>
      <w:r>
        <w:rPr>
          <w:rFonts w:hint="eastAsia"/>
          <w:sz w:val="24"/>
        </w:rPr>
        <w:t>检验方法：观察检查。</w:t>
      </w:r>
    </w:p>
    <w:p>
      <w:pPr>
        <w:spacing w:line="440" w:lineRule="exact"/>
        <w:rPr>
          <w:sz w:val="24"/>
        </w:rPr>
      </w:pPr>
      <w:r>
        <w:rPr>
          <w:rFonts w:hint="eastAsia"/>
          <w:b/>
          <w:bCs/>
          <w:sz w:val="24"/>
        </w:rPr>
        <w:t>10.5.</w:t>
      </w:r>
      <w:r>
        <w:rPr>
          <w:b/>
          <w:bCs/>
          <w:sz w:val="24"/>
        </w:rPr>
        <w:t>6</w:t>
      </w:r>
      <w:r>
        <w:rPr>
          <w:rFonts w:hint="eastAsia"/>
          <w:sz w:val="24"/>
        </w:rPr>
        <w:t xml:space="preserve">  管幕结构与下部暗挖法受力拱架的连接方法应符合设计文件文件规定。</w:t>
      </w:r>
    </w:p>
    <w:p>
      <w:pPr>
        <w:spacing w:line="440" w:lineRule="exact"/>
        <w:ind w:firstLine="480" w:firstLineChars="200"/>
        <w:rPr>
          <w:sz w:val="24"/>
        </w:rPr>
      </w:pPr>
      <w:r>
        <w:rPr>
          <w:rFonts w:hint="eastAsia"/>
          <w:sz w:val="24"/>
        </w:rPr>
        <w:t>检验数量：全数检查。</w:t>
      </w:r>
    </w:p>
    <w:p>
      <w:pPr>
        <w:spacing w:line="440" w:lineRule="exact"/>
        <w:ind w:firstLine="480" w:firstLineChars="200"/>
        <w:rPr>
          <w:sz w:val="24"/>
        </w:rPr>
      </w:pPr>
      <w:r>
        <w:rPr>
          <w:rFonts w:hint="eastAsia"/>
          <w:sz w:val="24"/>
        </w:rPr>
        <w:t>检验方法：观察检查，钢尺量测。</w:t>
      </w:r>
    </w:p>
    <w:p>
      <w:pPr>
        <w:spacing w:before="156" w:beforeLines="50" w:after="156" w:afterLines="50"/>
        <w:jc w:val="center"/>
        <w:rPr>
          <w:sz w:val="18"/>
          <w:szCs w:val="18"/>
        </w:rPr>
      </w:pPr>
      <w:r>
        <w:rPr>
          <w:rFonts w:hint="eastAsia"/>
          <w:sz w:val="24"/>
        </w:rPr>
        <w:t>Ⅱ  一般项目</w:t>
      </w:r>
    </w:p>
    <w:p>
      <w:pPr>
        <w:spacing w:line="440" w:lineRule="exact"/>
        <w:rPr>
          <w:sz w:val="24"/>
        </w:rPr>
      </w:pPr>
      <w:r>
        <w:rPr>
          <w:rFonts w:hint="eastAsia"/>
          <w:b/>
          <w:bCs/>
          <w:sz w:val="24"/>
        </w:rPr>
        <w:t>10.5.</w:t>
      </w:r>
      <w:r>
        <w:rPr>
          <w:b/>
          <w:bCs/>
          <w:sz w:val="24"/>
        </w:rPr>
        <w:t>7</w:t>
      </w:r>
      <w:r>
        <w:rPr>
          <w:rFonts w:hint="eastAsia"/>
          <w:sz w:val="24"/>
        </w:rPr>
        <w:t xml:space="preserve">  管幕的轴线应符合设计文件规定，水平方向允许偏差应为±5</w:t>
      </w:r>
      <w:r>
        <w:rPr>
          <w:sz w:val="24"/>
        </w:rPr>
        <w:t>0</w:t>
      </w:r>
      <w:r>
        <w:rPr>
          <w:rFonts w:hint="eastAsia"/>
          <w:sz w:val="24"/>
        </w:rPr>
        <w:t>mm，高程允许偏差应为0，+</w:t>
      </w:r>
      <w:r>
        <w:rPr>
          <w:sz w:val="24"/>
        </w:rPr>
        <w:t>30</w:t>
      </w:r>
      <w:r>
        <w:rPr>
          <w:rFonts w:hint="eastAsia"/>
          <w:sz w:val="24"/>
        </w:rPr>
        <w:t>mm。</w:t>
      </w:r>
    </w:p>
    <w:p>
      <w:pPr>
        <w:spacing w:line="440" w:lineRule="exact"/>
        <w:rPr>
          <w:sz w:val="24"/>
        </w:rPr>
      </w:pPr>
      <w:r>
        <w:rPr>
          <w:rFonts w:hint="eastAsia"/>
          <w:b/>
          <w:bCs/>
          <w:sz w:val="24"/>
        </w:rPr>
        <w:t>10.5.</w:t>
      </w:r>
      <w:r>
        <w:rPr>
          <w:b/>
          <w:bCs/>
          <w:sz w:val="24"/>
        </w:rPr>
        <w:t>8</w:t>
      </w:r>
      <w:r>
        <w:rPr>
          <w:rFonts w:hint="eastAsia"/>
          <w:b/>
          <w:bCs/>
          <w:sz w:val="24"/>
        </w:rPr>
        <w:t xml:space="preserve"> </w:t>
      </w:r>
      <w:r>
        <w:rPr>
          <w:rFonts w:hint="eastAsia"/>
          <w:sz w:val="24"/>
        </w:rPr>
        <w:t xml:space="preserve"> 管幕顶进法钢管的允许偏差、</w:t>
      </w:r>
      <w:bookmarkStart w:id="151" w:name="_Hlk103437979"/>
      <w:r>
        <w:rPr>
          <w:rFonts w:hint="eastAsia"/>
          <w:sz w:val="24"/>
        </w:rPr>
        <w:t>检验方法和检验数量</w:t>
      </w:r>
      <w:bookmarkEnd w:id="151"/>
      <w:r>
        <w:rPr>
          <w:rFonts w:hint="eastAsia"/>
          <w:sz w:val="24"/>
        </w:rPr>
        <w:t>宜符合表10.</w:t>
      </w:r>
      <w:r>
        <w:rPr>
          <w:sz w:val="24"/>
        </w:rPr>
        <w:t>5.8</w:t>
      </w:r>
      <w:r>
        <w:rPr>
          <w:rFonts w:hint="eastAsia"/>
          <w:sz w:val="24"/>
        </w:rPr>
        <w:t>的规定。</w:t>
      </w:r>
    </w:p>
    <w:p>
      <w:pPr>
        <w:spacing w:before="156" w:beforeLines="50"/>
        <w:jc w:val="center"/>
        <w:rPr>
          <w:rFonts w:eastAsia="黑体"/>
          <w:bCs/>
          <w:kern w:val="0"/>
          <w:szCs w:val="21"/>
        </w:rPr>
      </w:pPr>
      <w:r>
        <w:rPr>
          <w:rFonts w:hint="eastAsia" w:eastAsia="黑体"/>
          <w:bCs/>
          <w:kern w:val="0"/>
          <w:szCs w:val="21"/>
        </w:rPr>
        <w:t>表10.</w:t>
      </w:r>
      <w:r>
        <w:rPr>
          <w:rFonts w:eastAsia="黑体"/>
          <w:bCs/>
          <w:kern w:val="0"/>
          <w:szCs w:val="21"/>
        </w:rPr>
        <w:t>5.8</w:t>
      </w:r>
      <w:r>
        <w:rPr>
          <w:rFonts w:hint="eastAsia" w:eastAsia="黑体"/>
          <w:bCs/>
          <w:kern w:val="0"/>
          <w:szCs w:val="21"/>
        </w:rPr>
        <w:t xml:space="preserve">  管幕顶进法施工的允许偏差、检验方法和检验数量</w:t>
      </w:r>
    </w:p>
    <w:tbl>
      <w:tblPr>
        <w:tblStyle w:val="1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843"/>
        <w:gridCol w:w="1335"/>
        <w:gridCol w:w="1455"/>
        <w:gridCol w:w="1980"/>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599" w:type="dxa"/>
            <w:gridSpan w:val="3"/>
            <w:vAlign w:val="center"/>
          </w:tcPr>
          <w:p>
            <w:pPr>
              <w:jc w:val="center"/>
              <w:rPr>
                <w:sz w:val="18"/>
                <w:szCs w:val="18"/>
              </w:rPr>
            </w:pPr>
            <w:r>
              <w:rPr>
                <w:rFonts w:hint="eastAsia"/>
                <w:sz w:val="18"/>
                <w:szCs w:val="18"/>
              </w:rPr>
              <w:t>检查</w:t>
            </w:r>
            <w:r>
              <w:rPr>
                <w:sz w:val="18"/>
                <w:szCs w:val="18"/>
              </w:rPr>
              <w:t>项目</w:t>
            </w:r>
          </w:p>
        </w:tc>
        <w:tc>
          <w:tcPr>
            <w:tcW w:w="1455" w:type="dxa"/>
            <w:vAlign w:val="center"/>
          </w:tcPr>
          <w:p>
            <w:pPr>
              <w:jc w:val="center"/>
              <w:rPr>
                <w:sz w:val="18"/>
                <w:szCs w:val="18"/>
              </w:rPr>
            </w:pPr>
            <w:r>
              <w:rPr>
                <w:rFonts w:hint="eastAsia"/>
                <w:sz w:val="18"/>
                <w:szCs w:val="18"/>
              </w:rPr>
              <w:t>允许</w:t>
            </w:r>
            <w:r>
              <w:rPr>
                <w:sz w:val="18"/>
                <w:szCs w:val="18"/>
              </w:rPr>
              <w:t>偏差（</w:t>
            </w:r>
            <w:r>
              <w:rPr>
                <w:rFonts w:hint="eastAsia"/>
                <w:sz w:val="18"/>
                <w:szCs w:val="18"/>
              </w:rPr>
              <w:t>mm</w:t>
            </w:r>
            <w:r>
              <w:rPr>
                <w:sz w:val="18"/>
                <w:szCs w:val="18"/>
              </w:rPr>
              <w:t>）</w:t>
            </w:r>
          </w:p>
        </w:tc>
        <w:tc>
          <w:tcPr>
            <w:tcW w:w="1980" w:type="dxa"/>
            <w:vAlign w:val="center"/>
          </w:tcPr>
          <w:p>
            <w:pPr>
              <w:jc w:val="center"/>
              <w:rPr>
                <w:sz w:val="18"/>
                <w:szCs w:val="18"/>
              </w:rPr>
            </w:pPr>
            <w:r>
              <w:rPr>
                <w:rFonts w:hint="eastAsia"/>
                <w:sz w:val="18"/>
                <w:szCs w:val="18"/>
              </w:rPr>
              <w:t>检查</w:t>
            </w:r>
            <w:r>
              <w:rPr>
                <w:sz w:val="18"/>
                <w:szCs w:val="18"/>
              </w:rPr>
              <w:t>数量</w:t>
            </w:r>
          </w:p>
        </w:tc>
        <w:tc>
          <w:tcPr>
            <w:tcW w:w="2325" w:type="dxa"/>
            <w:vAlign w:val="center"/>
          </w:tcPr>
          <w:p>
            <w:pPr>
              <w:jc w:val="center"/>
              <w:rPr>
                <w:sz w:val="18"/>
                <w:szCs w:val="18"/>
              </w:rPr>
            </w:pPr>
            <w:r>
              <w:rPr>
                <w:rFonts w:hint="eastAsia"/>
                <w:sz w:val="18"/>
                <w:szCs w:val="18"/>
              </w:rPr>
              <w:t>检查</w:t>
            </w:r>
            <w:r>
              <w:rPr>
                <w:sz w:val="18"/>
                <w:szCs w:val="1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Merge w:val="restart"/>
            <w:vAlign w:val="center"/>
          </w:tcPr>
          <w:p>
            <w:pPr>
              <w:jc w:val="center"/>
              <w:rPr>
                <w:sz w:val="18"/>
                <w:szCs w:val="18"/>
              </w:rPr>
            </w:pPr>
            <w:r>
              <w:rPr>
                <w:rFonts w:hint="eastAsia"/>
                <w:sz w:val="18"/>
                <w:szCs w:val="18"/>
              </w:rPr>
              <w:t>1</w:t>
            </w:r>
          </w:p>
        </w:tc>
        <w:tc>
          <w:tcPr>
            <w:tcW w:w="843" w:type="dxa"/>
            <w:vMerge w:val="restart"/>
            <w:vAlign w:val="center"/>
          </w:tcPr>
          <w:p>
            <w:pPr>
              <w:jc w:val="center"/>
              <w:rPr>
                <w:sz w:val="18"/>
                <w:szCs w:val="18"/>
              </w:rPr>
            </w:pPr>
            <w:r>
              <w:rPr>
                <w:rFonts w:hint="eastAsia"/>
                <w:sz w:val="18"/>
                <w:szCs w:val="18"/>
              </w:rPr>
              <w:t>入土点</w:t>
            </w:r>
            <w:r>
              <w:rPr>
                <w:sz w:val="18"/>
                <w:szCs w:val="18"/>
              </w:rPr>
              <w:t>位置</w:t>
            </w:r>
          </w:p>
        </w:tc>
        <w:tc>
          <w:tcPr>
            <w:tcW w:w="1335" w:type="dxa"/>
            <w:vAlign w:val="center"/>
          </w:tcPr>
          <w:p>
            <w:pPr>
              <w:jc w:val="center"/>
              <w:rPr>
                <w:sz w:val="18"/>
                <w:szCs w:val="18"/>
              </w:rPr>
            </w:pPr>
            <w:r>
              <w:rPr>
                <w:sz w:val="18"/>
                <w:szCs w:val="18"/>
              </w:rPr>
              <w:t>平面横向</w:t>
            </w:r>
          </w:p>
        </w:tc>
        <w:tc>
          <w:tcPr>
            <w:tcW w:w="1455" w:type="dxa"/>
            <w:vAlign w:val="center"/>
          </w:tcPr>
          <w:p>
            <w:pPr>
              <w:jc w:val="center"/>
              <w:rPr>
                <w:sz w:val="18"/>
                <w:szCs w:val="18"/>
              </w:rPr>
            </w:pPr>
            <w:r>
              <w:rPr>
                <w:rFonts w:hint="eastAsia"/>
                <w:sz w:val="18"/>
                <w:szCs w:val="18"/>
              </w:rPr>
              <w:t>20</w:t>
            </w:r>
          </w:p>
        </w:tc>
        <w:tc>
          <w:tcPr>
            <w:tcW w:w="1980" w:type="dxa"/>
            <w:vMerge w:val="restart"/>
            <w:vAlign w:val="center"/>
          </w:tcPr>
          <w:p>
            <w:pPr>
              <w:jc w:val="center"/>
              <w:rPr>
                <w:sz w:val="18"/>
                <w:szCs w:val="18"/>
              </w:rPr>
            </w:pPr>
            <w:r>
              <w:rPr>
                <w:rFonts w:hint="eastAsia"/>
                <w:sz w:val="18"/>
                <w:szCs w:val="18"/>
              </w:rPr>
              <w:t>每根钢管每项检查</w:t>
            </w:r>
            <w:r>
              <w:rPr>
                <w:sz w:val="18"/>
                <w:szCs w:val="18"/>
              </w:rPr>
              <w:t>1</w:t>
            </w:r>
            <w:r>
              <w:rPr>
                <w:rFonts w:hint="eastAsia"/>
                <w:sz w:val="18"/>
                <w:szCs w:val="18"/>
              </w:rPr>
              <w:t>点</w:t>
            </w:r>
          </w:p>
        </w:tc>
        <w:tc>
          <w:tcPr>
            <w:tcW w:w="2325" w:type="dxa"/>
            <w:vMerge w:val="restart"/>
            <w:vAlign w:val="center"/>
          </w:tcPr>
          <w:p>
            <w:pPr>
              <w:jc w:val="left"/>
              <w:rPr>
                <w:sz w:val="18"/>
                <w:szCs w:val="18"/>
              </w:rPr>
            </w:pPr>
            <w:r>
              <w:rPr>
                <w:rFonts w:hint="eastAsia"/>
                <w:sz w:val="18"/>
                <w:szCs w:val="18"/>
              </w:rPr>
              <w:t>用</w:t>
            </w:r>
            <w:r>
              <w:rPr>
                <w:sz w:val="18"/>
                <w:szCs w:val="18"/>
              </w:rPr>
              <w:t>经纬仪、水准仪测量、用钢尺</w:t>
            </w:r>
            <w:r>
              <w:rPr>
                <w:rFonts w:hint="eastAsia"/>
                <w:sz w:val="18"/>
                <w:szCs w:val="18"/>
              </w:rPr>
              <w:t>量</w:t>
            </w:r>
            <w:r>
              <w:rPr>
                <w:sz w:val="18"/>
                <w:szCs w:val="18"/>
              </w:rPr>
              <w:t>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Merge w:val="continue"/>
            <w:vAlign w:val="center"/>
          </w:tcPr>
          <w:p>
            <w:pPr>
              <w:jc w:val="center"/>
              <w:rPr>
                <w:sz w:val="18"/>
                <w:szCs w:val="18"/>
              </w:rPr>
            </w:pPr>
          </w:p>
        </w:tc>
        <w:tc>
          <w:tcPr>
            <w:tcW w:w="843" w:type="dxa"/>
            <w:vMerge w:val="continue"/>
            <w:vAlign w:val="center"/>
          </w:tcPr>
          <w:p>
            <w:pPr>
              <w:jc w:val="center"/>
              <w:rPr>
                <w:sz w:val="18"/>
                <w:szCs w:val="18"/>
              </w:rPr>
            </w:pPr>
          </w:p>
        </w:tc>
        <w:tc>
          <w:tcPr>
            <w:tcW w:w="1335" w:type="dxa"/>
            <w:vAlign w:val="center"/>
          </w:tcPr>
          <w:p>
            <w:pPr>
              <w:jc w:val="center"/>
              <w:rPr>
                <w:sz w:val="18"/>
                <w:szCs w:val="18"/>
              </w:rPr>
            </w:pPr>
            <w:r>
              <w:rPr>
                <w:rFonts w:hint="eastAsia"/>
                <w:sz w:val="18"/>
                <w:szCs w:val="18"/>
              </w:rPr>
              <w:t>垂直</w:t>
            </w:r>
            <w:r>
              <w:rPr>
                <w:sz w:val="18"/>
                <w:szCs w:val="18"/>
              </w:rPr>
              <w:t>向高程</w:t>
            </w:r>
          </w:p>
        </w:tc>
        <w:tc>
          <w:tcPr>
            <w:tcW w:w="1455" w:type="dxa"/>
            <w:vAlign w:val="center"/>
          </w:tcPr>
          <w:p>
            <w:pPr>
              <w:jc w:val="center"/>
              <w:rPr>
                <w:sz w:val="18"/>
                <w:szCs w:val="18"/>
              </w:rPr>
            </w:pPr>
            <w:r>
              <w:rPr>
                <w:rFonts w:hint="eastAsia"/>
                <w:sz w:val="18"/>
                <w:szCs w:val="18"/>
              </w:rPr>
              <w:t>0，</w:t>
            </w:r>
            <w:r>
              <w:rPr>
                <w:sz w:val="18"/>
                <w:szCs w:val="18"/>
              </w:rPr>
              <w:t>5</w:t>
            </w:r>
          </w:p>
        </w:tc>
        <w:tc>
          <w:tcPr>
            <w:tcW w:w="1980" w:type="dxa"/>
            <w:vMerge w:val="continue"/>
            <w:vAlign w:val="center"/>
          </w:tcPr>
          <w:p>
            <w:pPr>
              <w:jc w:val="left"/>
              <w:rPr>
                <w:sz w:val="18"/>
                <w:szCs w:val="18"/>
              </w:rPr>
            </w:pPr>
          </w:p>
        </w:tc>
        <w:tc>
          <w:tcPr>
            <w:tcW w:w="2325" w:type="dxa"/>
            <w:vMerge w:val="continue"/>
            <w:vAlign w:val="center"/>
          </w:tcPr>
          <w:p>
            <w:pPr>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Merge w:val="continue"/>
            <w:vAlign w:val="center"/>
          </w:tcPr>
          <w:p>
            <w:pPr>
              <w:jc w:val="center"/>
              <w:rPr>
                <w:sz w:val="18"/>
                <w:szCs w:val="18"/>
              </w:rPr>
            </w:pPr>
          </w:p>
        </w:tc>
        <w:tc>
          <w:tcPr>
            <w:tcW w:w="843" w:type="dxa"/>
            <w:vMerge w:val="continue"/>
            <w:vAlign w:val="center"/>
          </w:tcPr>
          <w:p>
            <w:pPr>
              <w:jc w:val="center"/>
              <w:rPr>
                <w:sz w:val="18"/>
                <w:szCs w:val="18"/>
              </w:rPr>
            </w:pPr>
          </w:p>
        </w:tc>
        <w:tc>
          <w:tcPr>
            <w:tcW w:w="1335" w:type="dxa"/>
            <w:vAlign w:val="center"/>
          </w:tcPr>
          <w:p>
            <w:pPr>
              <w:jc w:val="center"/>
              <w:rPr>
                <w:sz w:val="18"/>
                <w:szCs w:val="18"/>
              </w:rPr>
            </w:pPr>
            <w:r>
              <w:rPr>
                <w:rFonts w:hint="eastAsia"/>
                <w:sz w:val="18"/>
                <w:szCs w:val="18"/>
              </w:rPr>
              <w:t>预仰角</w:t>
            </w:r>
          </w:p>
        </w:tc>
        <w:tc>
          <w:tcPr>
            <w:tcW w:w="1455" w:type="dxa"/>
            <w:vAlign w:val="center"/>
          </w:tcPr>
          <w:p>
            <w:pPr>
              <w:jc w:val="center"/>
              <w:rPr>
                <w:sz w:val="18"/>
                <w:szCs w:val="18"/>
              </w:rPr>
            </w:pPr>
            <w:r>
              <w:rPr>
                <w:rFonts w:hint="eastAsia"/>
                <w:sz w:val="18"/>
                <w:szCs w:val="18"/>
              </w:rPr>
              <w:t>+</w:t>
            </w:r>
            <w:r>
              <w:rPr>
                <w:sz w:val="18"/>
                <w:szCs w:val="18"/>
              </w:rPr>
              <w:t>0.1</w:t>
            </w:r>
            <w:r>
              <w:rPr>
                <w:rFonts w:hint="eastAsia"/>
                <w:sz w:val="18"/>
                <w:szCs w:val="18"/>
              </w:rPr>
              <w:t>%</w:t>
            </w:r>
            <w:r>
              <w:rPr>
                <w:sz w:val="18"/>
                <w:szCs w:val="18"/>
              </w:rPr>
              <w:t>L</w:t>
            </w:r>
            <w:r>
              <w:rPr>
                <w:rFonts w:hint="eastAsia"/>
                <w:sz w:val="18"/>
                <w:szCs w:val="18"/>
              </w:rPr>
              <w:t>并结合试验数据确定</w:t>
            </w:r>
          </w:p>
        </w:tc>
        <w:tc>
          <w:tcPr>
            <w:tcW w:w="1980" w:type="dxa"/>
            <w:vMerge w:val="continue"/>
            <w:vAlign w:val="center"/>
          </w:tcPr>
          <w:p>
            <w:pPr>
              <w:jc w:val="left"/>
              <w:rPr>
                <w:sz w:val="18"/>
                <w:szCs w:val="18"/>
              </w:rPr>
            </w:pPr>
          </w:p>
        </w:tc>
        <w:tc>
          <w:tcPr>
            <w:tcW w:w="2325" w:type="dxa"/>
            <w:vMerge w:val="continue"/>
            <w:vAlign w:val="center"/>
          </w:tcPr>
          <w:p>
            <w:pPr>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jc w:val="center"/>
              <w:rPr>
                <w:sz w:val="18"/>
                <w:szCs w:val="18"/>
              </w:rPr>
            </w:pPr>
            <w:r>
              <w:rPr>
                <w:rFonts w:hint="eastAsia"/>
                <w:sz w:val="18"/>
                <w:szCs w:val="18"/>
              </w:rPr>
              <w:t>2</w:t>
            </w:r>
          </w:p>
        </w:tc>
        <w:tc>
          <w:tcPr>
            <w:tcW w:w="843" w:type="dxa"/>
            <w:vAlign w:val="center"/>
          </w:tcPr>
          <w:p>
            <w:pPr>
              <w:jc w:val="center"/>
              <w:rPr>
                <w:sz w:val="18"/>
                <w:szCs w:val="18"/>
              </w:rPr>
            </w:pPr>
            <w:r>
              <w:rPr>
                <w:rFonts w:hint="eastAsia"/>
                <w:sz w:val="18"/>
                <w:szCs w:val="18"/>
              </w:rPr>
              <w:t>钢管顶进末端</w:t>
            </w:r>
          </w:p>
        </w:tc>
        <w:tc>
          <w:tcPr>
            <w:tcW w:w="1335" w:type="dxa"/>
            <w:vAlign w:val="center"/>
          </w:tcPr>
          <w:p>
            <w:pPr>
              <w:jc w:val="center"/>
              <w:rPr>
                <w:sz w:val="18"/>
                <w:szCs w:val="18"/>
              </w:rPr>
            </w:pPr>
            <w:r>
              <w:rPr>
                <w:rFonts w:hint="eastAsia"/>
                <w:sz w:val="18"/>
                <w:szCs w:val="18"/>
              </w:rPr>
              <w:t>平面</w:t>
            </w:r>
            <w:r>
              <w:rPr>
                <w:sz w:val="18"/>
                <w:szCs w:val="18"/>
              </w:rPr>
              <w:t>横向</w:t>
            </w:r>
            <w:r>
              <w:rPr>
                <w:rFonts w:hint="eastAsia"/>
                <w:sz w:val="18"/>
                <w:szCs w:val="18"/>
              </w:rPr>
              <w:t>、垂直向高程</w:t>
            </w:r>
          </w:p>
        </w:tc>
        <w:tc>
          <w:tcPr>
            <w:tcW w:w="1455" w:type="dxa"/>
            <w:vAlign w:val="center"/>
          </w:tcPr>
          <w:p>
            <w:pPr>
              <w:jc w:val="center"/>
              <w:rPr>
                <w:sz w:val="18"/>
                <w:szCs w:val="18"/>
              </w:rPr>
            </w:pPr>
            <w:r>
              <w:rPr>
                <w:rFonts w:hint="eastAsia"/>
                <w:sz w:val="18"/>
                <w:szCs w:val="18"/>
              </w:rPr>
              <w:t>+</w:t>
            </w:r>
            <w:r>
              <w:rPr>
                <w:sz w:val="18"/>
                <w:szCs w:val="18"/>
              </w:rPr>
              <w:t>0.3</w:t>
            </w:r>
            <w:r>
              <w:rPr>
                <w:rFonts w:hint="eastAsia"/>
                <w:sz w:val="18"/>
                <w:szCs w:val="18"/>
              </w:rPr>
              <w:t>%</w:t>
            </w:r>
            <w:r>
              <w:rPr>
                <w:sz w:val="18"/>
                <w:szCs w:val="18"/>
              </w:rPr>
              <w:t>L</w:t>
            </w:r>
          </w:p>
        </w:tc>
        <w:tc>
          <w:tcPr>
            <w:tcW w:w="1980" w:type="dxa"/>
            <w:vAlign w:val="center"/>
          </w:tcPr>
          <w:p>
            <w:pPr>
              <w:jc w:val="left"/>
              <w:rPr>
                <w:sz w:val="18"/>
                <w:szCs w:val="18"/>
              </w:rPr>
            </w:pPr>
            <w:r>
              <w:rPr>
                <w:rFonts w:hint="eastAsia"/>
                <w:sz w:val="18"/>
                <w:szCs w:val="18"/>
              </w:rPr>
              <w:t>每根钢管检查</w:t>
            </w:r>
            <w:r>
              <w:rPr>
                <w:sz w:val="18"/>
                <w:szCs w:val="18"/>
              </w:rPr>
              <w:t>1</w:t>
            </w:r>
            <w:r>
              <w:rPr>
                <w:rFonts w:hint="eastAsia"/>
                <w:sz w:val="18"/>
                <w:szCs w:val="18"/>
              </w:rPr>
              <w:t>点</w:t>
            </w:r>
          </w:p>
        </w:tc>
        <w:tc>
          <w:tcPr>
            <w:tcW w:w="2325" w:type="dxa"/>
            <w:vAlign w:val="center"/>
          </w:tcPr>
          <w:p>
            <w:pPr>
              <w:jc w:val="left"/>
              <w:rPr>
                <w:sz w:val="18"/>
                <w:szCs w:val="18"/>
              </w:rPr>
            </w:pPr>
            <w:r>
              <w:rPr>
                <w:rFonts w:hint="eastAsia"/>
                <w:sz w:val="18"/>
                <w:szCs w:val="18"/>
              </w:rPr>
              <w:t>普通管采用激光导向仪+全站仪测量；标准管采用激光导向仪+有线导向仪+全站仪测量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jc w:val="center"/>
              <w:rPr>
                <w:sz w:val="18"/>
                <w:szCs w:val="18"/>
              </w:rPr>
            </w:pPr>
            <w:r>
              <w:rPr>
                <w:rFonts w:hint="eastAsia"/>
                <w:sz w:val="18"/>
                <w:szCs w:val="18"/>
              </w:rPr>
              <w:t>3</w:t>
            </w:r>
          </w:p>
        </w:tc>
        <w:tc>
          <w:tcPr>
            <w:tcW w:w="2178" w:type="dxa"/>
            <w:gridSpan w:val="2"/>
            <w:vAlign w:val="center"/>
          </w:tcPr>
          <w:p>
            <w:pPr>
              <w:jc w:val="center"/>
              <w:rPr>
                <w:sz w:val="18"/>
                <w:szCs w:val="18"/>
              </w:rPr>
            </w:pPr>
            <w:r>
              <w:rPr>
                <w:rFonts w:hint="eastAsia"/>
                <w:sz w:val="18"/>
                <w:szCs w:val="18"/>
              </w:rPr>
              <w:t>相邻钢管错边量</w:t>
            </w:r>
          </w:p>
        </w:tc>
        <w:tc>
          <w:tcPr>
            <w:tcW w:w="1455" w:type="dxa"/>
            <w:vAlign w:val="center"/>
          </w:tcPr>
          <w:p>
            <w:pPr>
              <w:jc w:val="center"/>
              <w:rPr>
                <w:sz w:val="18"/>
                <w:szCs w:val="18"/>
              </w:rPr>
            </w:pPr>
            <w:r>
              <w:rPr>
                <w:rFonts w:hint="eastAsia"/>
                <w:sz w:val="18"/>
                <w:szCs w:val="18"/>
              </w:rPr>
              <w:t>≤</w:t>
            </w:r>
            <w:r>
              <w:rPr>
                <w:sz w:val="18"/>
                <w:szCs w:val="18"/>
              </w:rPr>
              <w:t>2</w:t>
            </w:r>
          </w:p>
        </w:tc>
        <w:tc>
          <w:tcPr>
            <w:tcW w:w="1980" w:type="dxa"/>
            <w:vAlign w:val="center"/>
          </w:tcPr>
          <w:p>
            <w:pPr>
              <w:jc w:val="left"/>
              <w:rPr>
                <w:sz w:val="18"/>
                <w:szCs w:val="18"/>
              </w:rPr>
            </w:pPr>
            <w:r>
              <w:rPr>
                <w:rFonts w:hint="eastAsia"/>
                <w:sz w:val="18"/>
                <w:szCs w:val="18"/>
              </w:rPr>
              <w:t>每个接口沿接口周圈不少于4点</w:t>
            </w:r>
          </w:p>
        </w:tc>
        <w:tc>
          <w:tcPr>
            <w:tcW w:w="2325" w:type="dxa"/>
            <w:vAlign w:val="center"/>
          </w:tcPr>
          <w:p>
            <w:pPr>
              <w:jc w:val="left"/>
              <w:rPr>
                <w:sz w:val="18"/>
                <w:szCs w:val="18"/>
              </w:rPr>
            </w:pPr>
            <w:r>
              <w:rPr>
                <w:rFonts w:hint="eastAsia"/>
                <w:sz w:val="18"/>
                <w:szCs w:val="18"/>
              </w:rPr>
              <w:t>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pPr>
              <w:jc w:val="center"/>
              <w:rPr>
                <w:sz w:val="18"/>
                <w:szCs w:val="18"/>
              </w:rPr>
            </w:pPr>
            <w:r>
              <w:rPr>
                <w:sz w:val="18"/>
                <w:szCs w:val="18"/>
              </w:rPr>
              <w:t>4</w:t>
            </w:r>
          </w:p>
        </w:tc>
        <w:tc>
          <w:tcPr>
            <w:tcW w:w="2178" w:type="dxa"/>
            <w:gridSpan w:val="2"/>
            <w:vAlign w:val="center"/>
          </w:tcPr>
          <w:p>
            <w:pPr>
              <w:jc w:val="center"/>
              <w:rPr>
                <w:sz w:val="18"/>
                <w:szCs w:val="18"/>
              </w:rPr>
            </w:pPr>
            <w:r>
              <w:rPr>
                <w:rFonts w:hint="eastAsia"/>
                <w:sz w:val="18"/>
                <w:szCs w:val="18"/>
              </w:rPr>
              <w:t>钢管顶进长度</w:t>
            </w:r>
          </w:p>
        </w:tc>
        <w:tc>
          <w:tcPr>
            <w:tcW w:w="1455" w:type="dxa"/>
            <w:vAlign w:val="center"/>
          </w:tcPr>
          <w:p>
            <w:pPr>
              <w:jc w:val="center"/>
              <w:rPr>
                <w:sz w:val="18"/>
                <w:szCs w:val="18"/>
              </w:rPr>
            </w:pPr>
            <w:r>
              <w:rPr>
                <w:rFonts w:hint="eastAsia"/>
                <w:sz w:val="18"/>
                <w:szCs w:val="18"/>
              </w:rPr>
              <w:t>0，</w:t>
            </w:r>
            <w:r>
              <w:rPr>
                <w:sz w:val="18"/>
                <w:szCs w:val="18"/>
              </w:rPr>
              <w:t>200</w:t>
            </w:r>
          </w:p>
        </w:tc>
        <w:tc>
          <w:tcPr>
            <w:tcW w:w="1980" w:type="dxa"/>
            <w:vAlign w:val="center"/>
          </w:tcPr>
          <w:p>
            <w:pPr>
              <w:jc w:val="left"/>
              <w:rPr>
                <w:sz w:val="18"/>
                <w:szCs w:val="18"/>
              </w:rPr>
            </w:pPr>
            <w:r>
              <w:rPr>
                <w:rFonts w:hint="eastAsia"/>
                <w:sz w:val="18"/>
                <w:szCs w:val="18"/>
              </w:rPr>
              <w:t>每根钢管检查</w:t>
            </w:r>
            <w:r>
              <w:rPr>
                <w:sz w:val="18"/>
                <w:szCs w:val="18"/>
              </w:rPr>
              <w:t>1</w:t>
            </w:r>
            <w:r>
              <w:rPr>
                <w:rFonts w:hint="eastAsia"/>
                <w:sz w:val="18"/>
                <w:szCs w:val="18"/>
              </w:rPr>
              <w:t>次</w:t>
            </w:r>
          </w:p>
        </w:tc>
        <w:tc>
          <w:tcPr>
            <w:tcW w:w="2325" w:type="dxa"/>
            <w:vAlign w:val="center"/>
          </w:tcPr>
          <w:p>
            <w:pPr>
              <w:jc w:val="left"/>
              <w:rPr>
                <w:sz w:val="18"/>
                <w:szCs w:val="18"/>
              </w:rPr>
            </w:pPr>
            <w:r>
              <w:rPr>
                <w:rFonts w:hint="eastAsia"/>
                <w:sz w:val="18"/>
                <w:szCs w:val="18"/>
              </w:rPr>
              <w:t>全站仪测量，检查施工记录</w:t>
            </w:r>
          </w:p>
        </w:tc>
      </w:tr>
    </w:tbl>
    <w:p>
      <w:pPr>
        <w:ind w:left="720" w:hanging="720" w:hangingChars="400"/>
        <w:jc w:val="left"/>
        <w:rPr>
          <w:sz w:val="18"/>
          <w:szCs w:val="21"/>
        </w:rPr>
      </w:pPr>
      <w:r>
        <w:rPr>
          <w:rFonts w:hint="eastAsia"/>
          <w:sz w:val="18"/>
          <w:szCs w:val="21"/>
        </w:rPr>
        <w:t>注：L为钢管顶进长度（mm）。</w:t>
      </w:r>
      <w:bookmarkStart w:id="152" w:name="_Toc103257204"/>
    </w:p>
    <w:bookmarkEnd w:id="152"/>
    <w:p>
      <w:pPr>
        <w:spacing w:before="156" w:beforeLines="50" w:after="156" w:afterLines="50" w:line="440" w:lineRule="exact"/>
        <w:jc w:val="center"/>
        <w:outlineLvl w:val="1"/>
        <w:rPr>
          <w:rFonts w:eastAsia="黑体"/>
          <w:sz w:val="24"/>
        </w:rPr>
      </w:pPr>
      <w:bookmarkStart w:id="153" w:name="_Toc15615"/>
      <w:bookmarkStart w:id="154" w:name="_Toc22344"/>
      <w:r>
        <w:rPr>
          <w:rFonts w:hint="eastAsia" w:eastAsia="黑体"/>
          <w:sz w:val="24"/>
        </w:rPr>
        <w:t>10.6  管幕钢管机械顶管法施工</w:t>
      </w:r>
      <w:bookmarkEnd w:id="153"/>
      <w:bookmarkEnd w:id="154"/>
    </w:p>
    <w:p>
      <w:pPr>
        <w:spacing w:before="156" w:beforeLines="50" w:after="156" w:afterLines="50"/>
        <w:jc w:val="center"/>
        <w:rPr>
          <w:sz w:val="24"/>
        </w:rPr>
      </w:pPr>
      <w:r>
        <w:rPr>
          <w:rFonts w:hint="eastAsia"/>
          <w:sz w:val="24"/>
        </w:rPr>
        <w:t>Ⅰ  主控项目</w:t>
      </w:r>
    </w:p>
    <w:p>
      <w:pPr>
        <w:spacing w:line="440" w:lineRule="exact"/>
        <w:rPr>
          <w:sz w:val="24"/>
        </w:rPr>
      </w:pPr>
      <w:r>
        <w:rPr>
          <w:rFonts w:hint="eastAsia"/>
          <w:b/>
          <w:bCs/>
          <w:sz w:val="24"/>
        </w:rPr>
        <w:t>10.6.1</w:t>
      </w:r>
      <w:r>
        <w:rPr>
          <w:rFonts w:hint="eastAsia"/>
          <w:sz w:val="24"/>
        </w:rPr>
        <w:t xml:space="preserve">  管幕钢管及接口应无破损、无裂缝，接口焊缝应符合本规程第1</w:t>
      </w:r>
      <w:r>
        <w:rPr>
          <w:sz w:val="24"/>
        </w:rPr>
        <w:t>0.5.1</w:t>
      </w:r>
      <w:r>
        <w:rPr>
          <w:rFonts w:hint="eastAsia"/>
          <w:sz w:val="24"/>
        </w:rPr>
        <w:t>条的规定，防腐层的应符合设计文件规定。</w:t>
      </w:r>
    </w:p>
    <w:p>
      <w:pPr>
        <w:spacing w:line="440" w:lineRule="exact"/>
        <w:ind w:firstLine="480" w:firstLineChars="200"/>
        <w:rPr>
          <w:sz w:val="24"/>
        </w:rPr>
      </w:pPr>
      <w:r>
        <w:rPr>
          <w:rFonts w:hint="eastAsia"/>
          <w:sz w:val="24"/>
        </w:rPr>
        <w:t>检验数量：全数检查。</w:t>
      </w:r>
    </w:p>
    <w:p>
      <w:pPr>
        <w:spacing w:line="440" w:lineRule="exact"/>
        <w:ind w:firstLine="480" w:firstLineChars="200"/>
        <w:rPr>
          <w:sz w:val="24"/>
        </w:rPr>
      </w:pPr>
      <w:r>
        <w:rPr>
          <w:rFonts w:hint="eastAsia"/>
          <w:sz w:val="24"/>
        </w:rPr>
        <w:t>检验方法：逐节检查</w:t>
      </w:r>
    </w:p>
    <w:p>
      <w:pPr>
        <w:spacing w:line="440" w:lineRule="exact"/>
        <w:rPr>
          <w:sz w:val="24"/>
        </w:rPr>
      </w:pPr>
      <w:r>
        <w:rPr>
          <w:rFonts w:hint="eastAsia"/>
          <w:b/>
          <w:bCs/>
          <w:sz w:val="24"/>
        </w:rPr>
        <w:t>10.6.2</w:t>
      </w:r>
      <w:r>
        <w:rPr>
          <w:rFonts w:hint="eastAsia"/>
          <w:sz w:val="24"/>
        </w:rPr>
        <w:t xml:space="preserve">  管幕钢管顶管始发和接收洞口段土体加固或止水处理的范围、加固体强度和渗透系数指标应符合设计文件规定。</w:t>
      </w:r>
    </w:p>
    <w:p>
      <w:pPr>
        <w:spacing w:line="440" w:lineRule="exact"/>
        <w:ind w:firstLine="480" w:firstLineChars="200"/>
        <w:rPr>
          <w:sz w:val="24"/>
        </w:rPr>
      </w:pPr>
      <w:r>
        <w:rPr>
          <w:rFonts w:hint="eastAsia"/>
          <w:sz w:val="24"/>
        </w:rPr>
        <w:t>检验数量：每个加固段检查3点。</w:t>
      </w:r>
    </w:p>
    <w:p>
      <w:pPr>
        <w:spacing w:line="440" w:lineRule="exact"/>
        <w:ind w:firstLine="480" w:firstLineChars="200"/>
        <w:rPr>
          <w:sz w:val="24"/>
        </w:rPr>
      </w:pPr>
      <w:r>
        <w:rPr>
          <w:rFonts w:hint="eastAsia"/>
          <w:sz w:val="24"/>
        </w:rPr>
        <w:t>检验方法：检查施工记录或加固范围内钻孔取样抽检。</w:t>
      </w:r>
    </w:p>
    <w:p>
      <w:pPr>
        <w:spacing w:line="440" w:lineRule="exact"/>
        <w:rPr>
          <w:sz w:val="24"/>
        </w:rPr>
      </w:pPr>
      <w:r>
        <w:rPr>
          <w:rFonts w:hint="eastAsia"/>
          <w:b/>
          <w:bCs/>
          <w:sz w:val="24"/>
        </w:rPr>
        <w:t>10.6.</w:t>
      </w:r>
      <w:r>
        <w:rPr>
          <w:b/>
          <w:bCs/>
          <w:sz w:val="24"/>
        </w:rPr>
        <w:t>3</w:t>
      </w:r>
      <w:r>
        <w:rPr>
          <w:rFonts w:hint="eastAsia"/>
          <w:sz w:val="24"/>
        </w:rPr>
        <w:t xml:space="preserve">  曲线管幕钢管的实际曲率半径应符合设计文件规定。</w:t>
      </w:r>
    </w:p>
    <w:p>
      <w:pPr>
        <w:spacing w:line="440" w:lineRule="exact"/>
        <w:ind w:firstLine="480" w:firstLineChars="200"/>
        <w:rPr>
          <w:sz w:val="24"/>
        </w:rPr>
      </w:pPr>
      <w:r>
        <w:rPr>
          <w:rFonts w:hint="eastAsia"/>
          <w:sz w:val="24"/>
        </w:rPr>
        <w:t>检验数量：全数检查。</w:t>
      </w:r>
    </w:p>
    <w:p>
      <w:pPr>
        <w:spacing w:line="440" w:lineRule="exact"/>
        <w:ind w:firstLine="480" w:firstLineChars="200"/>
        <w:rPr>
          <w:sz w:val="24"/>
        </w:rPr>
      </w:pPr>
      <w:r>
        <w:rPr>
          <w:rFonts w:hint="eastAsia"/>
          <w:sz w:val="24"/>
        </w:rPr>
        <w:t>检验方法：量测。</w:t>
      </w:r>
    </w:p>
    <w:p>
      <w:pPr>
        <w:spacing w:line="440" w:lineRule="exact"/>
        <w:rPr>
          <w:sz w:val="24"/>
        </w:rPr>
      </w:pPr>
      <w:r>
        <w:rPr>
          <w:rFonts w:hint="eastAsia"/>
          <w:b/>
          <w:bCs/>
          <w:sz w:val="24"/>
        </w:rPr>
        <w:t>10.6.</w:t>
      </w:r>
      <w:r>
        <w:rPr>
          <w:b/>
          <w:bCs/>
          <w:sz w:val="24"/>
        </w:rPr>
        <w:t>4</w:t>
      </w:r>
      <w:r>
        <w:rPr>
          <w:rFonts w:hint="eastAsia"/>
          <w:sz w:val="24"/>
        </w:rPr>
        <w:t xml:space="preserve">  管幕钢管与工作井或洞室的始发、接收洞口的间隙应连接牢固，洞口无渗漏水。</w:t>
      </w:r>
    </w:p>
    <w:p>
      <w:pPr>
        <w:spacing w:line="440" w:lineRule="exact"/>
        <w:ind w:firstLine="480" w:firstLineChars="200"/>
        <w:rPr>
          <w:sz w:val="24"/>
        </w:rPr>
      </w:pPr>
      <w:r>
        <w:rPr>
          <w:rFonts w:hint="eastAsia"/>
          <w:sz w:val="24"/>
        </w:rPr>
        <w:t>检验数量：全数检查。</w:t>
      </w:r>
    </w:p>
    <w:p>
      <w:pPr>
        <w:spacing w:line="440" w:lineRule="exact"/>
        <w:ind w:firstLine="480" w:firstLineChars="200"/>
        <w:rPr>
          <w:sz w:val="24"/>
        </w:rPr>
      </w:pPr>
      <w:r>
        <w:rPr>
          <w:rFonts w:hint="eastAsia"/>
          <w:sz w:val="24"/>
        </w:rPr>
        <w:t>检验方法：观察；检查施工记录。</w:t>
      </w:r>
    </w:p>
    <w:p>
      <w:pPr>
        <w:spacing w:before="156" w:beforeLines="50" w:after="156" w:afterLines="50"/>
        <w:jc w:val="center"/>
      </w:pPr>
      <w:r>
        <w:rPr>
          <w:rFonts w:hint="eastAsia"/>
          <w:sz w:val="24"/>
        </w:rPr>
        <w:t>Ⅱ  一般项目</w:t>
      </w:r>
    </w:p>
    <w:p>
      <w:pPr>
        <w:spacing w:line="440" w:lineRule="exact"/>
        <w:rPr>
          <w:sz w:val="24"/>
        </w:rPr>
      </w:pPr>
      <w:r>
        <w:rPr>
          <w:rFonts w:hint="eastAsia"/>
          <w:b/>
          <w:bCs/>
          <w:sz w:val="24"/>
        </w:rPr>
        <w:t>10.6.</w:t>
      </w:r>
      <w:r>
        <w:rPr>
          <w:b/>
          <w:bCs/>
          <w:sz w:val="24"/>
        </w:rPr>
        <w:t>5</w:t>
      </w:r>
      <w:r>
        <w:rPr>
          <w:rFonts w:hint="eastAsia"/>
          <w:sz w:val="24"/>
        </w:rPr>
        <w:t xml:space="preserve">  管幕钢管应线型平顺，无突变、变形情况。</w:t>
      </w:r>
    </w:p>
    <w:p>
      <w:pPr>
        <w:spacing w:line="440" w:lineRule="exact"/>
        <w:ind w:firstLine="480" w:firstLineChars="200"/>
        <w:rPr>
          <w:sz w:val="24"/>
        </w:rPr>
      </w:pPr>
      <w:r>
        <w:rPr>
          <w:rFonts w:hint="eastAsia"/>
          <w:sz w:val="24"/>
        </w:rPr>
        <w:t>检验数量：全数检查。</w:t>
      </w:r>
    </w:p>
    <w:p>
      <w:pPr>
        <w:spacing w:line="440" w:lineRule="exact"/>
        <w:ind w:firstLine="480" w:firstLineChars="200"/>
        <w:rPr>
          <w:sz w:val="24"/>
        </w:rPr>
      </w:pPr>
      <w:r>
        <w:rPr>
          <w:rFonts w:hint="eastAsia"/>
          <w:sz w:val="24"/>
        </w:rPr>
        <w:t>检验方法：观察；检查施工记录。</w:t>
      </w:r>
    </w:p>
    <w:p>
      <w:pPr>
        <w:spacing w:line="440" w:lineRule="exact"/>
        <w:rPr>
          <w:sz w:val="24"/>
        </w:rPr>
      </w:pPr>
      <w:r>
        <w:rPr>
          <w:rFonts w:hint="eastAsia"/>
          <w:b/>
          <w:bCs/>
          <w:sz w:val="24"/>
        </w:rPr>
        <w:t>10.6.</w:t>
      </w:r>
      <w:r>
        <w:rPr>
          <w:b/>
          <w:bCs/>
          <w:sz w:val="24"/>
        </w:rPr>
        <w:t>6</w:t>
      </w:r>
      <w:r>
        <w:rPr>
          <w:rFonts w:hint="eastAsia"/>
          <w:sz w:val="24"/>
        </w:rPr>
        <w:t xml:space="preserve">  管幕通道内应无水珠、滴漏、线流等明显渗水现象。</w:t>
      </w:r>
    </w:p>
    <w:p>
      <w:pPr>
        <w:spacing w:line="440" w:lineRule="exact"/>
        <w:ind w:firstLine="480" w:firstLineChars="200"/>
        <w:rPr>
          <w:sz w:val="24"/>
        </w:rPr>
      </w:pPr>
      <w:r>
        <w:rPr>
          <w:rFonts w:hint="eastAsia"/>
          <w:sz w:val="24"/>
        </w:rPr>
        <w:t>检验数量：全数检查。</w:t>
      </w:r>
    </w:p>
    <w:p>
      <w:pPr>
        <w:spacing w:line="440" w:lineRule="exact"/>
        <w:ind w:firstLine="480" w:firstLineChars="200"/>
        <w:rPr>
          <w:sz w:val="24"/>
        </w:rPr>
      </w:pPr>
      <w:r>
        <w:rPr>
          <w:rFonts w:hint="eastAsia"/>
          <w:sz w:val="24"/>
        </w:rPr>
        <w:t>检验方法：观察；检查施工记录。</w:t>
      </w:r>
    </w:p>
    <w:p>
      <w:pPr>
        <w:spacing w:line="440" w:lineRule="exact"/>
        <w:rPr>
          <w:sz w:val="24"/>
        </w:rPr>
      </w:pPr>
      <w:r>
        <w:rPr>
          <w:rFonts w:hint="eastAsia"/>
          <w:b/>
          <w:bCs/>
          <w:sz w:val="24"/>
        </w:rPr>
        <w:t>10.6.</w:t>
      </w:r>
      <w:r>
        <w:rPr>
          <w:b/>
          <w:bCs/>
          <w:sz w:val="24"/>
        </w:rPr>
        <w:t>7</w:t>
      </w:r>
      <w:r>
        <w:rPr>
          <w:rFonts w:hint="eastAsia"/>
          <w:sz w:val="24"/>
        </w:rPr>
        <w:t xml:space="preserve">  管幕钢管顶管法始发、接收前，顶管机轴线的平面位置、高程与管道轴线的允许偏差、检验方法和检验数量宜符合表10.</w:t>
      </w:r>
      <w:r>
        <w:rPr>
          <w:sz w:val="24"/>
        </w:rPr>
        <w:t>6.7</w:t>
      </w:r>
      <w:r>
        <w:rPr>
          <w:rFonts w:hint="eastAsia"/>
          <w:sz w:val="24"/>
        </w:rPr>
        <w:t>的规定。</w:t>
      </w:r>
    </w:p>
    <w:p>
      <w:pPr>
        <w:spacing w:before="156" w:beforeLines="50"/>
        <w:jc w:val="center"/>
        <w:rPr>
          <w:rFonts w:eastAsia="黑体"/>
          <w:bCs/>
          <w:kern w:val="0"/>
          <w:szCs w:val="21"/>
        </w:rPr>
      </w:pPr>
      <w:r>
        <w:rPr>
          <w:rFonts w:hint="eastAsia" w:eastAsia="黑体"/>
          <w:bCs/>
          <w:kern w:val="0"/>
          <w:szCs w:val="21"/>
        </w:rPr>
        <w:t>表10.</w:t>
      </w:r>
      <w:r>
        <w:rPr>
          <w:rFonts w:eastAsia="黑体"/>
          <w:bCs/>
          <w:kern w:val="0"/>
          <w:szCs w:val="21"/>
        </w:rPr>
        <w:t>6.7</w:t>
      </w:r>
      <w:r>
        <w:rPr>
          <w:rFonts w:hint="eastAsia" w:eastAsia="黑体"/>
          <w:bCs/>
          <w:kern w:val="0"/>
          <w:szCs w:val="21"/>
        </w:rPr>
        <w:t xml:space="preserve"> 管幕洞门轴线允许偏差、检验方法和检验数量</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1452"/>
        <w:gridCol w:w="1452"/>
        <w:gridCol w:w="1453"/>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1" w:type="dxa"/>
            <w:vMerge w:val="restart"/>
            <w:vAlign w:val="center"/>
          </w:tcPr>
          <w:p>
            <w:pPr>
              <w:pStyle w:val="26"/>
              <w:spacing w:beforeLines="0"/>
              <w:rPr>
                <w:rFonts w:asciiTheme="minorEastAsia" w:hAnsiTheme="minorEastAsia" w:eastAsiaTheme="minorEastAsia"/>
                <w:sz w:val="18"/>
                <w:szCs w:val="18"/>
              </w:rPr>
            </w:pPr>
            <w:r>
              <w:rPr>
                <w:rFonts w:asciiTheme="minorEastAsia" w:hAnsiTheme="minorEastAsia" w:eastAsiaTheme="minorEastAsia"/>
                <w:sz w:val="18"/>
                <w:szCs w:val="18"/>
              </w:rPr>
              <w:t>检查项目</w:t>
            </w:r>
          </w:p>
        </w:tc>
        <w:tc>
          <w:tcPr>
            <w:tcW w:w="1452" w:type="dxa"/>
            <w:vMerge w:val="restart"/>
            <w:vAlign w:val="center"/>
          </w:tcPr>
          <w:p>
            <w:pPr>
              <w:pStyle w:val="26"/>
              <w:spacing w:beforeLines="0"/>
              <w:rPr>
                <w:rFonts w:asciiTheme="minorEastAsia" w:hAnsiTheme="minorEastAsia" w:eastAsiaTheme="minorEastAsia"/>
                <w:sz w:val="18"/>
                <w:szCs w:val="18"/>
              </w:rPr>
            </w:pPr>
            <w:r>
              <w:rPr>
                <w:rFonts w:asciiTheme="minorEastAsia" w:hAnsiTheme="minorEastAsia" w:eastAsiaTheme="minorEastAsia"/>
                <w:sz w:val="18"/>
                <w:szCs w:val="18"/>
              </w:rPr>
              <w:t>允许偏差</w:t>
            </w:r>
          </w:p>
          <w:p>
            <w:pPr>
              <w:pStyle w:val="26"/>
              <w:spacing w:beforeLines="0"/>
              <w:rPr>
                <w:rFonts w:asciiTheme="minorEastAsia" w:hAnsiTheme="minorEastAsia" w:eastAsiaTheme="minorEastAsia"/>
                <w:sz w:val="18"/>
                <w:szCs w:val="18"/>
              </w:rPr>
            </w:pPr>
            <w:r>
              <w:rPr>
                <w:rFonts w:hint="eastAsia" w:asciiTheme="minorEastAsia" w:hAnsiTheme="minorEastAsia" w:eastAsiaTheme="minorEastAsia"/>
                <w:sz w:val="18"/>
                <w:szCs w:val="18"/>
              </w:rPr>
              <w:t>（mm）</w:t>
            </w:r>
          </w:p>
        </w:tc>
        <w:tc>
          <w:tcPr>
            <w:tcW w:w="1452" w:type="dxa"/>
            <w:vMerge w:val="restart"/>
            <w:vAlign w:val="center"/>
          </w:tcPr>
          <w:p>
            <w:pPr>
              <w:pStyle w:val="26"/>
              <w:spacing w:beforeLines="0"/>
              <w:rPr>
                <w:rFonts w:asciiTheme="minorEastAsia" w:hAnsiTheme="minorEastAsia" w:eastAsiaTheme="minorEastAsia"/>
                <w:sz w:val="18"/>
                <w:szCs w:val="18"/>
              </w:rPr>
            </w:pPr>
            <w:r>
              <w:rPr>
                <w:rFonts w:asciiTheme="minorEastAsia" w:hAnsiTheme="minorEastAsia" w:eastAsiaTheme="minorEastAsia"/>
                <w:sz w:val="18"/>
                <w:szCs w:val="18"/>
              </w:rPr>
              <w:t>检验方法</w:t>
            </w:r>
          </w:p>
        </w:tc>
        <w:tc>
          <w:tcPr>
            <w:tcW w:w="3577" w:type="dxa"/>
            <w:gridSpan w:val="2"/>
            <w:vAlign w:val="center"/>
          </w:tcPr>
          <w:p>
            <w:pPr>
              <w:pStyle w:val="26"/>
              <w:spacing w:beforeLines="0"/>
              <w:rPr>
                <w:rFonts w:asciiTheme="minorEastAsia" w:hAnsiTheme="minorEastAsia" w:eastAsiaTheme="minorEastAsia"/>
                <w:sz w:val="18"/>
                <w:szCs w:val="18"/>
              </w:rPr>
            </w:pPr>
            <w:r>
              <w:rPr>
                <w:rFonts w:asciiTheme="minorEastAsia" w:hAnsiTheme="minorEastAsia" w:eastAsiaTheme="minorEastAsia"/>
                <w:sz w:val="18"/>
                <w:szCs w:val="18"/>
              </w:rPr>
              <w:t>检验数量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1" w:type="dxa"/>
            <w:vMerge w:val="continue"/>
            <w:vAlign w:val="center"/>
          </w:tcPr>
          <w:p>
            <w:pPr>
              <w:pStyle w:val="26"/>
              <w:spacing w:beforeLines="0"/>
              <w:rPr>
                <w:rFonts w:asciiTheme="minorEastAsia" w:hAnsiTheme="minorEastAsia" w:eastAsiaTheme="minorEastAsia"/>
                <w:sz w:val="18"/>
                <w:szCs w:val="18"/>
              </w:rPr>
            </w:pPr>
          </w:p>
        </w:tc>
        <w:tc>
          <w:tcPr>
            <w:tcW w:w="1452" w:type="dxa"/>
            <w:vMerge w:val="continue"/>
            <w:vAlign w:val="center"/>
          </w:tcPr>
          <w:p>
            <w:pPr>
              <w:pStyle w:val="26"/>
              <w:spacing w:beforeLines="0"/>
              <w:rPr>
                <w:rFonts w:asciiTheme="minorEastAsia" w:hAnsiTheme="minorEastAsia" w:eastAsiaTheme="minorEastAsia"/>
                <w:sz w:val="18"/>
                <w:szCs w:val="18"/>
              </w:rPr>
            </w:pPr>
          </w:p>
        </w:tc>
        <w:tc>
          <w:tcPr>
            <w:tcW w:w="1452" w:type="dxa"/>
            <w:vMerge w:val="continue"/>
            <w:vAlign w:val="center"/>
          </w:tcPr>
          <w:p>
            <w:pPr>
              <w:pStyle w:val="26"/>
              <w:spacing w:beforeLines="0"/>
              <w:rPr>
                <w:rFonts w:asciiTheme="minorEastAsia" w:hAnsiTheme="minorEastAsia" w:eastAsiaTheme="minorEastAsia"/>
                <w:sz w:val="18"/>
                <w:szCs w:val="18"/>
              </w:rPr>
            </w:pPr>
          </w:p>
        </w:tc>
        <w:tc>
          <w:tcPr>
            <w:tcW w:w="1453" w:type="dxa"/>
            <w:vAlign w:val="center"/>
          </w:tcPr>
          <w:p>
            <w:pPr>
              <w:pStyle w:val="26"/>
              <w:spacing w:beforeLines="0"/>
              <w:rPr>
                <w:rFonts w:asciiTheme="minorEastAsia" w:hAnsiTheme="minorEastAsia" w:eastAsiaTheme="minorEastAsia"/>
                <w:sz w:val="18"/>
                <w:szCs w:val="18"/>
              </w:rPr>
            </w:pPr>
            <w:r>
              <w:rPr>
                <w:rFonts w:asciiTheme="minorEastAsia" w:hAnsiTheme="minorEastAsia" w:eastAsiaTheme="minorEastAsia"/>
                <w:sz w:val="18"/>
                <w:szCs w:val="18"/>
              </w:rPr>
              <w:t>洞门数量</w:t>
            </w:r>
          </w:p>
        </w:tc>
        <w:tc>
          <w:tcPr>
            <w:tcW w:w="2124" w:type="dxa"/>
            <w:vAlign w:val="center"/>
          </w:tcPr>
          <w:p>
            <w:pPr>
              <w:pStyle w:val="26"/>
              <w:spacing w:beforeLines="0"/>
              <w:rPr>
                <w:rFonts w:asciiTheme="minorEastAsia" w:hAnsiTheme="minorEastAsia" w:eastAsiaTheme="minorEastAsia"/>
                <w:sz w:val="18"/>
                <w:szCs w:val="18"/>
              </w:rPr>
            </w:pPr>
            <w:r>
              <w:rPr>
                <w:rFonts w:asciiTheme="minorEastAsia" w:hAnsiTheme="minorEastAsia" w:eastAsiaTheme="minorEastAsia"/>
                <w:sz w:val="18"/>
                <w:szCs w:val="18"/>
              </w:rPr>
              <w:t>每处点数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1" w:type="dxa"/>
            <w:vAlign w:val="center"/>
          </w:tcPr>
          <w:p>
            <w:pPr>
              <w:pStyle w:val="26"/>
              <w:spacing w:beforeLines="0"/>
              <w:rPr>
                <w:rFonts w:asciiTheme="minorEastAsia" w:hAnsiTheme="minorEastAsia" w:eastAsiaTheme="minorEastAsia"/>
                <w:sz w:val="18"/>
                <w:szCs w:val="18"/>
              </w:rPr>
            </w:pPr>
            <w:r>
              <w:rPr>
                <w:rFonts w:asciiTheme="minorEastAsia" w:hAnsiTheme="minorEastAsia" w:eastAsiaTheme="minorEastAsia"/>
                <w:sz w:val="18"/>
                <w:szCs w:val="18"/>
              </w:rPr>
              <w:t>平面位置</w:t>
            </w:r>
          </w:p>
        </w:tc>
        <w:tc>
          <w:tcPr>
            <w:tcW w:w="1452" w:type="dxa"/>
            <w:vAlign w:val="center"/>
          </w:tcPr>
          <w:p>
            <w:pPr>
              <w:pStyle w:val="26"/>
              <w:spacing w:beforeLines="0"/>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50</w:t>
            </w:r>
          </w:p>
        </w:tc>
        <w:tc>
          <w:tcPr>
            <w:tcW w:w="1452" w:type="dxa"/>
            <w:vAlign w:val="center"/>
          </w:tcPr>
          <w:p>
            <w:pPr>
              <w:pStyle w:val="26"/>
              <w:spacing w:beforeLines="0"/>
              <w:rPr>
                <w:rFonts w:asciiTheme="minorEastAsia" w:hAnsiTheme="minorEastAsia" w:eastAsiaTheme="minorEastAsia"/>
                <w:sz w:val="18"/>
                <w:szCs w:val="18"/>
              </w:rPr>
            </w:pPr>
            <w:r>
              <w:rPr>
                <w:rFonts w:asciiTheme="minorEastAsia" w:hAnsiTheme="minorEastAsia" w:eastAsiaTheme="minorEastAsia"/>
                <w:sz w:val="18"/>
                <w:szCs w:val="18"/>
              </w:rPr>
              <w:t>全站仪测量</w:t>
            </w:r>
          </w:p>
        </w:tc>
        <w:tc>
          <w:tcPr>
            <w:tcW w:w="1453" w:type="dxa"/>
            <w:vAlign w:val="center"/>
          </w:tcPr>
          <w:p>
            <w:pPr>
              <w:pStyle w:val="26"/>
              <w:spacing w:beforeLines="0"/>
              <w:rPr>
                <w:rFonts w:asciiTheme="minorEastAsia" w:hAnsiTheme="minorEastAsia" w:eastAsiaTheme="minorEastAsia"/>
                <w:sz w:val="18"/>
                <w:szCs w:val="18"/>
              </w:rPr>
            </w:pPr>
            <w:r>
              <w:rPr>
                <w:rFonts w:asciiTheme="minorEastAsia" w:hAnsiTheme="minorEastAsia" w:eastAsiaTheme="minorEastAsia"/>
                <w:sz w:val="18"/>
                <w:szCs w:val="18"/>
              </w:rPr>
              <w:t>全数检查</w:t>
            </w:r>
          </w:p>
        </w:tc>
        <w:tc>
          <w:tcPr>
            <w:tcW w:w="2124" w:type="dxa"/>
            <w:vAlign w:val="center"/>
          </w:tcPr>
          <w:p>
            <w:pPr>
              <w:pStyle w:val="26"/>
              <w:spacing w:beforeLines="0"/>
              <w:rPr>
                <w:rFonts w:asciiTheme="minorEastAsia" w:hAnsiTheme="minorEastAsia" w:eastAsiaTheme="minorEastAsia"/>
                <w:sz w:val="18"/>
                <w:szCs w:val="18"/>
              </w:rPr>
            </w:pPr>
            <w:r>
              <w:rPr>
                <w:rFonts w:hint="eastAsia" w:asciiTheme="minorEastAsia" w:hAnsiTheme="minorEastAsia" w:eastAsiaTheme="minorEastAsia"/>
                <w:sz w:val="18"/>
                <w:szCs w:val="18"/>
              </w:rPr>
              <w:t>1点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1" w:type="dxa"/>
            <w:vAlign w:val="center"/>
          </w:tcPr>
          <w:p>
            <w:pPr>
              <w:pStyle w:val="26"/>
              <w:spacing w:beforeLines="0"/>
              <w:rPr>
                <w:rFonts w:asciiTheme="minorEastAsia" w:hAnsiTheme="minorEastAsia" w:eastAsiaTheme="minorEastAsia"/>
                <w:sz w:val="18"/>
                <w:szCs w:val="18"/>
              </w:rPr>
            </w:pPr>
            <w:r>
              <w:rPr>
                <w:rFonts w:asciiTheme="minorEastAsia" w:hAnsiTheme="minorEastAsia" w:eastAsiaTheme="minorEastAsia"/>
                <w:sz w:val="18"/>
                <w:szCs w:val="18"/>
              </w:rPr>
              <w:t>高程</w:t>
            </w:r>
          </w:p>
        </w:tc>
        <w:tc>
          <w:tcPr>
            <w:tcW w:w="1452" w:type="dxa"/>
            <w:vAlign w:val="center"/>
          </w:tcPr>
          <w:p>
            <w:pPr>
              <w:pStyle w:val="26"/>
              <w:spacing w:beforeLines="0"/>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50</w:t>
            </w:r>
          </w:p>
        </w:tc>
        <w:tc>
          <w:tcPr>
            <w:tcW w:w="1452" w:type="dxa"/>
            <w:vAlign w:val="center"/>
          </w:tcPr>
          <w:p>
            <w:pPr>
              <w:pStyle w:val="26"/>
              <w:spacing w:beforeLines="0"/>
              <w:rPr>
                <w:rFonts w:asciiTheme="minorEastAsia" w:hAnsiTheme="minorEastAsia" w:eastAsiaTheme="minorEastAsia"/>
                <w:sz w:val="18"/>
                <w:szCs w:val="18"/>
              </w:rPr>
            </w:pPr>
            <w:r>
              <w:rPr>
                <w:rFonts w:hint="eastAsia" w:asciiTheme="minorEastAsia" w:hAnsiTheme="minorEastAsia" w:eastAsiaTheme="minorEastAsia"/>
                <w:sz w:val="18"/>
                <w:szCs w:val="18"/>
              </w:rPr>
              <w:t>水准</w:t>
            </w:r>
            <w:r>
              <w:rPr>
                <w:rFonts w:asciiTheme="minorEastAsia" w:hAnsiTheme="minorEastAsia" w:eastAsiaTheme="minorEastAsia"/>
                <w:sz w:val="18"/>
                <w:szCs w:val="18"/>
              </w:rPr>
              <w:t>仪测量</w:t>
            </w:r>
          </w:p>
        </w:tc>
        <w:tc>
          <w:tcPr>
            <w:tcW w:w="1453" w:type="dxa"/>
            <w:vAlign w:val="center"/>
          </w:tcPr>
          <w:p>
            <w:pPr>
              <w:pStyle w:val="26"/>
              <w:spacing w:beforeLines="0"/>
              <w:rPr>
                <w:rFonts w:asciiTheme="minorEastAsia" w:hAnsiTheme="minorEastAsia" w:eastAsiaTheme="minorEastAsia"/>
                <w:sz w:val="18"/>
                <w:szCs w:val="18"/>
              </w:rPr>
            </w:pPr>
            <w:r>
              <w:rPr>
                <w:rFonts w:asciiTheme="minorEastAsia" w:hAnsiTheme="minorEastAsia" w:eastAsiaTheme="minorEastAsia"/>
                <w:sz w:val="18"/>
                <w:szCs w:val="18"/>
              </w:rPr>
              <w:t>全数检查</w:t>
            </w:r>
          </w:p>
        </w:tc>
        <w:tc>
          <w:tcPr>
            <w:tcW w:w="2124" w:type="dxa"/>
            <w:vAlign w:val="center"/>
          </w:tcPr>
          <w:p>
            <w:pPr>
              <w:pStyle w:val="26"/>
              <w:spacing w:beforeLines="0"/>
              <w:rPr>
                <w:rFonts w:asciiTheme="minorEastAsia" w:hAnsiTheme="minorEastAsia" w:eastAsiaTheme="minorEastAsia"/>
                <w:sz w:val="18"/>
                <w:szCs w:val="18"/>
              </w:rPr>
            </w:pPr>
            <w:r>
              <w:rPr>
                <w:rFonts w:hint="eastAsia" w:asciiTheme="minorEastAsia" w:hAnsiTheme="minorEastAsia" w:eastAsiaTheme="minorEastAsia"/>
                <w:sz w:val="18"/>
                <w:szCs w:val="18"/>
              </w:rPr>
              <w:t>1点</w:t>
            </w:r>
          </w:p>
        </w:tc>
      </w:tr>
    </w:tbl>
    <w:p>
      <w:pPr>
        <w:spacing w:line="440" w:lineRule="exact"/>
        <w:rPr>
          <w:sz w:val="24"/>
        </w:rPr>
      </w:pPr>
      <w:r>
        <w:rPr>
          <w:rFonts w:hint="eastAsia"/>
          <w:b/>
          <w:bCs/>
          <w:sz w:val="24"/>
        </w:rPr>
        <w:t>10.6.</w:t>
      </w:r>
      <w:r>
        <w:rPr>
          <w:b/>
          <w:bCs/>
          <w:sz w:val="24"/>
        </w:rPr>
        <w:t>8</w:t>
      </w:r>
      <w:r>
        <w:rPr>
          <w:rFonts w:hint="eastAsia"/>
          <w:sz w:val="24"/>
        </w:rPr>
        <w:t xml:space="preserve">  管幕钢管允许偏差应符合表10.</w:t>
      </w:r>
      <w:r>
        <w:rPr>
          <w:sz w:val="24"/>
        </w:rPr>
        <w:t>6.8</w:t>
      </w:r>
      <w:r>
        <w:rPr>
          <w:rFonts w:hint="eastAsia"/>
          <w:sz w:val="24"/>
        </w:rPr>
        <w:t>的规定。</w:t>
      </w:r>
    </w:p>
    <w:p>
      <w:pPr>
        <w:spacing w:before="156" w:beforeLines="50"/>
        <w:jc w:val="center"/>
        <w:rPr>
          <w:rFonts w:eastAsia="黑体"/>
          <w:bCs/>
          <w:kern w:val="0"/>
          <w:szCs w:val="21"/>
        </w:rPr>
      </w:pPr>
      <w:r>
        <w:rPr>
          <w:rFonts w:hint="eastAsia" w:eastAsia="黑体"/>
          <w:bCs/>
          <w:kern w:val="0"/>
          <w:szCs w:val="21"/>
        </w:rPr>
        <w:t>表10.</w:t>
      </w:r>
      <w:r>
        <w:rPr>
          <w:rFonts w:eastAsia="黑体"/>
          <w:bCs/>
          <w:kern w:val="0"/>
          <w:szCs w:val="21"/>
        </w:rPr>
        <w:t>6.8</w:t>
      </w:r>
      <w:r>
        <w:rPr>
          <w:rFonts w:hint="eastAsia" w:eastAsia="黑体"/>
          <w:bCs/>
          <w:kern w:val="0"/>
          <w:szCs w:val="21"/>
        </w:rPr>
        <w:t xml:space="preserve"> 管幕允许偏差</w:t>
      </w:r>
    </w:p>
    <w:tbl>
      <w:tblPr>
        <w:tblStyle w:val="19"/>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002"/>
        <w:gridCol w:w="1630"/>
        <w:gridCol w:w="1605"/>
        <w:gridCol w:w="1013"/>
        <w:gridCol w:w="855"/>
        <w:gridCol w:w="670"/>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9" w:type="dxa"/>
            <w:gridSpan w:val="4"/>
            <w:vMerge w:val="restart"/>
            <w:vAlign w:val="center"/>
          </w:tcPr>
          <w:p>
            <w:pPr>
              <w:pStyle w:val="27"/>
              <w:spacing w:line="240" w:lineRule="auto"/>
              <w:ind w:left="0"/>
              <w:jc w:val="center"/>
              <w:rPr>
                <w:sz w:val="18"/>
                <w:szCs w:val="18"/>
              </w:rPr>
            </w:pPr>
            <w:r>
              <w:rPr>
                <w:sz w:val="18"/>
                <w:szCs w:val="18"/>
              </w:rPr>
              <w:t>检查项目</w:t>
            </w:r>
          </w:p>
        </w:tc>
        <w:tc>
          <w:tcPr>
            <w:tcW w:w="1013" w:type="dxa"/>
            <w:vMerge w:val="restart"/>
            <w:vAlign w:val="center"/>
          </w:tcPr>
          <w:p>
            <w:pPr>
              <w:pStyle w:val="27"/>
              <w:spacing w:line="240" w:lineRule="auto"/>
              <w:ind w:left="0"/>
              <w:jc w:val="center"/>
              <w:rPr>
                <w:sz w:val="18"/>
                <w:szCs w:val="18"/>
              </w:rPr>
            </w:pPr>
            <w:r>
              <w:rPr>
                <w:rFonts w:hint="eastAsia"/>
                <w:sz w:val="18"/>
                <w:szCs w:val="18"/>
              </w:rPr>
              <w:t>管幕</w:t>
            </w:r>
            <w:r>
              <w:rPr>
                <w:sz w:val="18"/>
                <w:szCs w:val="18"/>
              </w:rPr>
              <w:t>允许偏差</w:t>
            </w:r>
          </w:p>
        </w:tc>
        <w:tc>
          <w:tcPr>
            <w:tcW w:w="1525" w:type="dxa"/>
            <w:gridSpan w:val="2"/>
            <w:vAlign w:val="center"/>
          </w:tcPr>
          <w:p>
            <w:pPr>
              <w:pStyle w:val="27"/>
              <w:spacing w:line="240" w:lineRule="auto"/>
              <w:ind w:left="0"/>
              <w:jc w:val="center"/>
              <w:rPr>
                <w:sz w:val="18"/>
                <w:szCs w:val="18"/>
              </w:rPr>
            </w:pPr>
            <w:r>
              <w:rPr>
                <w:sz w:val="18"/>
                <w:szCs w:val="18"/>
              </w:rPr>
              <w:t>检查频率</w:t>
            </w:r>
          </w:p>
        </w:tc>
        <w:tc>
          <w:tcPr>
            <w:tcW w:w="940" w:type="dxa"/>
            <w:vMerge w:val="restart"/>
            <w:vAlign w:val="center"/>
          </w:tcPr>
          <w:p>
            <w:pPr>
              <w:pStyle w:val="27"/>
              <w:spacing w:line="240" w:lineRule="auto"/>
              <w:ind w:left="0"/>
              <w:jc w:val="center"/>
              <w:rPr>
                <w:sz w:val="18"/>
                <w:szCs w:val="18"/>
              </w:rPr>
            </w:pPr>
            <w:r>
              <w:rPr>
                <w:sz w:val="18"/>
                <w:szCs w:val="18"/>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9" w:type="dxa"/>
            <w:gridSpan w:val="4"/>
            <w:vMerge w:val="continue"/>
            <w:vAlign w:val="center"/>
          </w:tcPr>
          <w:p>
            <w:pPr>
              <w:pStyle w:val="27"/>
              <w:spacing w:line="240" w:lineRule="auto"/>
              <w:ind w:left="0"/>
              <w:jc w:val="center"/>
              <w:rPr>
                <w:sz w:val="18"/>
                <w:szCs w:val="18"/>
              </w:rPr>
            </w:pPr>
          </w:p>
        </w:tc>
        <w:tc>
          <w:tcPr>
            <w:tcW w:w="1013" w:type="dxa"/>
            <w:vMerge w:val="continue"/>
            <w:vAlign w:val="center"/>
          </w:tcPr>
          <w:p>
            <w:pPr>
              <w:pStyle w:val="27"/>
              <w:spacing w:line="240" w:lineRule="auto"/>
              <w:ind w:left="0"/>
              <w:jc w:val="center"/>
              <w:rPr>
                <w:sz w:val="18"/>
                <w:szCs w:val="18"/>
              </w:rPr>
            </w:pPr>
          </w:p>
        </w:tc>
        <w:tc>
          <w:tcPr>
            <w:tcW w:w="855" w:type="dxa"/>
            <w:vAlign w:val="center"/>
          </w:tcPr>
          <w:p>
            <w:pPr>
              <w:pStyle w:val="27"/>
              <w:spacing w:line="240" w:lineRule="auto"/>
              <w:ind w:left="0"/>
              <w:jc w:val="center"/>
              <w:rPr>
                <w:sz w:val="18"/>
                <w:szCs w:val="18"/>
              </w:rPr>
            </w:pPr>
            <w:r>
              <w:rPr>
                <w:sz w:val="18"/>
                <w:szCs w:val="18"/>
              </w:rPr>
              <w:t>范围</w:t>
            </w:r>
          </w:p>
        </w:tc>
        <w:tc>
          <w:tcPr>
            <w:tcW w:w="670" w:type="dxa"/>
            <w:vAlign w:val="center"/>
          </w:tcPr>
          <w:p>
            <w:pPr>
              <w:pStyle w:val="27"/>
              <w:spacing w:line="240" w:lineRule="auto"/>
              <w:ind w:left="0"/>
              <w:jc w:val="center"/>
              <w:rPr>
                <w:sz w:val="18"/>
                <w:szCs w:val="18"/>
              </w:rPr>
            </w:pPr>
            <w:r>
              <w:rPr>
                <w:sz w:val="18"/>
                <w:szCs w:val="18"/>
              </w:rPr>
              <w:t>点数</w:t>
            </w:r>
          </w:p>
        </w:tc>
        <w:tc>
          <w:tcPr>
            <w:tcW w:w="940" w:type="dxa"/>
            <w:vMerge w:val="continue"/>
            <w:vAlign w:val="center"/>
          </w:tcPr>
          <w:p>
            <w:pPr>
              <w:pStyle w:val="27"/>
              <w:spacing w:line="240" w:lineRule="auto"/>
              <w:ind w:left="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pPr>
              <w:pStyle w:val="27"/>
              <w:spacing w:line="240" w:lineRule="auto"/>
              <w:ind w:left="0"/>
              <w:jc w:val="center"/>
              <w:rPr>
                <w:sz w:val="18"/>
                <w:szCs w:val="18"/>
              </w:rPr>
            </w:pPr>
            <w:r>
              <w:rPr>
                <w:sz w:val="18"/>
                <w:szCs w:val="18"/>
              </w:rPr>
              <w:t>1</w:t>
            </w:r>
          </w:p>
        </w:tc>
        <w:tc>
          <w:tcPr>
            <w:tcW w:w="1002" w:type="dxa"/>
            <w:vMerge w:val="restart"/>
            <w:vAlign w:val="center"/>
          </w:tcPr>
          <w:p>
            <w:pPr>
              <w:pStyle w:val="27"/>
              <w:spacing w:line="240" w:lineRule="auto"/>
              <w:ind w:left="0"/>
              <w:jc w:val="center"/>
              <w:rPr>
                <w:sz w:val="18"/>
                <w:szCs w:val="18"/>
              </w:rPr>
            </w:pPr>
            <w:r>
              <w:rPr>
                <w:sz w:val="18"/>
                <w:szCs w:val="18"/>
              </w:rPr>
              <w:t>直线</w:t>
            </w:r>
            <w:r>
              <w:rPr>
                <w:rFonts w:hint="eastAsia"/>
                <w:sz w:val="18"/>
                <w:szCs w:val="18"/>
              </w:rPr>
              <w:t>管幕</w:t>
            </w:r>
          </w:p>
          <w:p>
            <w:pPr>
              <w:pStyle w:val="27"/>
              <w:spacing w:line="240" w:lineRule="auto"/>
              <w:ind w:left="0"/>
              <w:jc w:val="center"/>
              <w:rPr>
                <w:sz w:val="18"/>
                <w:szCs w:val="18"/>
              </w:rPr>
            </w:pPr>
            <w:r>
              <w:rPr>
                <w:sz w:val="18"/>
                <w:szCs w:val="18"/>
              </w:rPr>
              <w:t>水平轴线</w:t>
            </w:r>
          </w:p>
        </w:tc>
        <w:tc>
          <w:tcPr>
            <w:tcW w:w="3235" w:type="dxa"/>
            <w:gridSpan w:val="2"/>
            <w:vAlign w:val="center"/>
          </w:tcPr>
          <w:p>
            <w:pPr>
              <w:pStyle w:val="27"/>
              <w:spacing w:line="240" w:lineRule="auto"/>
              <w:ind w:left="0"/>
              <w:jc w:val="center"/>
              <w:rPr>
                <w:sz w:val="18"/>
                <w:szCs w:val="18"/>
              </w:rPr>
            </w:pPr>
            <w:r>
              <w:rPr>
                <w:sz w:val="18"/>
                <w:szCs w:val="18"/>
              </w:rPr>
              <w:t>顶进长度&lt;</w:t>
            </w:r>
            <w:r>
              <w:rPr>
                <w:rFonts w:hint="eastAsia"/>
                <w:sz w:val="18"/>
                <w:szCs w:val="18"/>
              </w:rPr>
              <w:t>3</w:t>
            </w:r>
            <w:r>
              <w:rPr>
                <w:sz w:val="18"/>
                <w:szCs w:val="18"/>
              </w:rPr>
              <w:t>00m</w:t>
            </w:r>
          </w:p>
        </w:tc>
        <w:tc>
          <w:tcPr>
            <w:tcW w:w="1013" w:type="dxa"/>
            <w:vAlign w:val="center"/>
          </w:tcPr>
          <w:p>
            <w:pPr>
              <w:pStyle w:val="27"/>
              <w:spacing w:line="240" w:lineRule="auto"/>
              <w:ind w:left="0"/>
              <w:jc w:val="center"/>
              <w:rPr>
                <w:sz w:val="18"/>
                <w:szCs w:val="18"/>
              </w:rPr>
            </w:pPr>
            <w:r>
              <w:rPr>
                <w:rFonts w:hint="eastAsia"/>
                <w:sz w:val="18"/>
                <w:szCs w:val="18"/>
              </w:rPr>
              <w:t>50</w:t>
            </w:r>
          </w:p>
        </w:tc>
        <w:tc>
          <w:tcPr>
            <w:tcW w:w="855" w:type="dxa"/>
            <w:vMerge w:val="restart"/>
            <w:vAlign w:val="center"/>
          </w:tcPr>
          <w:p>
            <w:pPr>
              <w:pStyle w:val="27"/>
              <w:spacing w:line="240" w:lineRule="auto"/>
              <w:ind w:left="0"/>
              <w:jc w:val="center"/>
              <w:rPr>
                <w:sz w:val="18"/>
                <w:szCs w:val="18"/>
              </w:rPr>
            </w:pPr>
            <w:r>
              <w:rPr>
                <w:sz w:val="18"/>
                <w:szCs w:val="18"/>
              </w:rPr>
              <w:t>每节管</w:t>
            </w:r>
          </w:p>
        </w:tc>
        <w:tc>
          <w:tcPr>
            <w:tcW w:w="670" w:type="dxa"/>
            <w:vMerge w:val="restart"/>
            <w:vAlign w:val="center"/>
          </w:tcPr>
          <w:p>
            <w:pPr>
              <w:pStyle w:val="27"/>
              <w:spacing w:line="240" w:lineRule="auto"/>
              <w:ind w:left="0"/>
              <w:jc w:val="center"/>
              <w:rPr>
                <w:sz w:val="18"/>
                <w:szCs w:val="18"/>
              </w:rPr>
            </w:pPr>
            <w:r>
              <w:rPr>
                <w:sz w:val="18"/>
                <w:szCs w:val="18"/>
              </w:rPr>
              <w:t>1点</w:t>
            </w:r>
          </w:p>
        </w:tc>
        <w:tc>
          <w:tcPr>
            <w:tcW w:w="940" w:type="dxa"/>
            <w:vMerge w:val="restart"/>
            <w:vAlign w:val="center"/>
          </w:tcPr>
          <w:p>
            <w:pPr>
              <w:pStyle w:val="27"/>
              <w:spacing w:line="240" w:lineRule="auto"/>
              <w:ind w:left="0"/>
              <w:jc w:val="center"/>
              <w:rPr>
                <w:sz w:val="18"/>
                <w:szCs w:val="18"/>
              </w:rPr>
            </w:pPr>
            <w:r>
              <w:rPr>
                <w:sz w:val="18"/>
                <w:szCs w:val="18"/>
              </w:rPr>
              <w:t>经纬仪、尺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pStyle w:val="27"/>
              <w:spacing w:line="240" w:lineRule="auto"/>
              <w:ind w:left="0"/>
              <w:jc w:val="center"/>
              <w:rPr>
                <w:sz w:val="18"/>
                <w:szCs w:val="18"/>
              </w:rPr>
            </w:pPr>
          </w:p>
        </w:tc>
        <w:tc>
          <w:tcPr>
            <w:tcW w:w="1002" w:type="dxa"/>
            <w:vMerge w:val="continue"/>
            <w:vAlign w:val="center"/>
          </w:tcPr>
          <w:p>
            <w:pPr>
              <w:pStyle w:val="27"/>
              <w:spacing w:line="240" w:lineRule="auto"/>
              <w:ind w:left="0"/>
              <w:jc w:val="center"/>
              <w:rPr>
                <w:sz w:val="18"/>
                <w:szCs w:val="18"/>
              </w:rPr>
            </w:pPr>
          </w:p>
        </w:tc>
        <w:tc>
          <w:tcPr>
            <w:tcW w:w="3235" w:type="dxa"/>
            <w:gridSpan w:val="2"/>
            <w:vAlign w:val="center"/>
          </w:tcPr>
          <w:p>
            <w:pPr>
              <w:pStyle w:val="27"/>
              <w:spacing w:line="240" w:lineRule="auto"/>
              <w:ind w:left="0"/>
              <w:jc w:val="center"/>
              <w:rPr>
                <w:sz w:val="18"/>
                <w:szCs w:val="18"/>
              </w:rPr>
            </w:pPr>
            <w:r>
              <w:rPr>
                <w:sz w:val="18"/>
                <w:szCs w:val="18"/>
              </w:rPr>
              <w:t>300m≤顶进长度&lt;1000m</w:t>
            </w:r>
          </w:p>
        </w:tc>
        <w:tc>
          <w:tcPr>
            <w:tcW w:w="1013" w:type="dxa"/>
            <w:vAlign w:val="center"/>
          </w:tcPr>
          <w:p>
            <w:pPr>
              <w:pStyle w:val="27"/>
              <w:spacing w:line="240" w:lineRule="auto"/>
              <w:ind w:left="0"/>
              <w:jc w:val="center"/>
              <w:rPr>
                <w:sz w:val="18"/>
                <w:szCs w:val="18"/>
              </w:rPr>
            </w:pPr>
            <w:r>
              <w:rPr>
                <w:rFonts w:hint="eastAsia"/>
                <w:sz w:val="18"/>
                <w:szCs w:val="18"/>
              </w:rPr>
              <w:t>1</w:t>
            </w:r>
            <w:r>
              <w:rPr>
                <w:sz w:val="18"/>
                <w:szCs w:val="18"/>
              </w:rPr>
              <w:t>00</w:t>
            </w:r>
          </w:p>
        </w:tc>
        <w:tc>
          <w:tcPr>
            <w:tcW w:w="855" w:type="dxa"/>
            <w:vMerge w:val="continue"/>
            <w:vAlign w:val="center"/>
          </w:tcPr>
          <w:p>
            <w:pPr>
              <w:pStyle w:val="27"/>
              <w:spacing w:line="240" w:lineRule="auto"/>
              <w:ind w:left="0"/>
              <w:jc w:val="center"/>
              <w:rPr>
                <w:sz w:val="18"/>
                <w:szCs w:val="18"/>
              </w:rPr>
            </w:pPr>
          </w:p>
        </w:tc>
        <w:tc>
          <w:tcPr>
            <w:tcW w:w="670" w:type="dxa"/>
            <w:vMerge w:val="continue"/>
            <w:vAlign w:val="center"/>
          </w:tcPr>
          <w:p>
            <w:pPr>
              <w:pStyle w:val="27"/>
              <w:spacing w:line="240" w:lineRule="auto"/>
              <w:ind w:left="0"/>
              <w:jc w:val="center"/>
              <w:rPr>
                <w:sz w:val="18"/>
                <w:szCs w:val="18"/>
              </w:rPr>
            </w:pPr>
          </w:p>
        </w:tc>
        <w:tc>
          <w:tcPr>
            <w:tcW w:w="940" w:type="dxa"/>
            <w:vMerge w:val="continue"/>
            <w:vAlign w:val="center"/>
          </w:tcPr>
          <w:p>
            <w:pPr>
              <w:pStyle w:val="27"/>
              <w:spacing w:line="240" w:lineRule="auto"/>
              <w:ind w:left="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pStyle w:val="27"/>
              <w:spacing w:line="240" w:lineRule="auto"/>
              <w:ind w:left="0"/>
              <w:jc w:val="center"/>
              <w:rPr>
                <w:sz w:val="18"/>
                <w:szCs w:val="18"/>
              </w:rPr>
            </w:pPr>
          </w:p>
        </w:tc>
        <w:tc>
          <w:tcPr>
            <w:tcW w:w="1002" w:type="dxa"/>
            <w:vMerge w:val="continue"/>
            <w:vAlign w:val="center"/>
          </w:tcPr>
          <w:p>
            <w:pPr>
              <w:pStyle w:val="27"/>
              <w:spacing w:line="240" w:lineRule="auto"/>
              <w:ind w:left="0"/>
              <w:jc w:val="center"/>
              <w:rPr>
                <w:sz w:val="18"/>
                <w:szCs w:val="18"/>
              </w:rPr>
            </w:pPr>
          </w:p>
        </w:tc>
        <w:tc>
          <w:tcPr>
            <w:tcW w:w="3235" w:type="dxa"/>
            <w:gridSpan w:val="2"/>
            <w:vAlign w:val="center"/>
          </w:tcPr>
          <w:p>
            <w:pPr>
              <w:pStyle w:val="27"/>
              <w:spacing w:line="240" w:lineRule="auto"/>
              <w:ind w:left="0"/>
              <w:jc w:val="center"/>
              <w:rPr>
                <w:sz w:val="18"/>
                <w:szCs w:val="18"/>
              </w:rPr>
            </w:pPr>
            <w:r>
              <w:rPr>
                <w:sz w:val="18"/>
                <w:szCs w:val="18"/>
              </w:rPr>
              <w:t>顶进长度≥1000m</w:t>
            </w:r>
          </w:p>
        </w:tc>
        <w:tc>
          <w:tcPr>
            <w:tcW w:w="1013" w:type="dxa"/>
            <w:vAlign w:val="center"/>
          </w:tcPr>
          <w:p>
            <w:pPr>
              <w:pStyle w:val="27"/>
              <w:spacing w:line="240" w:lineRule="auto"/>
              <w:ind w:left="0"/>
              <w:jc w:val="center"/>
              <w:rPr>
                <w:sz w:val="18"/>
                <w:szCs w:val="18"/>
              </w:rPr>
            </w:pPr>
            <w:r>
              <w:rPr>
                <w:sz w:val="18"/>
                <w:szCs w:val="18"/>
              </w:rPr>
              <w:t>L/10</w:t>
            </w:r>
          </w:p>
        </w:tc>
        <w:tc>
          <w:tcPr>
            <w:tcW w:w="855" w:type="dxa"/>
            <w:vMerge w:val="continue"/>
            <w:vAlign w:val="center"/>
          </w:tcPr>
          <w:p>
            <w:pPr>
              <w:pStyle w:val="27"/>
              <w:spacing w:line="240" w:lineRule="auto"/>
              <w:ind w:left="0"/>
              <w:jc w:val="center"/>
              <w:rPr>
                <w:sz w:val="18"/>
                <w:szCs w:val="18"/>
              </w:rPr>
            </w:pPr>
          </w:p>
        </w:tc>
        <w:tc>
          <w:tcPr>
            <w:tcW w:w="670" w:type="dxa"/>
            <w:vMerge w:val="continue"/>
            <w:vAlign w:val="center"/>
          </w:tcPr>
          <w:p>
            <w:pPr>
              <w:pStyle w:val="27"/>
              <w:spacing w:line="240" w:lineRule="auto"/>
              <w:ind w:left="0"/>
              <w:jc w:val="center"/>
              <w:rPr>
                <w:sz w:val="18"/>
                <w:szCs w:val="18"/>
              </w:rPr>
            </w:pPr>
          </w:p>
        </w:tc>
        <w:tc>
          <w:tcPr>
            <w:tcW w:w="940" w:type="dxa"/>
            <w:vMerge w:val="continue"/>
            <w:vAlign w:val="center"/>
          </w:tcPr>
          <w:p>
            <w:pPr>
              <w:pStyle w:val="27"/>
              <w:spacing w:line="240" w:lineRule="auto"/>
              <w:ind w:left="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pPr>
              <w:pStyle w:val="27"/>
              <w:spacing w:line="240" w:lineRule="auto"/>
              <w:ind w:left="0"/>
              <w:jc w:val="center"/>
              <w:rPr>
                <w:sz w:val="18"/>
                <w:szCs w:val="18"/>
              </w:rPr>
            </w:pPr>
            <w:r>
              <w:rPr>
                <w:sz w:val="18"/>
                <w:szCs w:val="18"/>
              </w:rPr>
              <w:t>2</w:t>
            </w:r>
          </w:p>
        </w:tc>
        <w:tc>
          <w:tcPr>
            <w:tcW w:w="1002" w:type="dxa"/>
            <w:vMerge w:val="restart"/>
            <w:vAlign w:val="center"/>
          </w:tcPr>
          <w:p>
            <w:pPr>
              <w:pStyle w:val="27"/>
              <w:spacing w:line="240" w:lineRule="auto"/>
              <w:ind w:left="0"/>
              <w:jc w:val="center"/>
              <w:rPr>
                <w:sz w:val="18"/>
                <w:szCs w:val="18"/>
              </w:rPr>
            </w:pPr>
            <w:r>
              <w:rPr>
                <w:sz w:val="18"/>
                <w:szCs w:val="18"/>
              </w:rPr>
              <w:t>直线</w:t>
            </w:r>
            <w:r>
              <w:rPr>
                <w:rFonts w:hint="eastAsia"/>
                <w:sz w:val="18"/>
                <w:szCs w:val="18"/>
              </w:rPr>
              <w:t>管幕</w:t>
            </w:r>
          </w:p>
          <w:p>
            <w:pPr>
              <w:pStyle w:val="27"/>
              <w:spacing w:line="240" w:lineRule="auto"/>
              <w:ind w:left="0"/>
              <w:jc w:val="center"/>
              <w:rPr>
                <w:sz w:val="18"/>
                <w:szCs w:val="18"/>
              </w:rPr>
            </w:pPr>
            <w:r>
              <w:rPr>
                <w:sz w:val="18"/>
                <w:szCs w:val="18"/>
              </w:rPr>
              <w:t>内底高程</w:t>
            </w:r>
          </w:p>
        </w:tc>
        <w:tc>
          <w:tcPr>
            <w:tcW w:w="1630" w:type="dxa"/>
            <w:vMerge w:val="restart"/>
            <w:vAlign w:val="center"/>
          </w:tcPr>
          <w:p>
            <w:pPr>
              <w:pStyle w:val="27"/>
              <w:spacing w:line="240" w:lineRule="auto"/>
              <w:ind w:left="0"/>
              <w:jc w:val="center"/>
              <w:rPr>
                <w:sz w:val="18"/>
                <w:szCs w:val="18"/>
              </w:rPr>
            </w:pPr>
            <w:r>
              <w:rPr>
                <w:sz w:val="18"/>
                <w:szCs w:val="18"/>
              </w:rPr>
              <w:t>顶进长度&lt;300m</w:t>
            </w:r>
          </w:p>
        </w:tc>
        <w:tc>
          <w:tcPr>
            <w:tcW w:w="1605" w:type="dxa"/>
            <w:vAlign w:val="center"/>
          </w:tcPr>
          <w:p>
            <w:pPr>
              <w:pStyle w:val="27"/>
              <w:spacing w:line="240" w:lineRule="auto"/>
              <w:ind w:left="0"/>
              <w:jc w:val="center"/>
              <w:rPr>
                <w:sz w:val="18"/>
                <w:szCs w:val="18"/>
              </w:rPr>
            </w:pPr>
            <w:r>
              <w:rPr>
                <w:i/>
                <w:sz w:val="18"/>
                <w:szCs w:val="18"/>
              </w:rPr>
              <w:t>D</w:t>
            </w:r>
            <w:r>
              <w:rPr>
                <w:sz w:val="18"/>
                <w:szCs w:val="18"/>
                <w:vertAlign w:val="subscript"/>
              </w:rPr>
              <w:t>0</w:t>
            </w:r>
            <w:r>
              <w:rPr>
                <w:sz w:val="18"/>
                <w:szCs w:val="18"/>
              </w:rPr>
              <w:t>&lt;1500</w:t>
            </w:r>
          </w:p>
        </w:tc>
        <w:tc>
          <w:tcPr>
            <w:tcW w:w="1013" w:type="dxa"/>
            <w:vAlign w:val="center"/>
          </w:tcPr>
          <w:p>
            <w:pPr>
              <w:pStyle w:val="27"/>
              <w:spacing w:line="240" w:lineRule="auto"/>
              <w:ind w:left="0"/>
              <w:jc w:val="center"/>
              <w:rPr>
                <w:sz w:val="18"/>
                <w:szCs w:val="18"/>
              </w:rPr>
            </w:pPr>
            <w:r>
              <w:rPr>
                <w:sz w:val="18"/>
                <w:szCs w:val="18"/>
              </w:rPr>
              <w:t>+</w:t>
            </w:r>
            <w:r>
              <w:rPr>
                <w:rFonts w:hint="eastAsia"/>
                <w:sz w:val="18"/>
                <w:szCs w:val="18"/>
              </w:rPr>
              <w:t>30</w:t>
            </w:r>
            <w:r>
              <w:rPr>
                <w:sz w:val="18"/>
                <w:szCs w:val="18"/>
              </w:rPr>
              <w:t>，</w:t>
            </w:r>
            <w:r>
              <w:rPr>
                <w:rFonts w:hint="eastAsia"/>
                <w:sz w:val="18"/>
                <w:szCs w:val="18"/>
              </w:rPr>
              <w:t>-40</w:t>
            </w:r>
          </w:p>
        </w:tc>
        <w:tc>
          <w:tcPr>
            <w:tcW w:w="855" w:type="dxa"/>
            <w:vMerge w:val="continue"/>
            <w:vAlign w:val="center"/>
          </w:tcPr>
          <w:p>
            <w:pPr>
              <w:pStyle w:val="27"/>
              <w:spacing w:line="240" w:lineRule="auto"/>
              <w:ind w:left="0"/>
              <w:jc w:val="center"/>
              <w:rPr>
                <w:sz w:val="18"/>
                <w:szCs w:val="18"/>
              </w:rPr>
            </w:pPr>
          </w:p>
        </w:tc>
        <w:tc>
          <w:tcPr>
            <w:tcW w:w="670" w:type="dxa"/>
            <w:vMerge w:val="continue"/>
            <w:vAlign w:val="center"/>
          </w:tcPr>
          <w:p>
            <w:pPr>
              <w:pStyle w:val="27"/>
              <w:spacing w:line="240" w:lineRule="auto"/>
              <w:ind w:left="0"/>
              <w:jc w:val="center"/>
              <w:rPr>
                <w:sz w:val="18"/>
                <w:szCs w:val="18"/>
              </w:rPr>
            </w:pPr>
          </w:p>
        </w:tc>
        <w:tc>
          <w:tcPr>
            <w:tcW w:w="940" w:type="dxa"/>
            <w:vMerge w:val="restart"/>
            <w:vAlign w:val="center"/>
          </w:tcPr>
          <w:p>
            <w:pPr>
              <w:pStyle w:val="27"/>
              <w:spacing w:line="240" w:lineRule="auto"/>
              <w:ind w:left="0"/>
              <w:jc w:val="center"/>
              <w:rPr>
                <w:sz w:val="18"/>
                <w:szCs w:val="18"/>
              </w:rPr>
            </w:pPr>
            <w:r>
              <w:rPr>
                <w:sz w:val="18"/>
                <w:szCs w:val="18"/>
              </w:rPr>
              <w:t>水准仪、水平仪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pStyle w:val="27"/>
              <w:spacing w:line="240" w:lineRule="auto"/>
              <w:ind w:left="0"/>
              <w:jc w:val="center"/>
              <w:rPr>
                <w:sz w:val="18"/>
                <w:szCs w:val="18"/>
              </w:rPr>
            </w:pPr>
          </w:p>
        </w:tc>
        <w:tc>
          <w:tcPr>
            <w:tcW w:w="1002" w:type="dxa"/>
            <w:vMerge w:val="continue"/>
            <w:vAlign w:val="center"/>
          </w:tcPr>
          <w:p>
            <w:pPr>
              <w:pStyle w:val="27"/>
              <w:spacing w:line="240" w:lineRule="auto"/>
              <w:ind w:left="0"/>
              <w:jc w:val="center"/>
              <w:rPr>
                <w:sz w:val="18"/>
                <w:szCs w:val="18"/>
              </w:rPr>
            </w:pPr>
          </w:p>
        </w:tc>
        <w:tc>
          <w:tcPr>
            <w:tcW w:w="1630" w:type="dxa"/>
            <w:vMerge w:val="continue"/>
            <w:vAlign w:val="center"/>
          </w:tcPr>
          <w:p>
            <w:pPr>
              <w:pStyle w:val="27"/>
              <w:spacing w:line="240" w:lineRule="auto"/>
              <w:ind w:left="0"/>
              <w:jc w:val="center"/>
              <w:rPr>
                <w:sz w:val="18"/>
                <w:szCs w:val="18"/>
              </w:rPr>
            </w:pPr>
          </w:p>
        </w:tc>
        <w:tc>
          <w:tcPr>
            <w:tcW w:w="1605" w:type="dxa"/>
            <w:vAlign w:val="center"/>
          </w:tcPr>
          <w:p>
            <w:pPr>
              <w:pStyle w:val="27"/>
              <w:spacing w:line="240" w:lineRule="auto"/>
              <w:ind w:left="0"/>
              <w:jc w:val="center"/>
              <w:rPr>
                <w:sz w:val="18"/>
                <w:szCs w:val="18"/>
              </w:rPr>
            </w:pPr>
            <w:r>
              <w:rPr>
                <w:i/>
                <w:sz w:val="18"/>
                <w:szCs w:val="18"/>
              </w:rPr>
              <w:t>D</w:t>
            </w:r>
            <w:r>
              <w:rPr>
                <w:sz w:val="18"/>
                <w:szCs w:val="18"/>
                <w:vertAlign w:val="subscript"/>
              </w:rPr>
              <w:t>0</w:t>
            </w:r>
            <w:r>
              <w:rPr>
                <w:sz w:val="18"/>
                <w:szCs w:val="18"/>
              </w:rPr>
              <w:t>≥1500</w:t>
            </w:r>
          </w:p>
        </w:tc>
        <w:tc>
          <w:tcPr>
            <w:tcW w:w="1013" w:type="dxa"/>
            <w:vAlign w:val="center"/>
          </w:tcPr>
          <w:p>
            <w:pPr>
              <w:pStyle w:val="27"/>
              <w:spacing w:line="240" w:lineRule="auto"/>
              <w:ind w:left="0"/>
              <w:jc w:val="center"/>
              <w:rPr>
                <w:sz w:val="18"/>
                <w:szCs w:val="18"/>
              </w:rPr>
            </w:pPr>
            <w:r>
              <w:rPr>
                <w:sz w:val="18"/>
                <w:szCs w:val="18"/>
              </w:rPr>
              <w:t>+</w:t>
            </w:r>
            <w:r>
              <w:rPr>
                <w:rFonts w:hint="eastAsia"/>
                <w:sz w:val="18"/>
                <w:szCs w:val="18"/>
              </w:rPr>
              <w:t>4</w:t>
            </w:r>
            <w:r>
              <w:rPr>
                <w:sz w:val="18"/>
                <w:szCs w:val="18"/>
              </w:rPr>
              <w:t>0，-</w:t>
            </w:r>
            <w:r>
              <w:rPr>
                <w:rFonts w:hint="eastAsia"/>
                <w:sz w:val="18"/>
                <w:szCs w:val="18"/>
              </w:rPr>
              <w:t>5</w:t>
            </w:r>
            <w:r>
              <w:rPr>
                <w:sz w:val="18"/>
                <w:szCs w:val="18"/>
              </w:rPr>
              <w:t>0</w:t>
            </w:r>
          </w:p>
        </w:tc>
        <w:tc>
          <w:tcPr>
            <w:tcW w:w="855" w:type="dxa"/>
            <w:vMerge w:val="continue"/>
            <w:vAlign w:val="center"/>
          </w:tcPr>
          <w:p>
            <w:pPr>
              <w:pStyle w:val="27"/>
              <w:spacing w:line="240" w:lineRule="auto"/>
              <w:ind w:left="0"/>
              <w:jc w:val="center"/>
              <w:rPr>
                <w:sz w:val="18"/>
                <w:szCs w:val="18"/>
              </w:rPr>
            </w:pPr>
          </w:p>
        </w:tc>
        <w:tc>
          <w:tcPr>
            <w:tcW w:w="670" w:type="dxa"/>
            <w:vMerge w:val="continue"/>
            <w:vAlign w:val="center"/>
          </w:tcPr>
          <w:p>
            <w:pPr>
              <w:pStyle w:val="27"/>
              <w:spacing w:line="240" w:lineRule="auto"/>
              <w:ind w:left="0"/>
              <w:jc w:val="center"/>
              <w:rPr>
                <w:sz w:val="18"/>
                <w:szCs w:val="18"/>
              </w:rPr>
            </w:pPr>
          </w:p>
        </w:tc>
        <w:tc>
          <w:tcPr>
            <w:tcW w:w="940" w:type="dxa"/>
            <w:vMerge w:val="continue"/>
            <w:vAlign w:val="center"/>
          </w:tcPr>
          <w:p>
            <w:pPr>
              <w:pStyle w:val="27"/>
              <w:spacing w:line="240" w:lineRule="auto"/>
              <w:ind w:left="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pStyle w:val="27"/>
              <w:spacing w:line="240" w:lineRule="auto"/>
              <w:ind w:left="0"/>
              <w:jc w:val="center"/>
              <w:rPr>
                <w:sz w:val="18"/>
                <w:szCs w:val="18"/>
              </w:rPr>
            </w:pPr>
          </w:p>
        </w:tc>
        <w:tc>
          <w:tcPr>
            <w:tcW w:w="1002" w:type="dxa"/>
            <w:vMerge w:val="continue"/>
            <w:vAlign w:val="center"/>
          </w:tcPr>
          <w:p>
            <w:pPr>
              <w:pStyle w:val="27"/>
              <w:spacing w:line="240" w:lineRule="auto"/>
              <w:ind w:left="0"/>
              <w:jc w:val="center"/>
              <w:rPr>
                <w:sz w:val="18"/>
                <w:szCs w:val="18"/>
              </w:rPr>
            </w:pPr>
          </w:p>
        </w:tc>
        <w:tc>
          <w:tcPr>
            <w:tcW w:w="3235" w:type="dxa"/>
            <w:gridSpan w:val="2"/>
            <w:vAlign w:val="center"/>
          </w:tcPr>
          <w:p>
            <w:pPr>
              <w:pStyle w:val="27"/>
              <w:spacing w:line="240" w:lineRule="auto"/>
              <w:ind w:left="0"/>
              <w:jc w:val="center"/>
              <w:rPr>
                <w:sz w:val="18"/>
                <w:szCs w:val="18"/>
              </w:rPr>
            </w:pPr>
            <w:r>
              <w:rPr>
                <w:sz w:val="18"/>
                <w:szCs w:val="18"/>
              </w:rPr>
              <w:t>300m≤顶进长度&lt;1000m</w:t>
            </w:r>
          </w:p>
        </w:tc>
        <w:tc>
          <w:tcPr>
            <w:tcW w:w="1013" w:type="dxa"/>
            <w:vAlign w:val="center"/>
          </w:tcPr>
          <w:p>
            <w:pPr>
              <w:pStyle w:val="27"/>
              <w:spacing w:line="240" w:lineRule="auto"/>
              <w:ind w:left="0"/>
              <w:jc w:val="center"/>
              <w:rPr>
                <w:sz w:val="18"/>
                <w:szCs w:val="18"/>
              </w:rPr>
            </w:pPr>
            <w:r>
              <w:rPr>
                <w:sz w:val="18"/>
                <w:szCs w:val="18"/>
              </w:rPr>
              <w:t>+</w:t>
            </w:r>
            <w:r>
              <w:rPr>
                <w:rFonts w:hint="eastAsia"/>
                <w:sz w:val="18"/>
                <w:szCs w:val="18"/>
              </w:rPr>
              <w:t>6</w:t>
            </w:r>
            <w:r>
              <w:rPr>
                <w:sz w:val="18"/>
                <w:szCs w:val="18"/>
              </w:rPr>
              <w:t>0，-</w:t>
            </w:r>
            <w:r>
              <w:rPr>
                <w:rFonts w:hint="eastAsia"/>
                <w:sz w:val="18"/>
                <w:szCs w:val="18"/>
              </w:rPr>
              <w:t>8</w:t>
            </w:r>
            <w:r>
              <w:rPr>
                <w:sz w:val="18"/>
                <w:szCs w:val="18"/>
              </w:rPr>
              <w:t>0</w:t>
            </w:r>
          </w:p>
        </w:tc>
        <w:tc>
          <w:tcPr>
            <w:tcW w:w="855" w:type="dxa"/>
            <w:vMerge w:val="continue"/>
            <w:vAlign w:val="center"/>
          </w:tcPr>
          <w:p>
            <w:pPr>
              <w:pStyle w:val="27"/>
              <w:spacing w:line="240" w:lineRule="auto"/>
              <w:ind w:left="0"/>
              <w:jc w:val="center"/>
              <w:rPr>
                <w:sz w:val="18"/>
                <w:szCs w:val="18"/>
              </w:rPr>
            </w:pPr>
          </w:p>
        </w:tc>
        <w:tc>
          <w:tcPr>
            <w:tcW w:w="670" w:type="dxa"/>
            <w:vMerge w:val="continue"/>
            <w:vAlign w:val="center"/>
          </w:tcPr>
          <w:p>
            <w:pPr>
              <w:pStyle w:val="27"/>
              <w:spacing w:line="240" w:lineRule="auto"/>
              <w:ind w:left="0"/>
              <w:jc w:val="center"/>
              <w:rPr>
                <w:sz w:val="18"/>
                <w:szCs w:val="18"/>
              </w:rPr>
            </w:pPr>
          </w:p>
        </w:tc>
        <w:tc>
          <w:tcPr>
            <w:tcW w:w="940" w:type="dxa"/>
            <w:vMerge w:val="restart"/>
            <w:vAlign w:val="center"/>
          </w:tcPr>
          <w:p>
            <w:pPr>
              <w:pStyle w:val="27"/>
              <w:spacing w:line="240" w:lineRule="auto"/>
              <w:ind w:left="0"/>
              <w:jc w:val="center"/>
              <w:rPr>
                <w:sz w:val="18"/>
                <w:szCs w:val="18"/>
              </w:rPr>
            </w:pPr>
            <w:r>
              <w:rPr>
                <w:sz w:val="18"/>
                <w:szCs w:val="18"/>
              </w:rPr>
              <w:t>水准仪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562" w:type="dxa"/>
            <w:vMerge w:val="continue"/>
            <w:vAlign w:val="center"/>
          </w:tcPr>
          <w:p>
            <w:pPr>
              <w:pStyle w:val="27"/>
              <w:spacing w:line="240" w:lineRule="auto"/>
              <w:ind w:left="0"/>
              <w:jc w:val="center"/>
              <w:rPr>
                <w:sz w:val="18"/>
                <w:szCs w:val="18"/>
              </w:rPr>
            </w:pPr>
          </w:p>
        </w:tc>
        <w:tc>
          <w:tcPr>
            <w:tcW w:w="1002" w:type="dxa"/>
            <w:vMerge w:val="continue"/>
            <w:vAlign w:val="center"/>
          </w:tcPr>
          <w:p>
            <w:pPr>
              <w:pStyle w:val="27"/>
              <w:spacing w:line="240" w:lineRule="auto"/>
              <w:ind w:left="0"/>
              <w:jc w:val="center"/>
              <w:rPr>
                <w:sz w:val="18"/>
                <w:szCs w:val="18"/>
              </w:rPr>
            </w:pPr>
          </w:p>
        </w:tc>
        <w:tc>
          <w:tcPr>
            <w:tcW w:w="3235" w:type="dxa"/>
            <w:gridSpan w:val="2"/>
            <w:vAlign w:val="center"/>
          </w:tcPr>
          <w:p>
            <w:pPr>
              <w:pStyle w:val="27"/>
              <w:spacing w:line="240" w:lineRule="auto"/>
              <w:ind w:left="0"/>
              <w:jc w:val="center"/>
              <w:rPr>
                <w:sz w:val="18"/>
                <w:szCs w:val="18"/>
              </w:rPr>
            </w:pPr>
            <w:r>
              <w:rPr>
                <w:sz w:val="18"/>
                <w:szCs w:val="18"/>
              </w:rPr>
              <w:t>顶进长度≥1000m</w:t>
            </w:r>
          </w:p>
        </w:tc>
        <w:tc>
          <w:tcPr>
            <w:tcW w:w="1013" w:type="dxa"/>
            <w:vAlign w:val="center"/>
          </w:tcPr>
          <w:p>
            <w:pPr>
              <w:pStyle w:val="27"/>
              <w:spacing w:line="240" w:lineRule="auto"/>
              <w:ind w:left="0"/>
              <w:jc w:val="center"/>
              <w:rPr>
                <w:sz w:val="18"/>
                <w:szCs w:val="18"/>
              </w:rPr>
            </w:pPr>
            <w:r>
              <w:rPr>
                <w:sz w:val="18"/>
                <w:szCs w:val="18"/>
              </w:rPr>
              <w:t>+</w:t>
            </w:r>
            <w:r>
              <w:rPr>
                <w:rFonts w:hint="eastAsia"/>
                <w:sz w:val="18"/>
                <w:szCs w:val="18"/>
              </w:rPr>
              <w:t>8</w:t>
            </w:r>
            <w:r>
              <w:rPr>
                <w:sz w:val="18"/>
                <w:szCs w:val="18"/>
              </w:rPr>
              <w:t>0，-100</w:t>
            </w:r>
          </w:p>
        </w:tc>
        <w:tc>
          <w:tcPr>
            <w:tcW w:w="855" w:type="dxa"/>
            <w:vMerge w:val="continue"/>
            <w:vAlign w:val="center"/>
          </w:tcPr>
          <w:p>
            <w:pPr>
              <w:pStyle w:val="27"/>
              <w:spacing w:line="240" w:lineRule="auto"/>
              <w:ind w:left="0"/>
              <w:jc w:val="center"/>
              <w:rPr>
                <w:sz w:val="18"/>
                <w:szCs w:val="18"/>
              </w:rPr>
            </w:pPr>
          </w:p>
        </w:tc>
        <w:tc>
          <w:tcPr>
            <w:tcW w:w="670" w:type="dxa"/>
            <w:vMerge w:val="continue"/>
            <w:vAlign w:val="center"/>
          </w:tcPr>
          <w:p>
            <w:pPr>
              <w:pStyle w:val="27"/>
              <w:spacing w:line="240" w:lineRule="auto"/>
              <w:ind w:left="0"/>
              <w:jc w:val="center"/>
              <w:rPr>
                <w:sz w:val="18"/>
                <w:szCs w:val="18"/>
              </w:rPr>
            </w:pPr>
          </w:p>
        </w:tc>
        <w:tc>
          <w:tcPr>
            <w:tcW w:w="940" w:type="dxa"/>
            <w:vMerge w:val="continue"/>
            <w:vAlign w:val="center"/>
          </w:tcPr>
          <w:p>
            <w:pPr>
              <w:pStyle w:val="27"/>
              <w:spacing w:line="240" w:lineRule="auto"/>
              <w:ind w:left="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pPr>
              <w:pStyle w:val="27"/>
              <w:spacing w:line="240" w:lineRule="auto"/>
              <w:ind w:left="0"/>
              <w:jc w:val="center"/>
              <w:rPr>
                <w:sz w:val="18"/>
                <w:szCs w:val="18"/>
              </w:rPr>
            </w:pPr>
            <w:r>
              <w:rPr>
                <w:sz w:val="18"/>
                <w:szCs w:val="18"/>
              </w:rPr>
              <w:t>3</w:t>
            </w:r>
          </w:p>
        </w:tc>
        <w:tc>
          <w:tcPr>
            <w:tcW w:w="1002" w:type="dxa"/>
            <w:vMerge w:val="restart"/>
            <w:vAlign w:val="center"/>
          </w:tcPr>
          <w:p>
            <w:pPr>
              <w:pStyle w:val="27"/>
              <w:spacing w:line="240" w:lineRule="auto"/>
              <w:ind w:left="0"/>
              <w:jc w:val="center"/>
              <w:rPr>
                <w:sz w:val="18"/>
                <w:szCs w:val="18"/>
              </w:rPr>
            </w:pPr>
            <w:r>
              <w:rPr>
                <w:sz w:val="18"/>
                <w:szCs w:val="18"/>
              </w:rPr>
              <w:t>曲线</w:t>
            </w:r>
            <w:r>
              <w:rPr>
                <w:rFonts w:hint="eastAsia"/>
                <w:sz w:val="18"/>
                <w:szCs w:val="18"/>
              </w:rPr>
              <w:t>管幕</w:t>
            </w:r>
          </w:p>
          <w:p>
            <w:pPr>
              <w:pStyle w:val="27"/>
              <w:spacing w:line="240" w:lineRule="auto"/>
              <w:ind w:left="0"/>
              <w:jc w:val="center"/>
              <w:rPr>
                <w:sz w:val="18"/>
                <w:szCs w:val="18"/>
              </w:rPr>
            </w:pPr>
            <w:r>
              <w:rPr>
                <w:sz w:val="18"/>
                <w:szCs w:val="18"/>
              </w:rPr>
              <w:t>水平轴线</w:t>
            </w:r>
          </w:p>
        </w:tc>
        <w:tc>
          <w:tcPr>
            <w:tcW w:w="1630" w:type="dxa"/>
            <w:vMerge w:val="restart"/>
            <w:vAlign w:val="center"/>
          </w:tcPr>
          <w:p>
            <w:pPr>
              <w:pStyle w:val="27"/>
              <w:spacing w:line="240" w:lineRule="auto"/>
              <w:ind w:left="0"/>
              <w:jc w:val="center"/>
              <w:rPr>
                <w:sz w:val="18"/>
                <w:szCs w:val="18"/>
              </w:rPr>
            </w:pPr>
            <w:r>
              <w:rPr>
                <w:i/>
                <w:sz w:val="18"/>
                <w:szCs w:val="18"/>
              </w:rPr>
              <w:t>R</w:t>
            </w:r>
            <w:r>
              <w:rPr>
                <w:sz w:val="18"/>
                <w:szCs w:val="18"/>
              </w:rPr>
              <w:t>≤</w:t>
            </w:r>
            <w:r>
              <w:rPr>
                <w:rFonts w:hint="eastAsia"/>
                <w:sz w:val="18"/>
                <w:szCs w:val="18"/>
              </w:rPr>
              <w:t>150×</w:t>
            </w:r>
            <w:r>
              <w:rPr>
                <w:i/>
                <w:sz w:val="18"/>
                <w:szCs w:val="18"/>
              </w:rPr>
              <w:t>D</w:t>
            </w:r>
            <w:r>
              <w:rPr>
                <w:sz w:val="18"/>
                <w:szCs w:val="18"/>
                <w:vertAlign w:val="subscript"/>
              </w:rPr>
              <w:t>0</w:t>
            </w:r>
          </w:p>
        </w:tc>
        <w:tc>
          <w:tcPr>
            <w:tcW w:w="1605" w:type="dxa"/>
            <w:vAlign w:val="center"/>
          </w:tcPr>
          <w:p>
            <w:pPr>
              <w:pStyle w:val="27"/>
              <w:spacing w:line="240" w:lineRule="auto"/>
              <w:ind w:left="0"/>
              <w:jc w:val="center"/>
              <w:rPr>
                <w:sz w:val="18"/>
                <w:szCs w:val="18"/>
              </w:rPr>
            </w:pPr>
            <w:r>
              <w:rPr>
                <w:sz w:val="18"/>
                <w:szCs w:val="18"/>
              </w:rPr>
              <w:t>水平曲线</w:t>
            </w:r>
          </w:p>
        </w:tc>
        <w:tc>
          <w:tcPr>
            <w:tcW w:w="1013" w:type="dxa"/>
            <w:vAlign w:val="center"/>
          </w:tcPr>
          <w:p>
            <w:pPr>
              <w:pStyle w:val="27"/>
              <w:spacing w:line="240" w:lineRule="auto"/>
              <w:ind w:left="0"/>
              <w:jc w:val="center"/>
              <w:rPr>
                <w:sz w:val="18"/>
                <w:szCs w:val="18"/>
              </w:rPr>
            </w:pPr>
            <w:r>
              <w:rPr>
                <w:sz w:val="18"/>
                <w:szCs w:val="18"/>
              </w:rPr>
              <w:t>150</w:t>
            </w:r>
          </w:p>
        </w:tc>
        <w:tc>
          <w:tcPr>
            <w:tcW w:w="855" w:type="dxa"/>
            <w:vMerge w:val="continue"/>
            <w:vAlign w:val="center"/>
          </w:tcPr>
          <w:p>
            <w:pPr>
              <w:pStyle w:val="27"/>
              <w:spacing w:line="240" w:lineRule="auto"/>
              <w:ind w:left="0"/>
              <w:jc w:val="center"/>
              <w:rPr>
                <w:sz w:val="18"/>
                <w:szCs w:val="18"/>
              </w:rPr>
            </w:pPr>
          </w:p>
        </w:tc>
        <w:tc>
          <w:tcPr>
            <w:tcW w:w="670" w:type="dxa"/>
            <w:vMerge w:val="continue"/>
            <w:vAlign w:val="center"/>
          </w:tcPr>
          <w:p>
            <w:pPr>
              <w:pStyle w:val="27"/>
              <w:spacing w:line="240" w:lineRule="auto"/>
              <w:ind w:left="0"/>
              <w:jc w:val="center"/>
              <w:rPr>
                <w:sz w:val="18"/>
                <w:szCs w:val="18"/>
              </w:rPr>
            </w:pPr>
          </w:p>
        </w:tc>
        <w:tc>
          <w:tcPr>
            <w:tcW w:w="940" w:type="dxa"/>
            <w:vMerge w:val="restart"/>
            <w:vAlign w:val="center"/>
          </w:tcPr>
          <w:p>
            <w:pPr>
              <w:pStyle w:val="27"/>
              <w:spacing w:line="240" w:lineRule="auto"/>
              <w:ind w:left="0"/>
              <w:jc w:val="center"/>
              <w:rPr>
                <w:sz w:val="18"/>
                <w:szCs w:val="18"/>
              </w:rPr>
            </w:pPr>
            <w:r>
              <w:rPr>
                <w:sz w:val="18"/>
                <w:szCs w:val="18"/>
              </w:rPr>
              <w:t>经纬仪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pStyle w:val="27"/>
              <w:spacing w:line="240" w:lineRule="auto"/>
              <w:ind w:left="0"/>
              <w:jc w:val="center"/>
              <w:rPr>
                <w:sz w:val="18"/>
                <w:szCs w:val="18"/>
              </w:rPr>
            </w:pPr>
          </w:p>
        </w:tc>
        <w:tc>
          <w:tcPr>
            <w:tcW w:w="1002" w:type="dxa"/>
            <w:vMerge w:val="continue"/>
            <w:vAlign w:val="center"/>
          </w:tcPr>
          <w:p>
            <w:pPr>
              <w:pStyle w:val="27"/>
              <w:spacing w:line="240" w:lineRule="auto"/>
              <w:ind w:left="0"/>
              <w:jc w:val="center"/>
              <w:rPr>
                <w:sz w:val="18"/>
                <w:szCs w:val="18"/>
              </w:rPr>
            </w:pPr>
          </w:p>
        </w:tc>
        <w:tc>
          <w:tcPr>
            <w:tcW w:w="1630" w:type="dxa"/>
            <w:vMerge w:val="continue"/>
            <w:vAlign w:val="center"/>
          </w:tcPr>
          <w:p>
            <w:pPr>
              <w:pStyle w:val="27"/>
              <w:spacing w:line="240" w:lineRule="auto"/>
              <w:ind w:left="0"/>
              <w:jc w:val="center"/>
              <w:rPr>
                <w:sz w:val="18"/>
                <w:szCs w:val="18"/>
              </w:rPr>
            </w:pPr>
          </w:p>
        </w:tc>
        <w:tc>
          <w:tcPr>
            <w:tcW w:w="1605" w:type="dxa"/>
            <w:vAlign w:val="center"/>
          </w:tcPr>
          <w:p>
            <w:pPr>
              <w:pStyle w:val="27"/>
              <w:spacing w:line="240" w:lineRule="auto"/>
              <w:ind w:left="0"/>
              <w:jc w:val="center"/>
              <w:rPr>
                <w:sz w:val="18"/>
                <w:szCs w:val="18"/>
              </w:rPr>
            </w:pPr>
            <w:r>
              <w:rPr>
                <w:sz w:val="18"/>
                <w:szCs w:val="18"/>
              </w:rPr>
              <w:t>竖曲线</w:t>
            </w:r>
          </w:p>
        </w:tc>
        <w:tc>
          <w:tcPr>
            <w:tcW w:w="1013" w:type="dxa"/>
            <w:vAlign w:val="center"/>
          </w:tcPr>
          <w:p>
            <w:pPr>
              <w:pStyle w:val="27"/>
              <w:spacing w:line="240" w:lineRule="auto"/>
              <w:ind w:left="0"/>
              <w:jc w:val="center"/>
              <w:rPr>
                <w:sz w:val="18"/>
                <w:szCs w:val="18"/>
              </w:rPr>
            </w:pPr>
            <w:r>
              <w:rPr>
                <w:sz w:val="18"/>
                <w:szCs w:val="18"/>
              </w:rPr>
              <w:t>150</w:t>
            </w:r>
          </w:p>
        </w:tc>
        <w:tc>
          <w:tcPr>
            <w:tcW w:w="855" w:type="dxa"/>
            <w:vMerge w:val="continue"/>
            <w:vAlign w:val="center"/>
          </w:tcPr>
          <w:p>
            <w:pPr>
              <w:pStyle w:val="27"/>
              <w:spacing w:line="240" w:lineRule="auto"/>
              <w:ind w:left="0"/>
              <w:jc w:val="center"/>
              <w:rPr>
                <w:sz w:val="18"/>
                <w:szCs w:val="18"/>
              </w:rPr>
            </w:pPr>
          </w:p>
        </w:tc>
        <w:tc>
          <w:tcPr>
            <w:tcW w:w="670" w:type="dxa"/>
            <w:vMerge w:val="continue"/>
            <w:vAlign w:val="center"/>
          </w:tcPr>
          <w:p>
            <w:pPr>
              <w:pStyle w:val="27"/>
              <w:spacing w:line="240" w:lineRule="auto"/>
              <w:ind w:left="0"/>
              <w:jc w:val="center"/>
              <w:rPr>
                <w:sz w:val="18"/>
                <w:szCs w:val="18"/>
              </w:rPr>
            </w:pPr>
          </w:p>
        </w:tc>
        <w:tc>
          <w:tcPr>
            <w:tcW w:w="940" w:type="dxa"/>
            <w:vMerge w:val="continue"/>
            <w:vAlign w:val="center"/>
          </w:tcPr>
          <w:p>
            <w:pPr>
              <w:pStyle w:val="27"/>
              <w:spacing w:line="240" w:lineRule="auto"/>
              <w:ind w:left="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pStyle w:val="27"/>
              <w:spacing w:line="240" w:lineRule="auto"/>
              <w:ind w:left="0"/>
              <w:jc w:val="center"/>
              <w:rPr>
                <w:sz w:val="18"/>
                <w:szCs w:val="18"/>
              </w:rPr>
            </w:pPr>
          </w:p>
        </w:tc>
        <w:tc>
          <w:tcPr>
            <w:tcW w:w="1002" w:type="dxa"/>
            <w:vMerge w:val="continue"/>
            <w:vAlign w:val="center"/>
          </w:tcPr>
          <w:p>
            <w:pPr>
              <w:pStyle w:val="27"/>
              <w:spacing w:line="240" w:lineRule="auto"/>
              <w:ind w:left="0"/>
              <w:jc w:val="center"/>
              <w:rPr>
                <w:sz w:val="18"/>
                <w:szCs w:val="18"/>
              </w:rPr>
            </w:pPr>
          </w:p>
        </w:tc>
        <w:tc>
          <w:tcPr>
            <w:tcW w:w="1630" w:type="dxa"/>
            <w:vMerge w:val="continue"/>
            <w:vAlign w:val="center"/>
          </w:tcPr>
          <w:p>
            <w:pPr>
              <w:pStyle w:val="27"/>
              <w:spacing w:line="240" w:lineRule="auto"/>
              <w:ind w:left="0"/>
              <w:jc w:val="center"/>
              <w:rPr>
                <w:sz w:val="18"/>
                <w:szCs w:val="18"/>
              </w:rPr>
            </w:pPr>
          </w:p>
        </w:tc>
        <w:tc>
          <w:tcPr>
            <w:tcW w:w="1605" w:type="dxa"/>
            <w:vAlign w:val="center"/>
          </w:tcPr>
          <w:p>
            <w:pPr>
              <w:pStyle w:val="27"/>
              <w:spacing w:line="240" w:lineRule="auto"/>
              <w:ind w:left="0"/>
              <w:jc w:val="center"/>
              <w:rPr>
                <w:sz w:val="18"/>
                <w:szCs w:val="18"/>
              </w:rPr>
            </w:pPr>
            <w:r>
              <w:rPr>
                <w:sz w:val="18"/>
                <w:szCs w:val="18"/>
              </w:rPr>
              <w:t>复合曲线</w:t>
            </w:r>
          </w:p>
        </w:tc>
        <w:tc>
          <w:tcPr>
            <w:tcW w:w="1013" w:type="dxa"/>
            <w:vAlign w:val="center"/>
          </w:tcPr>
          <w:p>
            <w:pPr>
              <w:pStyle w:val="27"/>
              <w:spacing w:line="240" w:lineRule="auto"/>
              <w:ind w:left="0"/>
              <w:jc w:val="center"/>
              <w:rPr>
                <w:sz w:val="18"/>
                <w:szCs w:val="18"/>
              </w:rPr>
            </w:pPr>
            <w:r>
              <w:rPr>
                <w:sz w:val="18"/>
                <w:szCs w:val="18"/>
              </w:rPr>
              <w:t>200</w:t>
            </w:r>
          </w:p>
        </w:tc>
        <w:tc>
          <w:tcPr>
            <w:tcW w:w="855" w:type="dxa"/>
            <w:vMerge w:val="continue"/>
            <w:vAlign w:val="center"/>
          </w:tcPr>
          <w:p>
            <w:pPr>
              <w:pStyle w:val="27"/>
              <w:spacing w:line="240" w:lineRule="auto"/>
              <w:ind w:left="0"/>
              <w:jc w:val="center"/>
              <w:rPr>
                <w:sz w:val="18"/>
                <w:szCs w:val="18"/>
              </w:rPr>
            </w:pPr>
          </w:p>
        </w:tc>
        <w:tc>
          <w:tcPr>
            <w:tcW w:w="670" w:type="dxa"/>
            <w:vMerge w:val="continue"/>
            <w:vAlign w:val="center"/>
          </w:tcPr>
          <w:p>
            <w:pPr>
              <w:pStyle w:val="27"/>
              <w:spacing w:line="240" w:lineRule="auto"/>
              <w:ind w:left="0"/>
              <w:jc w:val="center"/>
              <w:rPr>
                <w:sz w:val="18"/>
                <w:szCs w:val="18"/>
              </w:rPr>
            </w:pPr>
          </w:p>
        </w:tc>
        <w:tc>
          <w:tcPr>
            <w:tcW w:w="940" w:type="dxa"/>
            <w:vMerge w:val="continue"/>
            <w:vAlign w:val="center"/>
          </w:tcPr>
          <w:p>
            <w:pPr>
              <w:pStyle w:val="27"/>
              <w:spacing w:line="240" w:lineRule="auto"/>
              <w:ind w:left="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pStyle w:val="27"/>
              <w:spacing w:line="240" w:lineRule="auto"/>
              <w:ind w:left="0"/>
              <w:jc w:val="center"/>
              <w:rPr>
                <w:sz w:val="18"/>
                <w:szCs w:val="18"/>
              </w:rPr>
            </w:pPr>
          </w:p>
        </w:tc>
        <w:tc>
          <w:tcPr>
            <w:tcW w:w="1002" w:type="dxa"/>
            <w:vMerge w:val="continue"/>
            <w:vAlign w:val="center"/>
          </w:tcPr>
          <w:p>
            <w:pPr>
              <w:pStyle w:val="27"/>
              <w:spacing w:line="240" w:lineRule="auto"/>
              <w:ind w:left="0"/>
              <w:jc w:val="center"/>
              <w:rPr>
                <w:sz w:val="18"/>
                <w:szCs w:val="18"/>
              </w:rPr>
            </w:pPr>
          </w:p>
        </w:tc>
        <w:tc>
          <w:tcPr>
            <w:tcW w:w="1630" w:type="dxa"/>
            <w:vMerge w:val="restart"/>
            <w:vAlign w:val="center"/>
          </w:tcPr>
          <w:p>
            <w:pPr>
              <w:pStyle w:val="27"/>
              <w:spacing w:line="240" w:lineRule="auto"/>
              <w:ind w:left="0"/>
              <w:jc w:val="center"/>
              <w:rPr>
                <w:sz w:val="18"/>
                <w:szCs w:val="18"/>
              </w:rPr>
            </w:pPr>
            <w:r>
              <w:rPr>
                <w:i/>
                <w:sz w:val="18"/>
                <w:szCs w:val="18"/>
              </w:rPr>
              <w:t>R</w:t>
            </w:r>
            <w:r>
              <w:rPr>
                <w:sz w:val="18"/>
                <w:szCs w:val="18"/>
              </w:rPr>
              <w:t>&gt;</w:t>
            </w:r>
            <w:r>
              <w:rPr>
                <w:rFonts w:hint="eastAsia"/>
                <w:sz w:val="18"/>
                <w:szCs w:val="18"/>
              </w:rPr>
              <w:t>150×</w:t>
            </w:r>
            <w:r>
              <w:rPr>
                <w:i/>
                <w:sz w:val="18"/>
                <w:szCs w:val="18"/>
              </w:rPr>
              <w:t>D</w:t>
            </w:r>
            <w:r>
              <w:rPr>
                <w:sz w:val="18"/>
                <w:szCs w:val="18"/>
                <w:vertAlign w:val="subscript"/>
              </w:rPr>
              <w:t>0</w:t>
            </w:r>
          </w:p>
        </w:tc>
        <w:tc>
          <w:tcPr>
            <w:tcW w:w="1605" w:type="dxa"/>
            <w:vAlign w:val="center"/>
          </w:tcPr>
          <w:p>
            <w:pPr>
              <w:pStyle w:val="27"/>
              <w:spacing w:line="240" w:lineRule="auto"/>
              <w:ind w:left="0"/>
              <w:jc w:val="center"/>
              <w:rPr>
                <w:sz w:val="18"/>
                <w:szCs w:val="18"/>
              </w:rPr>
            </w:pPr>
            <w:r>
              <w:rPr>
                <w:sz w:val="18"/>
                <w:szCs w:val="18"/>
              </w:rPr>
              <w:t>水平曲线</w:t>
            </w:r>
          </w:p>
        </w:tc>
        <w:tc>
          <w:tcPr>
            <w:tcW w:w="1013" w:type="dxa"/>
            <w:vAlign w:val="center"/>
          </w:tcPr>
          <w:p>
            <w:pPr>
              <w:pStyle w:val="27"/>
              <w:spacing w:line="240" w:lineRule="auto"/>
              <w:ind w:left="0"/>
              <w:jc w:val="center"/>
              <w:rPr>
                <w:sz w:val="18"/>
                <w:szCs w:val="18"/>
              </w:rPr>
            </w:pPr>
            <w:r>
              <w:rPr>
                <w:sz w:val="18"/>
                <w:szCs w:val="18"/>
              </w:rPr>
              <w:t>150</w:t>
            </w:r>
          </w:p>
        </w:tc>
        <w:tc>
          <w:tcPr>
            <w:tcW w:w="855" w:type="dxa"/>
            <w:vMerge w:val="continue"/>
            <w:vAlign w:val="center"/>
          </w:tcPr>
          <w:p>
            <w:pPr>
              <w:pStyle w:val="27"/>
              <w:spacing w:line="240" w:lineRule="auto"/>
              <w:ind w:left="0"/>
              <w:jc w:val="center"/>
              <w:rPr>
                <w:sz w:val="18"/>
                <w:szCs w:val="18"/>
              </w:rPr>
            </w:pPr>
          </w:p>
        </w:tc>
        <w:tc>
          <w:tcPr>
            <w:tcW w:w="670" w:type="dxa"/>
            <w:vMerge w:val="continue"/>
            <w:vAlign w:val="center"/>
          </w:tcPr>
          <w:p>
            <w:pPr>
              <w:pStyle w:val="27"/>
              <w:spacing w:line="240" w:lineRule="auto"/>
              <w:ind w:left="0"/>
              <w:jc w:val="center"/>
              <w:rPr>
                <w:sz w:val="18"/>
                <w:szCs w:val="18"/>
              </w:rPr>
            </w:pPr>
          </w:p>
        </w:tc>
        <w:tc>
          <w:tcPr>
            <w:tcW w:w="940" w:type="dxa"/>
            <w:vMerge w:val="continue"/>
            <w:vAlign w:val="center"/>
          </w:tcPr>
          <w:p>
            <w:pPr>
              <w:pStyle w:val="27"/>
              <w:spacing w:line="240" w:lineRule="auto"/>
              <w:ind w:left="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pStyle w:val="27"/>
              <w:spacing w:line="240" w:lineRule="auto"/>
              <w:ind w:left="0"/>
              <w:jc w:val="center"/>
              <w:rPr>
                <w:sz w:val="18"/>
                <w:szCs w:val="18"/>
              </w:rPr>
            </w:pPr>
          </w:p>
        </w:tc>
        <w:tc>
          <w:tcPr>
            <w:tcW w:w="1002" w:type="dxa"/>
            <w:vMerge w:val="continue"/>
            <w:vAlign w:val="center"/>
          </w:tcPr>
          <w:p>
            <w:pPr>
              <w:pStyle w:val="27"/>
              <w:spacing w:line="240" w:lineRule="auto"/>
              <w:ind w:left="0"/>
              <w:jc w:val="center"/>
              <w:rPr>
                <w:sz w:val="18"/>
                <w:szCs w:val="18"/>
              </w:rPr>
            </w:pPr>
          </w:p>
        </w:tc>
        <w:tc>
          <w:tcPr>
            <w:tcW w:w="1630" w:type="dxa"/>
            <w:vMerge w:val="continue"/>
            <w:vAlign w:val="center"/>
          </w:tcPr>
          <w:p>
            <w:pPr>
              <w:pStyle w:val="27"/>
              <w:spacing w:line="240" w:lineRule="auto"/>
              <w:ind w:left="0"/>
              <w:jc w:val="center"/>
              <w:rPr>
                <w:sz w:val="18"/>
                <w:szCs w:val="18"/>
              </w:rPr>
            </w:pPr>
          </w:p>
        </w:tc>
        <w:tc>
          <w:tcPr>
            <w:tcW w:w="1605" w:type="dxa"/>
            <w:vAlign w:val="center"/>
          </w:tcPr>
          <w:p>
            <w:pPr>
              <w:pStyle w:val="27"/>
              <w:spacing w:line="240" w:lineRule="auto"/>
              <w:ind w:left="0"/>
              <w:jc w:val="center"/>
              <w:rPr>
                <w:sz w:val="18"/>
                <w:szCs w:val="18"/>
              </w:rPr>
            </w:pPr>
            <w:r>
              <w:rPr>
                <w:sz w:val="18"/>
                <w:szCs w:val="18"/>
              </w:rPr>
              <w:t>竖曲线</w:t>
            </w:r>
          </w:p>
        </w:tc>
        <w:tc>
          <w:tcPr>
            <w:tcW w:w="1013" w:type="dxa"/>
            <w:vAlign w:val="center"/>
          </w:tcPr>
          <w:p>
            <w:pPr>
              <w:pStyle w:val="27"/>
              <w:spacing w:line="240" w:lineRule="auto"/>
              <w:ind w:left="0"/>
              <w:jc w:val="center"/>
              <w:rPr>
                <w:sz w:val="18"/>
                <w:szCs w:val="18"/>
              </w:rPr>
            </w:pPr>
            <w:r>
              <w:rPr>
                <w:sz w:val="18"/>
                <w:szCs w:val="18"/>
              </w:rPr>
              <w:t>150</w:t>
            </w:r>
          </w:p>
        </w:tc>
        <w:tc>
          <w:tcPr>
            <w:tcW w:w="855" w:type="dxa"/>
            <w:vMerge w:val="continue"/>
            <w:vAlign w:val="center"/>
          </w:tcPr>
          <w:p>
            <w:pPr>
              <w:pStyle w:val="27"/>
              <w:spacing w:line="240" w:lineRule="auto"/>
              <w:ind w:left="0"/>
              <w:jc w:val="center"/>
              <w:rPr>
                <w:sz w:val="18"/>
                <w:szCs w:val="18"/>
              </w:rPr>
            </w:pPr>
          </w:p>
        </w:tc>
        <w:tc>
          <w:tcPr>
            <w:tcW w:w="670" w:type="dxa"/>
            <w:vMerge w:val="continue"/>
            <w:vAlign w:val="center"/>
          </w:tcPr>
          <w:p>
            <w:pPr>
              <w:pStyle w:val="27"/>
              <w:spacing w:line="240" w:lineRule="auto"/>
              <w:ind w:left="0"/>
              <w:jc w:val="center"/>
              <w:rPr>
                <w:sz w:val="18"/>
                <w:szCs w:val="18"/>
              </w:rPr>
            </w:pPr>
          </w:p>
        </w:tc>
        <w:tc>
          <w:tcPr>
            <w:tcW w:w="940" w:type="dxa"/>
            <w:vMerge w:val="continue"/>
            <w:vAlign w:val="center"/>
          </w:tcPr>
          <w:p>
            <w:pPr>
              <w:pStyle w:val="27"/>
              <w:spacing w:line="240" w:lineRule="auto"/>
              <w:ind w:left="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pStyle w:val="27"/>
              <w:spacing w:line="240" w:lineRule="auto"/>
              <w:ind w:left="0"/>
              <w:jc w:val="center"/>
              <w:rPr>
                <w:sz w:val="18"/>
                <w:szCs w:val="18"/>
              </w:rPr>
            </w:pPr>
          </w:p>
        </w:tc>
        <w:tc>
          <w:tcPr>
            <w:tcW w:w="1002" w:type="dxa"/>
            <w:vMerge w:val="continue"/>
            <w:vAlign w:val="center"/>
          </w:tcPr>
          <w:p>
            <w:pPr>
              <w:pStyle w:val="27"/>
              <w:spacing w:line="240" w:lineRule="auto"/>
              <w:ind w:left="0"/>
              <w:jc w:val="center"/>
              <w:rPr>
                <w:sz w:val="18"/>
                <w:szCs w:val="18"/>
              </w:rPr>
            </w:pPr>
          </w:p>
        </w:tc>
        <w:tc>
          <w:tcPr>
            <w:tcW w:w="1630" w:type="dxa"/>
            <w:vMerge w:val="continue"/>
            <w:vAlign w:val="center"/>
          </w:tcPr>
          <w:p>
            <w:pPr>
              <w:pStyle w:val="27"/>
              <w:spacing w:line="240" w:lineRule="auto"/>
              <w:ind w:left="0"/>
              <w:jc w:val="center"/>
              <w:rPr>
                <w:sz w:val="18"/>
                <w:szCs w:val="18"/>
              </w:rPr>
            </w:pPr>
          </w:p>
        </w:tc>
        <w:tc>
          <w:tcPr>
            <w:tcW w:w="1605" w:type="dxa"/>
            <w:vAlign w:val="center"/>
          </w:tcPr>
          <w:p>
            <w:pPr>
              <w:pStyle w:val="27"/>
              <w:spacing w:line="240" w:lineRule="auto"/>
              <w:ind w:left="0"/>
              <w:jc w:val="center"/>
              <w:rPr>
                <w:sz w:val="18"/>
                <w:szCs w:val="18"/>
              </w:rPr>
            </w:pPr>
            <w:r>
              <w:rPr>
                <w:sz w:val="18"/>
                <w:szCs w:val="18"/>
              </w:rPr>
              <w:t>复合曲线</w:t>
            </w:r>
          </w:p>
        </w:tc>
        <w:tc>
          <w:tcPr>
            <w:tcW w:w="1013" w:type="dxa"/>
            <w:vAlign w:val="center"/>
          </w:tcPr>
          <w:p>
            <w:pPr>
              <w:pStyle w:val="27"/>
              <w:spacing w:line="240" w:lineRule="auto"/>
              <w:ind w:left="0"/>
              <w:jc w:val="center"/>
              <w:rPr>
                <w:sz w:val="18"/>
                <w:szCs w:val="18"/>
              </w:rPr>
            </w:pPr>
            <w:r>
              <w:rPr>
                <w:sz w:val="18"/>
                <w:szCs w:val="18"/>
              </w:rPr>
              <w:t>150</w:t>
            </w:r>
          </w:p>
        </w:tc>
        <w:tc>
          <w:tcPr>
            <w:tcW w:w="855" w:type="dxa"/>
            <w:vMerge w:val="continue"/>
            <w:vAlign w:val="center"/>
          </w:tcPr>
          <w:p>
            <w:pPr>
              <w:pStyle w:val="27"/>
              <w:spacing w:line="240" w:lineRule="auto"/>
              <w:ind w:left="0"/>
              <w:jc w:val="center"/>
              <w:rPr>
                <w:sz w:val="18"/>
                <w:szCs w:val="18"/>
              </w:rPr>
            </w:pPr>
          </w:p>
        </w:tc>
        <w:tc>
          <w:tcPr>
            <w:tcW w:w="670" w:type="dxa"/>
            <w:vMerge w:val="continue"/>
            <w:vAlign w:val="center"/>
          </w:tcPr>
          <w:p>
            <w:pPr>
              <w:pStyle w:val="27"/>
              <w:spacing w:line="240" w:lineRule="auto"/>
              <w:ind w:left="0"/>
              <w:jc w:val="center"/>
              <w:rPr>
                <w:sz w:val="18"/>
                <w:szCs w:val="18"/>
              </w:rPr>
            </w:pPr>
          </w:p>
        </w:tc>
        <w:tc>
          <w:tcPr>
            <w:tcW w:w="940" w:type="dxa"/>
            <w:vMerge w:val="continue"/>
            <w:vAlign w:val="center"/>
          </w:tcPr>
          <w:p>
            <w:pPr>
              <w:pStyle w:val="27"/>
              <w:spacing w:line="240" w:lineRule="auto"/>
              <w:ind w:left="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pPr>
              <w:pStyle w:val="27"/>
              <w:spacing w:line="240" w:lineRule="auto"/>
              <w:ind w:left="0"/>
              <w:jc w:val="center"/>
              <w:rPr>
                <w:sz w:val="18"/>
                <w:szCs w:val="18"/>
              </w:rPr>
            </w:pPr>
            <w:r>
              <w:rPr>
                <w:sz w:val="18"/>
                <w:szCs w:val="18"/>
              </w:rPr>
              <w:t>4</w:t>
            </w:r>
          </w:p>
        </w:tc>
        <w:tc>
          <w:tcPr>
            <w:tcW w:w="1002" w:type="dxa"/>
            <w:vMerge w:val="restart"/>
            <w:vAlign w:val="center"/>
          </w:tcPr>
          <w:p>
            <w:pPr>
              <w:pStyle w:val="27"/>
              <w:spacing w:line="240" w:lineRule="auto"/>
              <w:ind w:left="0"/>
              <w:jc w:val="center"/>
              <w:rPr>
                <w:sz w:val="18"/>
                <w:szCs w:val="18"/>
              </w:rPr>
            </w:pPr>
            <w:r>
              <w:rPr>
                <w:sz w:val="18"/>
                <w:szCs w:val="18"/>
              </w:rPr>
              <w:t>曲线</w:t>
            </w:r>
            <w:r>
              <w:rPr>
                <w:rFonts w:hint="eastAsia"/>
                <w:sz w:val="18"/>
                <w:szCs w:val="18"/>
              </w:rPr>
              <w:t>管幕</w:t>
            </w:r>
          </w:p>
          <w:p>
            <w:pPr>
              <w:pStyle w:val="27"/>
              <w:spacing w:line="240" w:lineRule="auto"/>
              <w:ind w:left="0"/>
              <w:jc w:val="center"/>
              <w:rPr>
                <w:sz w:val="18"/>
                <w:szCs w:val="18"/>
              </w:rPr>
            </w:pPr>
            <w:r>
              <w:rPr>
                <w:sz w:val="18"/>
                <w:szCs w:val="18"/>
              </w:rPr>
              <w:t>内底高程</w:t>
            </w:r>
          </w:p>
        </w:tc>
        <w:tc>
          <w:tcPr>
            <w:tcW w:w="1630" w:type="dxa"/>
            <w:vMerge w:val="restart"/>
            <w:vAlign w:val="center"/>
          </w:tcPr>
          <w:p>
            <w:pPr>
              <w:pStyle w:val="27"/>
              <w:spacing w:line="240" w:lineRule="auto"/>
              <w:ind w:left="0"/>
              <w:jc w:val="center"/>
              <w:rPr>
                <w:sz w:val="18"/>
                <w:szCs w:val="18"/>
              </w:rPr>
            </w:pPr>
            <w:r>
              <w:rPr>
                <w:i/>
                <w:sz w:val="18"/>
                <w:szCs w:val="18"/>
              </w:rPr>
              <w:t>R</w:t>
            </w:r>
            <w:r>
              <w:rPr>
                <w:sz w:val="18"/>
                <w:szCs w:val="18"/>
              </w:rPr>
              <w:t>≤</w:t>
            </w:r>
            <w:r>
              <w:rPr>
                <w:rFonts w:hint="eastAsia"/>
                <w:sz w:val="18"/>
                <w:szCs w:val="18"/>
              </w:rPr>
              <w:t>150×</w:t>
            </w:r>
            <w:r>
              <w:rPr>
                <w:i/>
                <w:sz w:val="18"/>
                <w:szCs w:val="18"/>
              </w:rPr>
              <w:t>D</w:t>
            </w:r>
            <w:r>
              <w:rPr>
                <w:sz w:val="18"/>
                <w:szCs w:val="18"/>
                <w:vertAlign w:val="subscript"/>
              </w:rPr>
              <w:t>0</w:t>
            </w:r>
          </w:p>
        </w:tc>
        <w:tc>
          <w:tcPr>
            <w:tcW w:w="1605" w:type="dxa"/>
            <w:vAlign w:val="center"/>
          </w:tcPr>
          <w:p>
            <w:pPr>
              <w:pStyle w:val="27"/>
              <w:spacing w:line="240" w:lineRule="auto"/>
              <w:ind w:left="0"/>
              <w:jc w:val="center"/>
              <w:rPr>
                <w:sz w:val="18"/>
                <w:szCs w:val="18"/>
              </w:rPr>
            </w:pPr>
            <w:r>
              <w:rPr>
                <w:sz w:val="18"/>
                <w:szCs w:val="18"/>
              </w:rPr>
              <w:t>水平曲线</w:t>
            </w:r>
          </w:p>
        </w:tc>
        <w:tc>
          <w:tcPr>
            <w:tcW w:w="1013" w:type="dxa"/>
            <w:vAlign w:val="center"/>
          </w:tcPr>
          <w:p>
            <w:pPr>
              <w:pStyle w:val="27"/>
              <w:spacing w:line="240" w:lineRule="auto"/>
              <w:ind w:left="0"/>
              <w:jc w:val="center"/>
              <w:rPr>
                <w:sz w:val="18"/>
                <w:szCs w:val="18"/>
              </w:rPr>
            </w:pPr>
            <w:r>
              <w:rPr>
                <w:sz w:val="18"/>
                <w:szCs w:val="18"/>
              </w:rPr>
              <w:t>+100，-150</w:t>
            </w:r>
          </w:p>
        </w:tc>
        <w:tc>
          <w:tcPr>
            <w:tcW w:w="855" w:type="dxa"/>
            <w:vMerge w:val="continue"/>
            <w:vAlign w:val="center"/>
          </w:tcPr>
          <w:p>
            <w:pPr>
              <w:pStyle w:val="27"/>
              <w:spacing w:line="240" w:lineRule="auto"/>
              <w:ind w:left="0"/>
              <w:jc w:val="center"/>
              <w:rPr>
                <w:sz w:val="18"/>
                <w:szCs w:val="18"/>
              </w:rPr>
            </w:pPr>
          </w:p>
        </w:tc>
        <w:tc>
          <w:tcPr>
            <w:tcW w:w="670" w:type="dxa"/>
            <w:vMerge w:val="continue"/>
            <w:vAlign w:val="center"/>
          </w:tcPr>
          <w:p>
            <w:pPr>
              <w:pStyle w:val="27"/>
              <w:spacing w:line="240" w:lineRule="auto"/>
              <w:ind w:left="0"/>
              <w:jc w:val="center"/>
              <w:rPr>
                <w:sz w:val="18"/>
                <w:szCs w:val="18"/>
              </w:rPr>
            </w:pPr>
          </w:p>
        </w:tc>
        <w:tc>
          <w:tcPr>
            <w:tcW w:w="940" w:type="dxa"/>
            <w:vMerge w:val="restart"/>
            <w:vAlign w:val="center"/>
          </w:tcPr>
          <w:p>
            <w:pPr>
              <w:pStyle w:val="27"/>
              <w:spacing w:line="240" w:lineRule="auto"/>
              <w:ind w:left="0"/>
              <w:jc w:val="center"/>
              <w:rPr>
                <w:sz w:val="18"/>
                <w:szCs w:val="18"/>
              </w:rPr>
            </w:pPr>
            <w:r>
              <w:rPr>
                <w:sz w:val="18"/>
                <w:szCs w:val="18"/>
              </w:rPr>
              <w:t>水准仪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pStyle w:val="27"/>
              <w:spacing w:line="240" w:lineRule="auto"/>
              <w:ind w:left="0"/>
              <w:jc w:val="center"/>
              <w:rPr>
                <w:sz w:val="18"/>
                <w:szCs w:val="18"/>
              </w:rPr>
            </w:pPr>
          </w:p>
        </w:tc>
        <w:tc>
          <w:tcPr>
            <w:tcW w:w="1002" w:type="dxa"/>
            <w:vMerge w:val="continue"/>
            <w:vAlign w:val="center"/>
          </w:tcPr>
          <w:p>
            <w:pPr>
              <w:pStyle w:val="27"/>
              <w:spacing w:line="240" w:lineRule="auto"/>
              <w:ind w:left="0"/>
              <w:jc w:val="center"/>
              <w:rPr>
                <w:sz w:val="18"/>
                <w:szCs w:val="18"/>
              </w:rPr>
            </w:pPr>
          </w:p>
        </w:tc>
        <w:tc>
          <w:tcPr>
            <w:tcW w:w="1630" w:type="dxa"/>
            <w:vMerge w:val="continue"/>
            <w:vAlign w:val="center"/>
          </w:tcPr>
          <w:p>
            <w:pPr>
              <w:pStyle w:val="27"/>
              <w:spacing w:line="240" w:lineRule="auto"/>
              <w:ind w:left="0"/>
              <w:jc w:val="center"/>
              <w:rPr>
                <w:sz w:val="18"/>
                <w:szCs w:val="18"/>
              </w:rPr>
            </w:pPr>
          </w:p>
        </w:tc>
        <w:tc>
          <w:tcPr>
            <w:tcW w:w="1605" w:type="dxa"/>
            <w:vAlign w:val="center"/>
          </w:tcPr>
          <w:p>
            <w:pPr>
              <w:pStyle w:val="27"/>
              <w:spacing w:line="240" w:lineRule="auto"/>
              <w:ind w:left="0"/>
              <w:jc w:val="center"/>
              <w:rPr>
                <w:sz w:val="18"/>
                <w:szCs w:val="18"/>
              </w:rPr>
            </w:pPr>
            <w:r>
              <w:rPr>
                <w:sz w:val="18"/>
                <w:szCs w:val="18"/>
              </w:rPr>
              <w:t>竖曲线</w:t>
            </w:r>
          </w:p>
        </w:tc>
        <w:tc>
          <w:tcPr>
            <w:tcW w:w="1013" w:type="dxa"/>
            <w:vAlign w:val="center"/>
          </w:tcPr>
          <w:p>
            <w:pPr>
              <w:pStyle w:val="27"/>
              <w:spacing w:line="240" w:lineRule="auto"/>
              <w:ind w:left="0"/>
              <w:jc w:val="center"/>
              <w:rPr>
                <w:sz w:val="18"/>
                <w:szCs w:val="18"/>
              </w:rPr>
            </w:pPr>
            <w:r>
              <w:rPr>
                <w:sz w:val="18"/>
                <w:szCs w:val="18"/>
              </w:rPr>
              <w:t>+150，-200</w:t>
            </w:r>
          </w:p>
        </w:tc>
        <w:tc>
          <w:tcPr>
            <w:tcW w:w="855" w:type="dxa"/>
            <w:vMerge w:val="continue"/>
            <w:vAlign w:val="center"/>
          </w:tcPr>
          <w:p>
            <w:pPr>
              <w:pStyle w:val="27"/>
              <w:spacing w:line="240" w:lineRule="auto"/>
              <w:ind w:left="0"/>
              <w:jc w:val="center"/>
              <w:rPr>
                <w:sz w:val="18"/>
                <w:szCs w:val="18"/>
              </w:rPr>
            </w:pPr>
          </w:p>
        </w:tc>
        <w:tc>
          <w:tcPr>
            <w:tcW w:w="670" w:type="dxa"/>
            <w:vMerge w:val="continue"/>
            <w:vAlign w:val="center"/>
          </w:tcPr>
          <w:p>
            <w:pPr>
              <w:pStyle w:val="27"/>
              <w:spacing w:line="240" w:lineRule="auto"/>
              <w:ind w:left="0"/>
              <w:jc w:val="center"/>
              <w:rPr>
                <w:sz w:val="18"/>
                <w:szCs w:val="18"/>
              </w:rPr>
            </w:pPr>
          </w:p>
        </w:tc>
        <w:tc>
          <w:tcPr>
            <w:tcW w:w="940" w:type="dxa"/>
            <w:vMerge w:val="continue"/>
            <w:vAlign w:val="center"/>
          </w:tcPr>
          <w:p>
            <w:pPr>
              <w:pStyle w:val="27"/>
              <w:spacing w:line="240" w:lineRule="auto"/>
              <w:ind w:left="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pStyle w:val="27"/>
              <w:spacing w:line="240" w:lineRule="auto"/>
              <w:ind w:left="0"/>
              <w:jc w:val="center"/>
              <w:rPr>
                <w:sz w:val="18"/>
                <w:szCs w:val="18"/>
              </w:rPr>
            </w:pPr>
          </w:p>
        </w:tc>
        <w:tc>
          <w:tcPr>
            <w:tcW w:w="1002" w:type="dxa"/>
            <w:vMerge w:val="continue"/>
            <w:vAlign w:val="center"/>
          </w:tcPr>
          <w:p>
            <w:pPr>
              <w:pStyle w:val="27"/>
              <w:spacing w:line="240" w:lineRule="auto"/>
              <w:ind w:left="0"/>
              <w:jc w:val="center"/>
              <w:rPr>
                <w:sz w:val="18"/>
                <w:szCs w:val="18"/>
              </w:rPr>
            </w:pPr>
          </w:p>
        </w:tc>
        <w:tc>
          <w:tcPr>
            <w:tcW w:w="1630" w:type="dxa"/>
            <w:vMerge w:val="continue"/>
            <w:vAlign w:val="center"/>
          </w:tcPr>
          <w:p>
            <w:pPr>
              <w:pStyle w:val="27"/>
              <w:spacing w:line="240" w:lineRule="auto"/>
              <w:ind w:left="0"/>
              <w:jc w:val="center"/>
              <w:rPr>
                <w:sz w:val="18"/>
                <w:szCs w:val="18"/>
              </w:rPr>
            </w:pPr>
          </w:p>
        </w:tc>
        <w:tc>
          <w:tcPr>
            <w:tcW w:w="1605" w:type="dxa"/>
            <w:vAlign w:val="center"/>
          </w:tcPr>
          <w:p>
            <w:pPr>
              <w:pStyle w:val="27"/>
              <w:spacing w:line="240" w:lineRule="auto"/>
              <w:ind w:left="0"/>
              <w:jc w:val="center"/>
              <w:rPr>
                <w:sz w:val="18"/>
                <w:szCs w:val="18"/>
              </w:rPr>
            </w:pPr>
            <w:r>
              <w:rPr>
                <w:sz w:val="18"/>
                <w:szCs w:val="18"/>
              </w:rPr>
              <w:t>复合曲线</w:t>
            </w:r>
          </w:p>
        </w:tc>
        <w:tc>
          <w:tcPr>
            <w:tcW w:w="1013" w:type="dxa"/>
            <w:vAlign w:val="center"/>
          </w:tcPr>
          <w:p>
            <w:pPr>
              <w:pStyle w:val="27"/>
              <w:spacing w:line="240" w:lineRule="auto"/>
              <w:ind w:left="0"/>
              <w:jc w:val="center"/>
              <w:rPr>
                <w:sz w:val="18"/>
                <w:szCs w:val="18"/>
              </w:rPr>
            </w:pPr>
            <w:r>
              <w:rPr>
                <w:sz w:val="18"/>
                <w:szCs w:val="18"/>
              </w:rPr>
              <w:t>±200</w:t>
            </w:r>
          </w:p>
        </w:tc>
        <w:tc>
          <w:tcPr>
            <w:tcW w:w="855" w:type="dxa"/>
            <w:vMerge w:val="continue"/>
            <w:vAlign w:val="center"/>
          </w:tcPr>
          <w:p>
            <w:pPr>
              <w:pStyle w:val="27"/>
              <w:spacing w:line="240" w:lineRule="auto"/>
              <w:ind w:left="0"/>
              <w:jc w:val="center"/>
              <w:rPr>
                <w:sz w:val="18"/>
                <w:szCs w:val="18"/>
              </w:rPr>
            </w:pPr>
          </w:p>
        </w:tc>
        <w:tc>
          <w:tcPr>
            <w:tcW w:w="670" w:type="dxa"/>
            <w:vMerge w:val="continue"/>
            <w:vAlign w:val="center"/>
          </w:tcPr>
          <w:p>
            <w:pPr>
              <w:pStyle w:val="27"/>
              <w:spacing w:line="240" w:lineRule="auto"/>
              <w:ind w:left="0"/>
              <w:jc w:val="center"/>
              <w:rPr>
                <w:sz w:val="18"/>
                <w:szCs w:val="18"/>
              </w:rPr>
            </w:pPr>
          </w:p>
        </w:tc>
        <w:tc>
          <w:tcPr>
            <w:tcW w:w="940" w:type="dxa"/>
            <w:vMerge w:val="continue"/>
            <w:vAlign w:val="center"/>
          </w:tcPr>
          <w:p>
            <w:pPr>
              <w:pStyle w:val="27"/>
              <w:spacing w:line="240" w:lineRule="auto"/>
              <w:ind w:left="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pStyle w:val="27"/>
              <w:spacing w:line="240" w:lineRule="auto"/>
              <w:ind w:left="0"/>
              <w:jc w:val="center"/>
              <w:rPr>
                <w:sz w:val="18"/>
                <w:szCs w:val="18"/>
              </w:rPr>
            </w:pPr>
          </w:p>
        </w:tc>
        <w:tc>
          <w:tcPr>
            <w:tcW w:w="1002" w:type="dxa"/>
            <w:vMerge w:val="continue"/>
            <w:vAlign w:val="center"/>
          </w:tcPr>
          <w:p>
            <w:pPr>
              <w:pStyle w:val="27"/>
              <w:spacing w:line="240" w:lineRule="auto"/>
              <w:ind w:left="0"/>
              <w:jc w:val="center"/>
              <w:rPr>
                <w:sz w:val="18"/>
                <w:szCs w:val="18"/>
              </w:rPr>
            </w:pPr>
          </w:p>
        </w:tc>
        <w:tc>
          <w:tcPr>
            <w:tcW w:w="1630" w:type="dxa"/>
            <w:vMerge w:val="restart"/>
            <w:vAlign w:val="center"/>
          </w:tcPr>
          <w:p>
            <w:pPr>
              <w:pStyle w:val="27"/>
              <w:spacing w:line="240" w:lineRule="auto"/>
              <w:ind w:left="0"/>
              <w:jc w:val="center"/>
              <w:rPr>
                <w:sz w:val="18"/>
                <w:szCs w:val="18"/>
              </w:rPr>
            </w:pPr>
            <w:r>
              <w:rPr>
                <w:i/>
                <w:sz w:val="18"/>
                <w:szCs w:val="18"/>
              </w:rPr>
              <w:t>R</w:t>
            </w:r>
            <w:r>
              <w:rPr>
                <w:sz w:val="18"/>
                <w:szCs w:val="18"/>
              </w:rPr>
              <w:t>&gt;</w:t>
            </w:r>
            <w:r>
              <w:rPr>
                <w:rFonts w:hint="eastAsia"/>
                <w:sz w:val="18"/>
                <w:szCs w:val="18"/>
              </w:rPr>
              <w:t>150×</w:t>
            </w:r>
            <w:r>
              <w:rPr>
                <w:i/>
                <w:sz w:val="18"/>
                <w:szCs w:val="18"/>
              </w:rPr>
              <w:t>D</w:t>
            </w:r>
            <w:r>
              <w:rPr>
                <w:sz w:val="18"/>
                <w:szCs w:val="18"/>
                <w:vertAlign w:val="subscript"/>
              </w:rPr>
              <w:t>0</w:t>
            </w:r>
          </w:p>
        </w:tc>
        <w:tc>
          <w:tcPr>
            <w:tcW w:w="1605" w:type="dxa"/>
            <w:vAlign w:val="center"/>
          </w:tcPr>
          <w:p>
            <w:pPr>
              <w:pStyle w:val="27"/>
              <w:spacing w:line="240" w:lineRule="auto"/>
              <w:ind w:left="0"/>
              <w:jc w:val="center"/>
              <w:rPr>
                <w:sz w:val="18"/>
                <w:szCs w:val="18"/>
              </w:rPr>
            </w:pPr>
            <w:r>
              <w:rPr>
                <w:sz w:val="18"/>
                <w:szCs w:val="18"/>
              </w:rPr>
              <w:t>水平曲线</w:t>
            </w:r>
          </w:p>
        </w:tc>
        <w:tc>
          <w:tcPr>
            <w:tcW w:w="1013" w:type="dxa"/>
            <w:vAlign w:val="center"/>
          </w:tcPr>
          <w:p>
            <w:pPr>
              <w:pStyle w:val="27"/>
              <w:spacing w:line="240" w:lineRule="auto"/>
              <w:ind w:left="0"/>
              <w:jc w:val="center"/>
              <w:rPr>
                <w:sz w:val="18"/>
                <w:szCs w:val="18"/>
              </w:rPr>
            </w:pPr>
            <w:r>
              <w:rPr>
                <w:sz w:val="18"/>
                <w:szCs w:val="18"/>
              </w:rPr>
              <w:t>+100，-150</w:t>
            </w:r>
          </w:p>
        </w:tc>
        <w:tc>
          <w:tcPr>
            <w:tcW w:w="855" w:type="dxa"/>
            <w:vMerge w:val="continue"/>
            <w:vAlign w:val="center"/>
          </w:tcPr>
          <w:p>
            <w:pPr>
              <w:pStyle w:val="27"/>
              <w:spacing w:line="240" w:lineRule="auto"/>
              <w:ind w:left="0"/>
              <w:jc w:val="center"/>
              <w:rPr>
                <w:sz w:val="18"/>
                <w:szCs w:val="18"/>
              </w:rPr>
            </w:pPr>
          </w:p>
        </w:tc>
        <w:tc>
          <w:tcPr>
            <w:tcW w:w="670" w:type="dxa"/>
            <w:vMerge w:val="continue"/>
            <w:vAlign w:val="center"/>
          </w:tcPr>
          <w:p>
            <w:pPr>
              <w:pStyle w:val="27"/>
              <w:spacing w:line="240" w:lineRule="auto"/>
              <w:ind w:left="0"/>
              <w:jc w:val="center"/>
              <w:rPr>
                <w:sz w:val="18"/>
                <w:szCs w:val="18"/>
              </w:rPr>
            </w:pPr>
          </w:p>
        </w:tc>
        <w:tc>
          <w:tcPr>
            <w:tcW w:w="940" w:type="dxa"/>
            <w:vMerge w:val="continue"/>
            <w:vAlign w:val="center"/>
          </w:tcPr>
          <w:p>
            <w:pPr>
              <w:pStyle w:val="27"/>
              <w:spacing w:line="240" w:lineRule="auto"/>
              <w:ind w:left="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pStyle w:val="27"/>
              <w:spacing w:line="240" w:lineRule="auto"/>
              <w:ind w:left="0"/>
              <w:jc w:val="center"/>
              <w:rPr>
                <w:sz w:val="18"/>
                <w:szCs w:val="18"/>
              </w:rPr>
            </w:pPr>
          </w:p>
        </w:tc>
        <w:tc>
          <w:tcPr>
            <w:tcW w:w="1002" w:type="dxa"/>
            <w:vMerge w:val="continue"/>
            <w:vAlign w:val="center"/>
          </w:tcPr>
          <w:p>
            <w:pPr>
              <w:pStyle w:val="27"/>
              <w:spacing w:line="240" w:lineRule="auto"/>
              <w:ind w:left="0"/>
              <w:jc w:val="center"/>
              <w:rPr>
                <w:sz w:val="18"/>
                <w:szCs w:val="18"/>
              </w:rPr>
            </w:pPr>
          </w:p>
        </w:tc>
        <w:tc>
          <w:tcPr>
            <w:tcW w:w="1630" w:type="dxa"/>
            <w:vMerge w:val="continue"/>
            <w:vAlign w:val="center"/>
          </w:tcPr>
          <w:p>
            <w:pPr>
              <w:pStyle w:val="27"/>
              <w:spacing w:line="240" w:lineRule="auto"/>
              <w:ind w:left="0"/>
              <w:jc w:val="center"/>
              <w:rPr>
                <w:sz w:val="18"/>
                <w:szCs w:val="18"/>
              </w:rPr>
            </w:pPr>
          </w:p>
        </w:tc>
        <w:tc>
          <w:tcPr>
            <w:tcW w:w="1605" w:type="dxa"/>
            <w:vAlign w:val="center"/>
          </w:tcPr>
          <w:p>
            <w:pPr>
              <w:pStyle w:val="27"/>
              <w:spacing w:line="240" w:lineRule="auto"/>
              <w:ind w:left="0"/>
              <w:jc w:val="center"/>
              <w:rPr>
                <w:sz w:val="18"/>
                <w:szCs w:val="18"/>
              </w:rPr>
            </w:pPr>
            <w:r>
              <w:rPr>
                <w:sz w:val="18"/>
                <w:szCs w:val="18"/>
              </w:rPr>
              <w:t>竖曲线</w:t>
            </w:r>
          </w:p>
        </w:tc>
        <w:tc>
          <w:tcPr>
            <w:tcW w:w="1013" w:type="dxa"/>
            <w:vAlign w:val="center"/>
          </w:tcPr>
          <w:p>
            <w:pPr>
              <w:pStyle w:val="27"/>
              <w:spacing w:line="240" w:lineRule="auto"/>
              <w:ind w:left="0"/>
              <w:jc w:val="center"/>
              <w:rPr>
                <w:sz w:val="18"/>
                <w:szCs w:val="18"/>
              </w:rPr>
            </w:pPr>
            <w:r>
              <w:rPr>
                <w:sz w:val="18"/>
                <w:szCs w:val="18"/>
              </w:rPr>
              <w:t>+1</w:t>
            </w:r>
            <w:r>
              <w:rPr>
                <w:rFonts w:hint="eastAsia"/>
                <w:sz w:val="18"/>
                <w:szCs w:val="18"/>
              </w:rPr>
              <w:t>0</w:t>
            </w:r>
            <w:r>
              <w:rPr>
                <w:sz w:val="18"/>
                <w:szCs w:val="18"/>
              </w:rPr>
              <w:t>0，-</w:t>
            </w:r>
            <w:r>
              <w:rPr>
                <w:rFonts w:hint="eastAsia"/>
                <w:sz w:val="18"/>
                <w:szCs w:val="18"/>
              </w:rPr>
              <w:t>15</w:t>
            </w:r>
            <w:r>
              <w:rPr>
                <w:sz w:val="18"/>
                <w:szCs w:val="18"/>
              </w:rPr>
              <w:t>0</w:t>
            </w:r>
          </w:p>
        </w:tc>
        <w:tc>
          <w:tcPr>
            <w:tcW w:w="855" w:type="dxa"/>
            <w:vMerge w:val="continue"/>
            <w:vAlign w:val="center"/>
          </w:tcPr>
          <w:p>
            <w:pPr>
              <w:pStyle w:val="27"/>
              <w:spacing w:line="240" w:lineRule="auto"/>
              <w:ind w:left="0"/>
              <w:jc w:val="center"/>
              <w:rPr>
                <w:sz w:val="18"/>
                <w:szCs w:val="18"/>
              </w:rPr>
            </w:pPr>
          </w:p>
        </w:tc>
        <w:tc>
          <w:tcPr>
            <w:tcW w:w="670" w:type="dxa"/>
            <w:vMerge w:val="continue"/>
            <w:vAlign w:val="center"/>
          </w:tcPr>
          <w:p>
            <w:pPr>
              <w:pStyle w:val="27"/>
              <w:spacing w:line="240" w:lineRule="auto"/>
              <w:ind w:left="0"/>
              <w:jc w:val="center"/>
              <w:rPr>
                <w:sz w:val="18"/>
                <w:szCs w:val="18"/>
              </w:rPr>
            </w:pPr>
          </w:p>
        </w:tc>
        <w:tc>
          <w:tcPr>
            <w:tcW w:w="940" w:type="dxa"/>
            <w:vMerge w:val="continue"/>
            <w:vAlign w:val="center"/>
          </w:tcPr>
          <w:p>
            <w:pPr>
              <w:pStyle w:val="27"/>
              <w:spacing w:line="240" w:lineRule="auto"/>
              <w:ind w:left="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pStyle w:val="27"/>
              <w:spacing w:line="240" w:lineRule="auto"/>
              <w:ind w:left="0"/>
              <w:jc w:val="center"/>
              <w:rPr>
                <w:sz w:val="18"/>
                <w:szCs w:val="18"/>
              </w:rPr>
            </w:pPr>
          </w:p>
        </w:tc>
        <w:tc>
          <w:tcPr>
            <w:tcW w:w="1002" w:type="dxa"/>
            <w:vMerge w:val="continue"/>
            <w:vAlign w:val="center"/>
          </w:tcPr>
          <w:p>
            <w:pPr>
              <w:pStyle w:val="27"/>
              <w:spacing w:line="240" w:lineRule="auto"/>
              <w:ind w:left="0"/>
              <w:jc w:val="center"/>
              <w:rPr>
                <w:sz w:val="18"/>
                <w:szCs w:val="18"/>
              </w:rPr>
            </w:pPr>
          </w:p>
        </w:tc>
        <w:tc>
          <w:tcPr>
            <w:tcW w:w="1630" w:type="dxa"/>
            <w:vMerge w:val="continue"/>
            <w:vAlign w:val="center"/>
          </w:tcPr>
          <w:p>
            <w:pPr>
              <w:pStyle w:val="27"/>
              <w:spacing w:line="240" w:lineRule="auto"/>
              <w:ind w:left="0"/>
              <w:jc w:val="center"/>
              <w:rPr>
                <w:sz w:val="18"/>
                <w:szCs w:val="18"/>
              </w:rPr>
            </w:pPr>
          </w:p>
        </w:tc>
        <w:tc>
          <w:tcPr>
            <w:tcW w:w="1605" w:type="dxa"/>
            <w:vAlign w:val="center"/>
          </w:tcPr>
          <w:p>
            <w:pPr>
              <w:pStyle w:val="27"/>
              <w:spacing w:line="240" w:lineRule="auto"/>
              <w:ind w:left="0"/>
              <w:jc w:val="center"/>
              <w:rPr>
                <w:sz w:val="18"/>
                <w:szCs w:val="18"/>
              </w:rPr>
            </w:pPr>
            <w:r>
              <w:rPr>
                <w:sz w:val="18"/>
                <w:szCs w:val="18"/>
              </w:rPr>
              <w:t>复合曲线</w:t>
            </w:r>
          </w:p>
        </w:tc>
        <w:tc>
          <w:tcPr>
            <w:tcW w:w="1013" w:type="dxa"/>
            <w:vAlign w:val="center"/>
          </w:tcPr>
          <w:p>
            <w:pPr>
              <w:pStyle w:val="27"/>
              <w:spacing w:line="240" w:lineRule="auto"/>
              <w:ind w:left="0"/>
              <w:jc w:val="center"/>
              <w:rPr>
                <w:sz w:val="18"/>
                <w:szCs w:val="18"/>
              </w:rPr>
            </w:pPr>
            <w:r>
              <w:rPr>
                <w:sz w:val="18"/>
                <w:szCs w:val="18"/>
              </w:rPr>
              <w:t>±200</w:t>
            </w:r>
          </w:p>
        </w:tc>
        <w:tc>
          <w:tcPr>
            <w:tcW w:w="855" w:type="dxa"/>
            <w:vMerge w:val="continue"/>
            <w:vAlign w:val="center"/>
          </w:tcPr>
          <w:p>
            <w:pPr>
              <w:pStyle w:val="27"/>
              <w:spacing w:line="240" w:lineRule="auto"/>
              <w:ind w:left="0"/>
              <w:jc w:val="center"/>
              <w:rPr>
                <w:sz w:val="18"/>
                <w:szCs w:val="18"/>
              </w:rPr>
            </w:pPr>
          </w:p>
        </w:tc>
        <w:tc>
          <w:tcPr>
            <w:tcW w:w="670" w:type="dxa"/>
            <w:vMerge w:val="continue"/>
            <w:vAlign w:val="center"/>
          </w:tcPr>
          <w:p>
            <w:pPr>
              <w:pStyle w:val="27"/>
              <w:spacing w:line="240" w:lineRule="auto"/>
              <w:ind w:left="0"/>
              <w:jc w:val="center"/>
              <w:rPr>
                <w:sz w:val="18"/>
                <w:szCs w:val="18"/>
              </w:rPr>
            </w:pPr>
          </w:p>
        </w:tc>
        <w:tc>
          <w:tcPr>
            <w:tcW w:w="940" w:type="dxa"/>
            <w:vMerge w:val="continue"/>
            <w:vAlign w:val="center"/>
          </w:tcPr>
          <w:p>
            <w:pPr>
              <w:pStyle w:val="27"/>
              <w:spacing w:line="240" w:lineRule="auto"/>
              <w:ind w:left="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Style w:val="27"/>
              <w:spacing w:line="240" w:lineRule="auto"/>
              <w:ind w:left="0"/>
              <w:jc w:val="center"/>
              <w:rPr>
                <w:sz w:val="18"/>
                <w:szCs w:val="18"/>
              </w:rPr>
            </w:pPr>
            <w:r>
              <w:rPr>
                <w:sz w:val="18"/>
                <w:szCs w:val="18"/>
              </w:rPr>
              <w:t>5</w:t>
            </w:r>
          </w:p>
        </w:tc>
        <w:tc>
          <w:tcPr>
            <w:tcW w:w="4237" w:type="dxa"/>
            <w:gridSpan w:val="3"/>
            <w:vAlign w:val="center"/>
          </w:tcPr>
          <w:p>
            <w:pPr>
              <w:pStyle w:val="27"/>
              <w:spacing w:line="240" w:lineRule="auto"/>
              <w:ind w:left="0"/>
              <w:jc w:val="center"/>
              <w:rPr>
                <w:sz w:val="18"/>
                <w:szCs w:val="18"/>
              </w:rPr>
            </w:pPr>
            <w:r>
              <w:rPr>
                <w:sz w:val="18"/>
                <w:szCs w:val="18"/>
              </w:rPr>
              <w:t>相邻</w:t>
            </w:r>
            <w:r>
              <w:rPr>
                <w:rFonts w:hint="eastAsia"/>
                <w:sz w:val="18"/>
                <w:szCs w:val="18"/>
              </w:rPr>
              <w:t>管节错口</w:t>
            </w:r>
          </w:p>
        </w:tc>
        <w:tc>
          <w:tcPr>
            <w:tcW w:w="1013" w:type="dxa"/>
            <w:vAlign w:val="center"/>
          </w:tcPr>
          <w:p>
            <w:pPr>
              <w:pStyle w:val="27"/>
              <w:spacing w:line="240" w:lineRule="auto"/>
              <w:ind w:left="0"/>
              <w:jc w:val="center"/>
              <w:rPr>
                <w:sz w:val="18"/>
                <w:szCs w:val="18"/>
              </w:rPr>
            </w:pPr>
            <w:r>
              <w:rPr>
                <w:sz w:val="18"/>
                <w:szCs w:val="18"/>
              </w:rPr>
              <w:t>≤2</w:t>
            </w:r>
          </w:p>
        </w:tc>
        <w:tc>
          <w:tcPr>
            <w:tcW w:w="855" w:type="dxa"/>
            <w:vMerge w:val="continue"/>
            <w:vAlign w:val="center"/>
          </w:tcPr>
          <w:p>
            <w:pPr>
              <w:pStyle w:val="27"/>
              <w:spacing w:line="240" w:lineRule="auto"/>
              <w:ind w:left="0"/>
              <w:jc w:val="center"/>
              <w:rPr>
                <w:sz w:val="18"/>
                <w:szCs w:val="18"/>
              </w:rPr>
            </w:pPr>
          </w:p>
        </w:tc>
        <w:tc>
          <w:tcPr>
            <w:tcW w:w="670" w:type="dxa"/>
            <w:vMerge w:val="continue"/>
            <w:vAlign w:val="center"/>
          </w:tcPr>
          <w:p>
            <w:pPr>
              <w:pStyle w:val="27"/>
              <w:spacing w:line="240" w:lineRule="auto"/>
              <w:ind w:left="0"/>
              <w:jc w:val="center"/>
              <w:rPr>
                <w:sz w:val="18"/>
                <w:szCs w:val="18"/>
              </w:rPr>
            </w:pPr>
          </w:p>
        </w:tc>
        <w:tc>
          <w:tcPr>
            <w:tcW w:w="940" w:type="dxa"/>
            <w:vMerge w:val="restart"/>
            <w:vAlign w:val="center"/>
          </w:tcPr>
          <w:p>
            <w:pPr>
              <w:pStyle w:val="27"/>
              <w:spacing w:line="240" w:lineRule="auto"/>
              <w:ind w:left="0"/>
              <w:jc w:val="center"/>
              <w:rPr>
                <w:sz w:val="18"/>
                <w:szCs w:val="18"/>
              </w:rPr>
            </w:pPr>
            <w:r>
              <w:rPr>
                <w:sz w:val="18"/>
                <w:szCs w:val="18"/>
              </w:rPr>
              <w:t>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Style w:val="27"/>
              <w:spacing w:line="240" w:lineRule="auto"/>
              <w:ind w:left="0"/>
              <w:jc w:val="center"/>
              <w:rPr>
                <w:sz w:val="18"/>
                <w:szCs w:val="18"/>
              </w:rPr>
            </w:pPr>
            <w:r>
              <w:rPr>
                <w:sz w:val="18"/>
                <w:szCs w:val="18"/>
              </w:rPr>
              <w:t>6</w:t>
            </w:r>
          </w:p>
        </w:tc>
        <w:tc>
          <w:tcPr>
            <w:tcW w:w="4237" w:type="dxa"/>
            <w:gridSpan w:val="3"/>
            <w:vAlign w:val="center"/>
          </w:tcPr>
          <w:p>
            <w:pPr>
              <w:pStyle w:val="27"/>
              <w:spacing w:line="240" w:lineRule="auto"/>
              <w:ind w:left="0"/>
              <w:jc w:val="center"/>
              <w:rPr>
                <w:sz w:val="18"/>
                <w:szCs w:val="18"/>
              </w:rPr>
            </w:pPr>
            <w:r>
              <w:rPr>
                <w:rFonts w:hint="eastAsia"/>
                <w:sz w:val="18"/>
                <w:szCs w:val="18"/>
              </w:rPr>
              <w:t>管幕</w:t>
            </w:r>
            <w:r>
              <w:rPr>
                <w:sz w:val="18"/>
                <w:szCs w:val="18"/>
              </w:rPr>
              <w:t>环向变形</w:t>
            </w:r>
          </w:p>
        </w:tc>
        <w:tc>
          <w:tcPr>
            <w:tcW w:w="1013" w:type="dxa"/>
            <w:vAlign w:val="center"/>
          </w:tcPr>
          <w:p>
            <w:pPr>
              <w:pStyle w:val="27"/>
              <w:spacing w:line="240" w:lineRule="auto"/>
              <w:ind w:left="0"/>
              <w:jc w:val="center"/>
              <w:rPr>
                <w:sz w:val="18"/>
                <w:szCs w:val="18"/>
              </w:rPr>
            </w:pPr>
            <w:r>
              <w:rPr>
                <w:sz w:val="18"/>
                <w:szCs w:val="18"/>
              </w:rPr>
              <w:t>≤0.03</w:t>
            </w:r>
            <w:r>
              <w:rPr>
                <w:i/>
                <w:sz w:val="18"/>
                <w:szCs w:val="18"/>
              </w:rPr>
              <w:t>D</w:t>
            </w:r>
            <w:r>
              <w:rPr>
                <w:sz w:val="18"/>
                <w:szCs w:val="18"/>
                <w:vertAlign w:val="subscript"/>
              </w:rPr>
              <w:t>0</w:t>
            </w:r>
          </w:p>
        </w:tc>
        <w:tc>
          <w:tcPr>
            <w:tcW w:w="855" w:type="dxa"/>
            <w:vMerge w:val="continue"/>
            <w:vAlign w:val="center"/>
          </w:tcPr>
          <w:p>
            <w:pPr>
              <w:pStyle w:val="27"/>
              <w:spacing w:line="240" w:lineRule="auto"/>
              <w:ind w:left="0"/>
              <w:jc w:val="center"/>
              <w:rPr>
                <w:sz w:val="18"/>
                <w:szCs w:val="18"/>
              </w:rPr>
            </w:pPr>
          </w:p>
        </w:tc>
        <w:tc>
          <w:tcPr>
            <w:tcW w:w="670" w:type="dxa"/>
            <w:vMerge w:val="continue"/>
            <w:vAlign w:val="center"/>
          </w:tcPr>
          <w:p>
            <w:pPr>
              <w:pStyle w:val="27"/>
              <w:spacing w:line="240" w:lineRule="auto"/>
              <w:ind w:left="0"/>
              <w:jc w:val="center"/>
              <w:rPr>
                <w:sz w:val="18"/>
                <w:szCs w:val="18"/>
              </w:rPr>
            </w:pPr>
          </w:p>
        </w:tc>
        <w:tc>
          <w:tcPr>
            <w:tcW w:w="940" w:type="dxa"/>
            <w:vMerge w:val="continue"/>
            <w:vAlign w:val="center"/>
          </w:tcPr>
          <w:p>
            <w:pPr>
              <w:pStyle w:val="27"/>
              <w:spacing w:line="240" w:lineRule="auto"/>
              <w:ind w:left="0"/>
              <w:jc w:val="center"/>
              <w:rPr>
                <w:sz w:val="18"/>
                <w:szCs w:val="18"/>
              </w:rPr>
            </w:pPr>
          </w:p>
        </w:tc>
      </w:tr>
    </w:tbl>
    <w:p>
      <w:pPr>
        <w:ind w:left="720" w:hanging="720" w:hangingChars="400"/>
        <w:jc w:val="left"/>
        <w:rPr>
          <w:sz w:val="18"/>
          <w:szCs w:val="21"/>
        </w:rPr>
      </w:pPr>
      <w:r>
        <w:rPr>
          <w:rFonts w:hint="eastAsia"/>
          <w:sz w:val="18"/>
          <w:szCs w:val="21"/>
        </w:rPr>
        <w:t>注：L——顶进长度（m）；D0——管幕外径（mm）；R——曲线管幕设计曲率半径（mm）。</w:t>
      </w:r>
    </w:p>
    <w:p>
      <w:pPr>
        <w:spacing w:before="156" w:beforeLines="50" w:after="156" w:afterLines="50" w:line="440" w:lineRule="exact"/>
        <w:jc w:val="center"/>
        <w:outlineLvl w:val="1"/>
        <w:rPr>
          <w:rFonts w:eastAsia="黑体"/>
          <w:sz w:val="24"/>
        </w:rPr>
      </w:pPr>
      <w:bookmarkStart w:id="155" w:name="_Toc13005"/>
      <w:bookmarkStart w:id="156" w:name="_Toc2986"/>
      <w:r>
        <w:rPr>
          <w:rFonts w:hint="eastAsia" w:eastAsia="黑体"/>
          <w:sz w:val="24"/>
        </w:rPr>
        <w:t>10.7  管幕钢管填充</w:t>
      </w:r>
      <w:bookmarkEnd w:id="155"/>
      <w:bookmarkEnd w:id="156"/>
    </w:p>
    <w:p>
      <w:pPr>
        <w:spacing w:before="156" w:beforeLines="50" w:after="156" w:afterLines="50"/>
        <w:jc w:val="center"/>
        <w:rPr>
          <w:sz w:val="24"/>
        </w:rPr>
      </w:pPr>
      <w:r>
        <w:rPr>
          <w:rFonts w:hint="eastAsia"/>
          <w:sz w:val="24"/>
        </w:rPr>
        <w:t>Ⅰ  主控项目</w:t>
      </w:r>
    </w:p>
    <w:p>
      <w:pPr>
        <w:spacing w:line="440" w:lineRule="exact"/>
        <w:rPr>
          <w:sz w:val="24"/>
        </w:rPr>
      </w:pPr>
      <w:bookmarkStart w:id="157" w:name="_Hlk103445179"/>
      <w:r>
        <w:rPr>
          <w:rFonts w:hint="eastAsia"/>
          <w:b/>
          <w:bCs/>
          <w:sz w:val="24"/>
        </w:rPr>
        <w:t>10.</w:t>
      </w:r>
      <w:r>
        <w:rPr>
          <w:b/>
          <w:bCs/>
          <w:sz w:val="24"/>
        </w:rPr>
        <w:t>7.1</w:t>
      </w:r>
      <w:r>
        <w:rPr>
          <w:rFonts w:hint="eastAsia"/>
          <w:sz w:val="24"/>
        </w:rPr>
        <w:t xml:space="preserve">  管幕钢管内骨架用钢筋按批检查其直径、每延米重量并抽取试件做屈服强度、抗拉强度、伸长率和冷弯试验，其质量应符合设计文件规定和国家现行标准</w:t>
      </w:r>
      <w:bookmarkStart w:id="158" w:name="_Hlk103457317"/>
      <w:r>
        <w:rPr>
          <w:rFonts w:hint="eastAsia"/>
          <w:sz w:val="24"/>
        </w:rPr>
        <w:t>《钢筋混凝土用钢》GB1499</w:t>
      </w:r>
      <w:bookmarkEnd w:id="158"/>
      <w:r>
        <w:rPr>
          <w:rFonts w:hint="eastAsia"/>
          <w:sz w:val="24"/>
        </w:rPr>
        <w:t>的规定。</w:t>
      </w:r>
    </w:p>
    <w:bookmarkEnd w:id="157"/>
    <w:p>
      <w:pPr>
        <w:spacing w:line="440" w:lineRule="exact"/>
        <w:ind w:firstLine="480" w:firstLineChars="200"/>
        <w:rPr>
          <w:sz w:val="24"/>
        </w:rPr>
      </w:pPr>
      <w:r>
        <w:rPr>
          <w:rFonts w:hint="eastAsia"/>
          <w:sz w:val="24"/>
        </w:rPr>
        <w:t>检验数量：质量证明文件全数检查、取样复检以同一牌号、同一质量、同一质量等级、同一规格、同一交货条件的钢材、每60t为1批，不足60t按一批计，每批抽检一次。</w:t>
      </w:r>
    </w:p>
    <w:p>
      <w:pPr>
        <w:spacing w:line="440" w:lineRule="exact"/>
        <w:ind w:firstLine="480" w:firstLineChars="200"/>
        <w:rPr>
          <w:sz w:val="24"/>
        </w:rPr>
      </w:pPr>
      <w:r>
        <w:rPr>
          <w:rFonts w:hint="eastAsia"/>
          <w:sz w:val="24"/>
        </w:rPr>
        <w:t>检验方法：检查质量证明文件、按批抽样测量直径、称量每延米重量并检查力学性能及工艺性能抽样检验报告。</w:t>
      </w:r>
    </w:p>
    <w:p>
      <w:pPr>
        <w:spacing w:line="440" w:lineRule="exact"/>
        <w:rPr>
          <w:sz w:val="24"/>
        </w:rPr>
      </w:pPr>
      <w:r>
        <w:rPr>
          <w:rFonts w:hint="eastAsia"/>
          <w:b/>
          <w:bCs/>
          <w:sz w:val="24"/>
        </w:rPr>
        <w:t>10.</w:t>
      </w:r>
      <w:r>
        <w:rPr>
          <w:b/>
          <w:bCs/>
          <w:sz w:val="24"/>
        </w:rPr>
        <w:t>7.2</w:t>
      </w:r>
      <w:r>
        <w:rPr>
          <w:rFonts w:hint="eastAsia"/>
          <w:sz w:val="24"/>
        </w:rPr>
        <w:t xml:space="preserve">  管幕钢管内骨架钢筋笼加工应符合设计文件规定，并符合现行国家标准</w:t>
      </w:r>
      <w:bookmarkStart w:id="159" w:name="_Hlk103457362"/>
      <w:r>
        <w:rPr>
          <w:rFonts w:hint="eastAsia"/>
          <w:sz w:val="24"/>
        </w:rPr>
        <w:t>《建筑地基基础工程施工质量验收规范》 GB50202</w:t>
      </w:r>
      <w:bookmarkEnd w:id="159"/>
      <w:r>
        <w:rPr>
          <w:rFonts w:hint="eastAsia"/>
          <w:sz w:val="24"/>
        </w:rPr>
        <w:t>的规定。</w:t>
      </w:r>
    </w:p>
    <w:p>
      <w:pPr>
        <w:spacing w:line="440" w:lineRule="exact"/>
        <w:ind w:firstLine="480" w:firstLineChars="200"/>
        <w:rPr>
          <w:sz w:val="24"/>
        </w:rPr>
      </w:pPr>
      <w:r>
        <w:rPr>
          <w:rFonts w:hint="eastAsia"/>
          <w:sz w:val="24"/>
        </w:rPr>
        <w:t>检验数量：按钢筋编号各抽检10%,并各不少于3件。</w:t>
      </w:r>
    </w:p>
    <w:p>
      <w:pPr>
        <w:spacing w:line="440" w:lineRule="exact"/>
        <w:ind w:firstLine="480" w:firstLineChars="200"/>
        <w:rPr>
          <w:sz w:val="24"/>
        </w:rPr>
      </w:pPr>
      <w:r>
        <w:rPr>
          <w:rFonts w:hint="eastAsia"/>
          <w:sz w:val="24"/>
        </w:rPr>
        <w:t>检验方法：尺量。</w:t>
      </w:r>
    </w:p>
    <w:p>
      <w:pPr>
        <w:spacing w:line="440" w:lineRule="exact"/>
        <w:rPr>
          <w:sz w:val="24"/>
        </w:rPr>
      </w:pPr>
      <w:r>
        <w:rPr>
          <w:rFonts w:hint="eastAsia"/>
          <w:b/>
          <w:bCs/>
          <w:sz w:val="24"/>
        </w:rPr>
        <w:t>10.7.</w:t>
      </w:r>
      <w:r>
        <w:rPr>
          <w:b/>
          <w:bCs/>
          <w:sz w:val="24"/>
        </w:rPr>
        <w:t>3</w:t>
      </w:r>
      <w:r>
        <w:rPr>
          <w:rFonts w:hint="eastAsia"/>
          <w:sz w:val="24"/>
        </w:rPr>
        <w:t xml:space="preserve">  管幕钢管内钢筋笼骨架，连接接头的技术要求、外观质量、力学性能检验及质量应符合国家现行标准</w:t>
      </w:r>
      <w:bookmarkStart w:id="160" w:name="_Hlk103457389"/>
      <w:r>
        <w:rPr>
          <w:rFonts w:hint="eastAsia"/>
          <w:sz w:val="24"/>
        </w:rPr>
        <w:t>《钢筋焊接及验收规程》JGJ18和《钢筋机械连接技术规程》JGJ107</w:t>
      </w:r>
      <w:bookmarkEnd w:id="160"/>
      <w:r>
        <w:rPr>
          <w:rFonts w:hint="eastAsia"/>
          <w:sz w:val="24"/>
        </w:rPr>
        <w:t>的规定。</w:t>
      </w:r>
    </w:p>
    <w:p>
      <w:pPr>
        <w:spacing w:line="440" w:lineRule="exact"/>
        <w:ind w:firstLine="480" w:firstLineChars="200"/>
        <w:rPr>
          <w:sz w:val="24"/>
        </w:rPr>
      </w:pPr>
      <w:r>
        <w:rPr>
          <w:rFonts w:hint="eastAsia"/>
          <w:sz w:val="24"/>
        </w:rPr>
        <w:t>检验数量：钢筋接头外观质量全部检查。焊接接头的力学性能检验以同等级同规格、同接头形式和同一焊工完成的200个接头为一批，不足200个也按200个也按一批计。机械连接接头的力学性能检验以同一施工条件下同批材料、同等级、同规格、同型式的每500个接头为一批，不足500个也按一批计。每批抽检一次。</w:t>
      </w:r>
    </w:p>
    <w:p>
      <w:pPr>
        <w:spacing w:line="440" w:lineRule="exact"/>
        <w:ind w:firstLine="480" w:firstLineChars="200"/>
        <w:rPr>
          <w:sz w:val="24"/>
        </w:rPr>
      </w:pPr>
      <w:r>
        <w:rPr>
          <w:rFonts w:hint="eastAsia"/>
          <w:sz w:val="24"/>
        </w:rPr>
        <w:t>检验方法：钢筋接头外观检验观察尺量，力学性能检查力学性能试验报告。</w:t>
      </w:r>
    </w:p>
    <w:p>
      <w:pPr>
        <w:spacing w:line="440" w:lineRule="exact"/>
        <w:rPr>
          <w:sz w:val="24"/>
        </w:rPr>
      </w:pPr>
      <w:r>
        <w:rPr>
          <w:b/>
          <w:bCs/>
          <w:sz w:val="24"/>
        </w:rPr>
        <w:t>1</w:t>
      </w:r>
      <w:r>
        <w:rPr>
          <w:rFonts w:hint="eastAsia"/>
          <w:b/>
          <w:bCs/>
          <w:sz w:val="24"/>
        </w:rPr>
        <w:t>0.</w:t>
      </w:r>
      <w:r>
        <w:rPr>
          <w:b/>
          <w:bCs/>
          <w:sz w:val="24"/>
        </w:rPr>
        <w:t>7.4</w:t>
      </w:r>
      <w:r>
        <w:rPr>
          <w:rFonts w:hint="eastAsia"/>
          <w:sz w:val="24"/>
        </w:rPr>
        <w:t xml:space="preserve">  管幕钢管内骨架用型钢原材和加工质量应符合国家现行标准《钢结构工程施工质量验收标准》GB 50205的规定。</w:t>
      </w:r>
    </w:p>
    <w:p>
      <w:pPr>
        <w:spacing w:line="440" w:lineRule="exact"/>
        <w:ind w:firstLine="480" w:firstLineChars="200"/>
        <w:rPr>
          <w:sz w:val="24"/>
        </w:rPr>
      </w:pPr>
      <w:r>
        <w:rPr>
          <w:rFonts w:hint="eastAsia"/>
          <w:sz w:val="24"/>
        </w:rPr>
        <w:t>检验数量：全数检查。</w:t>
      </w:r>
    </w:p>
    <w:p>
      <w:pPr>
        <w:spacing w:line="440" w:lineRule="exact"/>
        <w:ind w:firstLine="480" w:firstLineChars="200"/>
        <w:rPr>
          <w:sz w:val="24"/>
        </w:rPr>
      </w:pPr>
      <w:r>
        <w:rPr>
          <w:rFonts w:hint="eastAsia"/>
          <w:sz w:val="24"/>
        </w:rPr>
        <w:t>检验方法：检查质量证明文件、检查力学性能及工艺性能抽样检验报告、现场抽样检查。</w:t>
      </w:r>
    </w:p>
    <w:p>
      <w:pPr>
        <w:spacing w:line="440" w:lineRule="exact"/>
        <w:rPr>
          <w:sz w:val="24"/>
        </w:rPr>
      </w:pPr>
      <w:r>
        <w:rPr>
          <w:rFonts w:hint="eastAsia"/>
          <w:b/>
          <w:bCs/>
          <w:sz w:val="24"/>
        </w:rPr>
        <w:t>10.7.</w:t>
      </w:r>
      <w:r>
        <w:rPr>
          <w:b/>
          <w:bCs/>
          <w:sz w:val="24"/>
        </w:rPr>
        <w:t>5</w:t>
      </w:r>
      <w:r>
        <w:rPr>
          <w:rFonts w:hint="eastAsia"/>
          <w:sz w:val="24"/>
        </w:rPr>
        <w:t xml:space="preserve">  管幕钢管内型钢骨架安装，连接接头的对接焊缝等级应为二级焊缝、焊缝应进行内部缺陷的无损检测，焊缝质量等级和检测应符合现行国家标准《钢结构工程施工质量验收标准》GB50205的规定。</w:t>
      </w:r>
    </w:p>
    <w:p>
      <w:pPr>
        <w:spacing w:line="440" w:lineRule="exact"/>
        <w:ind w:firstLine="480" w:firstLineChars="200"/>
        <w:rPr>
          <w:sz w:val="24"/>
        </w:rPr>
      </w:pPr>
      <w:r>
        <w:rPr>
          <w:rFonts w:hint="eastAsia"/>
          <w:sz w:val="24"/>
        </w:rPr>
        <w:t>检验数量：焊缝总长的20%。</w:t>
      </w:r>
    </w:p>
    <w:p>
      <w:pPr>
        <w:spacing w:line="440" w:lineRule="exact"/>
        <w:ind w:firstLine="480" w:firstLineChars="200"/>
        <w:rPr>
          <w:sz w:val="24"/>
        </w:rPr>
      </w:pPr>
      <w:r>
        <w:rPr>
          <w:rFonts w:hint="eastAsia"/>
          <w:sz w:val="24"/>
        </w:rPr>
        <w:t>检验方法：检查超声波或射线探伤记录。</w:t>
      </w:r>
    </w:p>
    <w:p>
      <w:pPr>
        <w:spacing w:line="440" w:lineRule="exact"/>
        <w:rPr>
          <w:sz w:val="24"/>
        </w:rPr>
      </w:pPr>
      <w:r>
        <w:rPr>
          <w:rFonts w:hint="eastAsia"/>
          <w:b/>
          <w:bCs/>
          <w:sz w:val="24"/>
        </w:rPr>
        <w:t>10.</w:t>
      </w:r>
      <w:r>
        <w:rPr>
          <w:b/>
          <w:bCs/>
          <w:sz w:val="24"/>
        </w:rPr>
        <w:t>7.6</w:t>
      </w:r>
      <w:r>
        <w:rPr>
          <w:rFonts w:hint="eastAsia"/>
          <w:sz w:val="24"/>
        </w:rPr>
        <w:t xml:space="preserve">  注浆使用的原材料、浆液配合比、注浆压力和注浆量应符合设计文件规定。</w:t>
      </w:r>
    </w:p>
    <w:p>
      <w:pPr>
        <w:spacing w:line="440" w:lineRule="exact"/>
        <w:ind w:firstLine="480" w:firstLineChars="200"/>
        <w:rPr>
          <w:sz w:val="24"/>
        </w:rPr>
      </w:pPr>
      <w:r>
        <w:rPr>
          <w:rFonts w:hint="eastAsia"/>
          <w:sz w:val="24"/>
        </w:rPr>
        <w:t>检验数量：全数检查。</w:t>
      </w:r>
    </w:p>
    <w:p>
      <w:pPr>
        <w:spacing w:line="440" w:lineRule="exact"/>
        <w:ind w:firstLine="480" w:firstLineChars="200"/>
        <w:rPr>
          <w:sz w:val="24"/>
        </w:rPr>
      </w:pPr>
      <w:r>
        <w:rPr>
          <w:rFonts w:hint="eastAsia"/>
          <w:sz w:val="24"/>
        </w:rPr>
        <w:t>检验方法：检查材料证明文件、配合比报告、施工记录。</w:t>
      </w:r>
    </w:p>
    <w:p>
      <w:pPr>
        <w:spacing w:line="440" w:lineRule="exact"/>
        <w:rPr>
          <w:sz w:val="24"/>
        </w:rPr>
      </w:pPr>
      <w:r>
        <w:rPr>
          <w:rFonts w:hint="eastAsia"/>
          <w:b/>
          <w:bCs/>
          <w:sz w:val="24"/>
        </w:rPr>
        <w:t>10.7.</w:t>
      </w:r>
      <w:r>
        <w:rPr>
          <w:b/>
          <w:bCs/>
          <w:sz w:val="24"/>
        </w:rPr>
        <w:t>7</w:t>
      </w:r>
      <w:r>
        <w:rPr>
          <w:rFonts w:hint="eastAsia"/>
          <w:sz w:val="24"/>
        </w:rPr>
        <w:t xml:space="preserve">  充填浆液的浆液或混凝土的强度应符合设计文件规定。</w:t>
      </w:r>
    </w:p>
    <w:p>
      <w:pPr>
        <w:spacing w:line="440" w:lineRule="exact"/>
        <w:ind w:firstLine="480" w:firstLineChars="200"/>
        <w:rPr>
          <w:sz w:val="24"/>
        </w:rPr>
      </w:pPr>
      <w:r>
        <w:rPr>
          <w:rFonts w:hint="eastAsia"/>
          <w:sz w:val="24"/>
        </w:rPr>
        <w:t>检验数量：每50m3留置3组抗压试件、全部检查。</w:t>
      </w:r>
    </w:p>
    <w:p>
      <w:pPr>
        <w:spacing w:line="440" w:lineRule="exact"/>
        <w:ind w:firstLine="480" w:firstLineChars="200"/>
        <w:rPr>
          <w:sz w:val="24"/>
        </w:rPr>
      </w:pPr>
      <w:r>
        <w:rPr>
          <w:rFonts w:hint="eastAsia"/>
          <w:sz w:val="24"/>
        </w:rPr>
        <w:t>检验方法：查看试件抗压强度报告。</w:t>
      </w:r>
    </w:p>
    <w:p>
      <w:pPr>
        <w:spacing w:line="440" w:lineRule="exact"/>
        <w:rPr>
          <w:sz w:val="24"/>
        </w:rPr>
      </w:pPr>
      <w:r>
        <w:rPr>
          <w:rFonts w:hint="eastAsia"/>
          <w:sz w:val="24"/>
        </w:rPr>
        <w:t>1</w:t>
      </w:r>
      <w:r>
        <w:rPr>
          <w:sz w:val="24"/>
        </w:rPr>
        <w:t xml:space="preserve">0.7.8  </w:t>
      </w:r>
      <w:r>
        <w:rPr>
          <w:rFonts w:hint="eastAsia"/>
          <w:sz w:val="24"/>
        </w:rPr>
        <w:t>充填的密实程度应符合设计文件规定。</w:t>
      </w:r>
    </w:p>
    <w:p>
      <w:pPr>
        <w:spacing w:line="440" w:lineRule="exact"/>
        <w:ind w:firstLine="480" w:firstLineChars="200"/>
        <w:rPr>
          <w:sz w:val="24"/>
        </w:rPr>
      </w:pPr>
      <w:r>
        <w:rPr>
          <w:rFonts w:hint="eastAsia"/>
          <w:sz w:val="24"/>
        </w:rPr>
        <w:t>检验数量：全数检查。</w:t>
      </w:r>
    </w:p>
    <w:p>
      <w:pPr>
        <w:pStyle w:val="2"/>
        <w:spacing w:line="360" w:lineRule="auto"/>
        <w:ind w:left="0" w:leftChars="0" w:firstLine="480"/>
        <w:rPr>
          <w:sz w:val="24"/>
        </w:rPr>
      </w:pPr>
      <w:r>
        <w:rPr>
          <w:rFonts w:hint="eastAsia"/>
          <w:sz w:val="24"/>
        </w:rPr>
        <w:t>检验方法：无损探伤检测。</w:t>
      </w:r>
    </w:p>
    <w:p>
      <w:pPr>
        <w:spacing w:before="156" w:beforeLines="50" w:after="156" w:afterLines="50"/>
        <w:jc w:val="center"/>
        <w:rPr>
          <w:sz w:val="24"/>
        </w:rPr>
      </w:pPr>
      <w:r>
        <w:rPr>
          <w:rFonts w:hint="eastAsia"/>
          <w:sz w:val="24"/>
        </w:rPr>
        <w:t>Ⅱ  一般项目</w:t>
      </w:r>
    </w:p>
    <w:p>
      <w:pPr>
        <w:spacing w:line="440" w:lineRule="exact"/>
        <w:rPr>
          <w:sz w:val="24"/>
        </w:rPr>
      </w:pPr>
      <w:r>
        <w:rPr>
          <w:rFonts w:hint="eastAsia"/>
          <w:b/>
          <w:bCs/>
          <w:sz w:val="24"/>
        </w:rPr>
        <w:t>10.</w:t>
      </w:r>
      <w:r>
        <w:rPr>
          <w:b/>
          <w:bCs/>
          <w:sz w:val="24"/>
        </w:rPr>
        <w:t>7.9</w:t>
      </w:r>
      <w:r>
        <w:rPr>
          <w:rFonts w:hint="eastAsia"/>
          <w:sz w:val="24"/>
        </w:rPr>
        <w:t xml:space="preserve">  管幕钢管内钢筋笼骨架加工允许偏差应符合表10.</w:t>
      </w:r>
      <w:r>
        <w:rPr>
          <w:sz w:val="24"/>
        </w:rPr>
        <w:t>7.9</w:t>
      </w:r>
      <w:r>
        <w:rPr>
          <w:rFonts w:hint="eastAsia"/>
          <w:sz w:val="24"/>
        </w:rPr>
        <w:t>的规定。</w:t>
      </w:r>
    </w:p>
    <w:p>
      <w:pPr>
        <w:spacing w:before="156" w:beforeLines="50"/>
        <w:jc w:val="center"/>
        <w:rPr>
          <w:rFonts w:eastAsia="黑体"/>
          <w:bCs/>
          <w:kern w:val="0"/>
          <w:szCs w:val="21"/>
        </w:rPr>
      </w:pPr>
      <w:r>
        <w:rPr>
          <w:rFonts w:hint="eastAsia" w:eastAsia="黑体"/>
          <w:bCs/>
          <w:kern w:val="0"/>
          <w:szCs w:val="21"/>
        </w:rPr>
        <w:t>表10.</w:t>
      </w:r>
      <w:r>
        <w:rPr>
          <w:rFonts w:eastAsia="黑体"/>
          <w:bCs/>
          <w:kern w:val="0"/>
          <w:szCs w:val="21"/>
        </w:rPr>
        <w:t>7.9</w:t>
      </w:r>
      <w:r>
        <w:rPr>
          <w:rFonts w:hint="eastAsia" w:eastAsia="黑体"/>
          <w:bCs/>
          <w:kern w:val="0"/>
          <w:szCs w:val="21"/>
        </w:rPr>
        <w:t xml:space="preserve">  钢筋加工允许偏差</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sz w:val="20"/>
                <w:szCs w:val="20"/>
              </w:rPr>
            </w:pPr>
            <w:r>
              <w:rPr>
                <w:sz w:val="20"/>
                <w:szCs w:val="20"/>
              </w:rPr>
              <w:t>项目</w:t>
            </w:r>
          </w:p>
        </w:tc>
        <w:tc>
          <w:tcPr>
            <w:tcW w:w="4261" w:type="dxa"/>
          </w:tcPr>
          <w:p>
            <w:pPr>
              <w:jc w:val="center"/>
              <w:rPr>
                <w:sz w:val="20"/>
                <w:szCs w:val="20"/>
              </w:rPr>
            </w:pPr>
            <w:r>
              <w:rPr>
                <w:rFonts w:hint="eastAsia"/>
                <w:sz w:val="20"/>
                <w:szCs w:val="20"/>
              </w:rPr>
              <w:t>允许偏差（m</w:t>
            </w:r>
            <w:r>
              <w:rPr>
                <w:sz w:val="20"/>
                <w:szCs w:val="20"/>
              </w:rPr>
              <w:t>m</w:t>
            </w:r>
            <w:r>
              <w:rPr>
                <w:rFonts w:hint="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sz w:val="20"/>
                <w:szCs w:val="20"/>
              </w:rPr>
            </w:pPr>
            <w:r>
              <w:rPr>
                <w:rFonts w:hint="eastAsia"/>
                <w:sz w:val="20"/>
                <w:szCs w:val="20"/>
              </w:rPr>
              <w:t>受力钢筋顺长度方向的全长</w:t>
            </w:r>
          </w:p>
        </w:tc>
        <w:tc>
          <w:tcPr>
            <w:tcW w:w="4261" w:type="dxa"/>
          </w:tcPr>
          <w:p>
            <w:pPr>
              <w:jc w:val="center"/>
              <w:rPr>
                <w:sz w:val="20"/>
                <w:szCs w:val="20"/>
              </w:rPr>
            </w:pPr>
            <w:r>
              <w:rPr>
                <w:rFonts w:hint="eastAsia"/>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sz w:val="20"/>
                <w:szCs w:val="20"/>
              </w:rPr>
            </w:pPr>
            <w:r>
              <w:rPr>
                <w:rFonts w:hint="eastAsia"/>
                <w:sz w:val="20"/>
                <w:szCs w:val="20"/>
              </w:rPr>
              <w:t>弯起钢筋的弯折位置</w:t>
            </w:r>
          </w:p>
        </w:tc>
        <w:tc>
          <w:tcPr>
            <w:tcW w:w="4261" w:type="dxa"/>
          </w:tcPr>
          <w:p>
            <w:pPr>
              <w:jc w:val="center"/>
              <w:rPr>
                <w:sz w:val="20"/>
                <w:szCs w:val="20"/>
              </w:rPr>
            </w:pPr>
            <w:r>
              <w:rPr>
                <w:rFonts w:hint="eastAsia"/>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sz w:val="20"/>
                <w:szCs w:val="20"/>
              </w:rPr>
            </w:pPr>
            <w:r>
              <w:rPr>
                <w:rFonts w:hint="eastAsia"/>
                <w:sz w:val="20"/>
                <w:szCs w:val="20"/>
              </w:rPr>
              <w:t>箍筋内净尺寸</w:t>
            </w:r>
          </w:p>
        </w:tc>
        <w:tc>
          <w:tcPr>
            <w:tcW w:w="4261" w:type="dxa"/>
          </w:tcPr>
          <w:p>
            <w:pPr>
              <w:jc w:val="center"/>
              <w:rPr>
                <w:sz w:val="20"/>
                <w:szCs w:val="20"/>
              </w:rPr>
            </w:pPr>
            <w:r>
              <w:rPr>
                <w:rFonts w:hint="eastAsia"/>
                <w:sz w:val="20"/>
                <w:szCs w:val="20"/>
              </w:rPr>
              <w:t>±10</w:t>
            </w:r>
          </w:p>
        </w:tc>
      </w:tr>
    </w:tbl>
    <w:p>
      <w:pPr>
        <w:spacing w:line="440" w:lineRule="exact"/>
        <w:ind w:firstLine="480" w:firstLineChars="200"/>
        <w:rPr>
          <w:sz w:val="24"/>
        </w:rPr>
      </w:pPr>
      <w:r>
        <w:rPr>
          <w:rFonts w:hint="eastAsia"/>
          <w:sz w:val="24"/>
        </w:rPr>
        <w:t>检验数量：按钢筋编号各抽检10%,并各不少于3件。</w:t>
      </w:r>
    </w:p>
    <w:p>
      <w:pPr>
        <w:spacing w:line="440" w:lineRule="exact"/>
        <w:ind w:firstLine="480" w:firstLineChars="200"/>
      </w:pPr>
      <w:r>
        <w:rPr>
          <w:rFonts w:hint="eastAsia"/>
          <w:sz w:val="24"/>
        </w:rPr>
        <w:t>检验方法：尺量</w:t>
      </w:r>
      <w:r>
        <w:rPr>
          <w:rFonts w:hint="eastAsia"/>
        </w:rPr>
        <w:t>。</w:t>
      </w:r>
    </w:p>
    <w:p>
      <w:pPr>
        <w:spacing w:line="440" w:lineRule="exact"/>
        <w:rPr>
          <w:sz w:val="24"/>
        </w:rPr>
      </w:pPr>
      <w:r>
        <w:rPr>
          <w:rFonts w:hint="eastAsia"/>
          <w:b/>
          <w:bCs/>
          <w:sz w:val="24"/>
        </w:rPr>
        <w:t>10.7.</w:t>
      </w:r>
      <w:r>
        <w:rPr>
          <w:b/>
          <w:bCs/>
          <w:sz w:val="24"/>
        </w:rPr>
        <w:t>10</w:t>
      </w:r>
      <w:r>
        <w:rPr>
          <w:rFonts w:hint="eastAsia"/>
          <w:sz w:val="24"/>
        </w:rPr>
        <w:t xml:space="preserve">  钢管内骨架安装位置允许偏差应符合表10</w:t>
      </w:r>
      <w:r>
        <w:rPr>
          <w:sz w:val="24"/>
        </w:rPr>
        <w:t>.7.10</w:t>
      </w:r>
      <w:r>
        <w:rPr>
          <w:rFonts w:hint="eastAsia"/>
          <w:sz w:val="24"/>
        </w:rPr>
        <w:t>的规定。</w:t>
      </w:r>
    </w:p>
    <w:p>
      <w:pPr>
        <w:spacing w:before="156" w:beforeLines="50"/>
        <w:jc w:val="center"/>
        <w:rPr>
          <w:rFonts w:eastAsia="黑体"/>
          <w:bCs/>
          <w:kern w:val="0"/>
          <w:szCs w:val="21"/>
        </w:rPr>
      </w:pPr>
      <w:r>
        <w:rPr>
          <w:rFonts w:hint="eastAsia" w:eastAsia="黑体"/>
          <w:bCs/>
          <w:kern w:val="0"/>
          <w:szCs w:val="21"/>
        </w:rPr>
        <w:t>表10.</w:t>
      </w:r>
      <w:r>
        <w:rPr>
          <w:rFonts w:eastAsia="黑体"/>
          <w:bCs/>
          <w:kern w:val="0"/>
          <w:szCs w:val="21"/>
        </w:rPr>
        <w:t>7.10</w:t>
      </w:r>
      <w:r>
        <w:rPr>
          <w:rFonts w:hint="eastAsia" w:eastAsia="黑体"/>
          <w:bCs/>
          <w:kern w:val="0"/>
          <w:szCs w:val="21"/>
        </w:rPr>
        <w:t xml:space="preserve"> 骨架安装位置允许偏差</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7"/>
              <w:spacing w:line="240" w:lineRule="auto"/>
              <w:ind w:left="420"/>
              <w:jc w:val="center"/>
              <w:rPr>
                <w:sz w:val="18"/>
                <w:szCs w:val="18"/>
              </w:rPr>
            </w:pPr>
            <w:r>
              <w:rPr>
                <w:rFonts w:hint="eastAsia"/>
                <w:sz w:val="18"/>
                <w:szCs w:val="18"/>
              </w:rPr>
              <w:t>项目</w:t>
            </w:r>
          </w:p>
        </w:tc>
        <w:tc>
          <w:tcPr>
            <w:tcW w:w="4261" w:type="dxa"/>
          </w:tcPr>
          <w:p>
            <w:pPr>
              <w:pStyle w:val="27"/>
              <w:spacing w:line="240" w:lineRule="auto"/>
              <w:ind w:left="420"/>
              <w:jc w:val="center"/>
              <w:rPr>
                <w:sz w:val="18"/>
                <w:szCs w:val="18"/>
              </w:rPr>
            </w:pPr>
            <w:r>
              <w:rPr>
                <w:rFonts w:hint="eastAsia"/>
                <w:sz w:val="18"/>
                <w:szCs w:val="18"/>
              </w:rPr>
              <w:t>允许偏差（mm）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pStyle w:val="27"/>
              <w:spacing w:line="240" w:lineRule="auto"/>
              <w:ind w:left="420"/>
              <w:jc w:val="center"/>
              <w:rPr>
                <w:sz w:val="18"/>
                <w:szCs w:val="18"/>
              </w:rPr>
            </w:pPr>
            <w:r>
              <w:rPr>
                <w:rFonts w:hint="eastAsia"/>
                <w:sz w:val="18"/>
                <w:szCs w:val="18"/>
              </w:rPr>
              <w:t>轴线</w:t>
            </w:r>
          </w:p>
        </w:tc>
        <w:tc>
          <w:tcPr>
            <w:tcW w:w="4261" w:type="dxa"/>
          </w:tcPr>
          <w:p>
            <w:pPr>
              <w:pStyle w:val="27"/>
              <w:spacing w:line="240" w:lineRule="auto"/>
              <w:ind w:left="420"/>
              <w:jc w:val="center"/>
              <w:rPr>
                <w:sz w:val="18"/>
                <w:szCs w:val="18"/>
              </w:rPr>
            </w:pPr>
            <w:r>
              <w:rPr>
                <w:rFonts w:hint="eastAsia"/>
                <w:sz w:val="18"/>
                <w:szCs w:val="18"/>
              </w:rPr>
              <w:t>±10（相对于钢管）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7"/>
              <w:spacing w:line="240" w:lineRule="auto"/>
              <w:ind w:left="420"/>
              <w:jc w:val="center"/>
              <w:rPr>
                <w:sz w:val="18"/>
                <w:szCs w:val="18"/>
              </w:rPr>
            </w:pPr>
            <w:r>
              <w:rPr>
                <w:rFonts w:hint="eastAsia"/>
                <w:sz w:val="18"/>
                <w:szCs w:val="18"/>
              </w:rPr>
              <w:t>保护层厚度</w:t>
            </w:r>
          </w:p>
        </w:tc>
        <w:tc>
          <w:tcPr>
            <w:tcW w:w="4261" w:type="dxa"/>
          </w:tcPr>
          <w:p>
            <w:pPr>
              <w:pStyle w:val="27"/>
              <w:spacing w:line="240" w:lineRule="auto"/>
              <w:ind w:left="420"/>
              <w:jc w:val="center"/>
              <w:rPr>
                <w:sz w:val="18"/>
                <w:szCs w:val="18"/>
              </w:rPr>
            </w:pPr>
            <w:r>
              <w:rPr>
                <w:rFonts w:hint="eastAsia"/>
                <w:sz w:val="18"/>
                <w:szCs w:val="18"/>
              </w:rPr>
              <w:t>±10（相对于管壁）</w:t>
            </w:r>
          </w:p>
        </w:tc>
      </w:tr>
    </w:tbl>
    <w:p>
      <w:pPr>
        <w:spacing w:line="440" w:lineRule="exact"/>
        <w:ind w:firstLine="480" w:firstLineChars="200"/>
        <w:rPr>
          <w:sz w:val="24"/>
        </w:rPr>
      </w:pPr>
      <w:r>
        <w:rPr>
          <w:rFonts w:hint="eastAsia"/>
          <w:sz w:val="24"/>
        </w:rPr>
        <w:t>检验数量：每根管检查头、中、尾三处。</w:t>
      </w:r>
    </w:p>
    <w:p>
      <w:pPr>
        <w:spacing w:line="440" w:lineRule="exact"/>
        <w:ind w:firstLine="480" w:firstLineChars="200"/>
        <w:rPr>
          <w:sz w:val="24"/>
        </w:rPr>
      </w:pPr>
      <w:r>
        <w:rPr>
          <w:rFonts w:hint="eastAsia"/>
          <w:sz w:val="24"/>
        </w:rPr>
        <w:t>检验方法：尺量、红外测斜仪测量。</w:t>
      </w:r>
    </w:p>
    <w:p>
      <w:pPr>
        <w:spacing w:before="156" w:beforeLines="50" w:after="156" w:afterLines="50" w:line="440" w:lineRule="exact"/>
        <w:jc w:val="center"/>
        <w:outlineLvl w:val="1"/>
        <w:rPr>
          <w:rFonts w:eastAsia="黑体"/>
          <w:sz w:val="24"/>
        </w:rPr>
      </w:pPr>
      <w:bookmarkStart w:id="161" w:name="_Toc11492"/>
      <w:bookmarkStart w:id="162" w:name="_Toc8212"/>
      <w:bookmarkStart w:id="163" w:name="_Hlk103464044"/>
      <w:r>
        <w:rPr>
          <w:rFonts w:hint="eastAsia" w:eastAsia="黑体"/>
          <w:sz w:val="24"/>
        </w:rPr>
        <w:t>10.8  管幕钢管壁后注浆</w:t>
      </w:r>
      <w:bookmarkEnd w:id="161"/>
      <w:bookmarkEnd w:id="162"/>
    </w:p>
    <w:bookmarkEnd w:id="163"/>
    <w:p>
      <w:pPr>
        <w:spacing w:before="156" w:beforeLines="50" w:after="156" w:afterLines="50"/>
        <w:jc w:val="center"/>
        <w:rPr>
          <w:sz w:val="24"/>
        </w:rPr>
      </w:pPr>
      <w:r>
        <w:rPr>
          <w:rFonts w:hint="eastAsia"/>
          <w:sz w:val="24"/>
        </w:rPr>
        <w:t>Ⅰ  主控项目</w:t>
      </w:r>
    </w:p>
    <w:p>
      <w:pPr>
        <w:spacing w:line="440" w:lineRule="exact"/>
        <w:rPr>
          <w:sz w:val="24"/>
        </w:rPr>
      </w:pPr>
      <w:r>
        <w:rPr>
          <w:rFonts w:hint="eastAsia"/>
          <w:b/>
          <w:bCs/>
          <w:sz w:val="24"/>
        </w:rPr>
        <w:t>10.8.1</w:t>
      </w:r>
      <w:r>
        <w:rPr>
          <w:rFonts w:hint="eastAsia"/>
          <w:sz w:val="24"/>
        </w:rPr>
        <w:t xml:space="preserve">  管幕壁后注浆浆液的材料和配合比应符合设计文件规定。</w:t>
      </w:r>
    </w:p>
    <w:p>
      <w:pPr>
        <w:spacing w:line="440" w:lineRule="exact"/>
        <w:ind w:firstLine="480" w:firstLineChars="200"/>
        <w:rPr>
          <w:sz w:val="24"/>
        </w:rPr>
      </w:pPr>
      <w:r>
        <w:rPr>
          <w:rFonts w:hint="eastAsia"/>
          <w:sz w:val="24"/>
        </w:rPr>
        <w:t>检验数量：全部检查。</w:t>
      </w:r>
    </w:p>
    <w:p>
      <w:pPr>
        <w:spacing w:line="440" w:lineRule="exact"/>
        <w:ind w:firstLine="480" w:firstLineChars="200"/>
        <w:rPr>
          <w:sz w:val="24"/>
        </w:rPr>
      </w:pPr>
      <w:r>
        <w:rPr>
          <w:rFonts w:hint="eastAsia"/>
          <w:sz w:val="24"/>
        </w:rPr>
        <w:t>检验方法：检查材料质量证明和配合比试验报告。</w:t>
      </w:r>
    </w:p>
    <w:p>
      <w:pPr>
        <w:spacing w:line="440" w:lineRule="exact"/>
        <w:rPr>
          <w:sz w:val="24"/>
        </w:rPr>
      </w:pPr>
      <w:r>
        <w:rPr>
          <w:rFonts w:hint="eastAsia"/>
          <w:b/>
          <w:bCs/>
          <w:sz w:val="24"/>
        </w:rPr>
        <w:t>10.8.2</w:t>
      </w:r>
      <w:r>
        <w:rPr>
          <w:rFonts w:hint="eastAsia"/>
          <w:sz w:val="24"/>
        </w:rPr>
        <w:t xml:space="preserve">  管幕壁后注浆应保证密实。</w:t>
      </w:r>
    </w:p>
    <w:p>
      <w:pPr>
        <w:spacing w:line="440" w:lineRule="exact"/>
        <w:ind w:firstLine="480" w:firstLineChars="200"/>
        <w:rPr>
          <w:sz w:val="24"/>
        </w:rPr>
      </w:pPr>
      <w:r>
        <w:rPr>
          <w:rFonts w:hint="eastAsia"/>
          <w:sz w:val="24"/>
        </w:rPr>
        <w:t>检验数量：全部检查。</w:t>
      </w:r>
    </w:p>
    <w:p>
      <w:pPr>
        <w:spacing w:line="440" w:lineRule="exact"/>
        <w:ind w:firstLine="480" w:firstLineChars="200"/>
        <w:rPr>
          <w:sz w:val="24"/>
        </w:rPr>
      </w:pPr>
      <w:r>
        <w:rPr>
          <w:rFonts w:hint="eastAsia"/>
          <w:sz w:val="24"/>
        </w:rPr>
        <w:t>检验方法：地质雷达或超声波检测。</w:t>
      </w:r>
    </w:p>
    <w:p>
      <w:pPr>
        <w:spacing w:before="156" w:beforeLines="50" w:after="156" w:afterLines="50"/>
        <w:jc w:val="center"/>
        <w:rPr>
          <w:sz w:val="24"/>
        </w:rPr>
      </w:pPr>
      <w:r>
        <w:rPr>
          <w:rFonts w:hint="eastAsia"/>
          <w:sz w:val="24"/>
        </w:rPr>
        <w:t>Ⅱ  一般项目</w:t>
      </w:r>
    </w:p>
    <w:p>
      <w:pPr>
        <w:spacing w:line="440" w:lineRule="exact"/>
        <w:rPr>
          <w:sz w:val="24"/>
        </w:rPr>
      </w:pPr>
      <w:r>
        <w:rPr>
          <w:rFonts w:hint="eastAsia"/>
          <w:b/>
          <w:bCs/>
          <w:sz w:val="24"/>
        </w:rPr>
        <w:t xml:space="preserve">10.8.3 </w:t>
      </w:r>
      <w:r>
        <w:rPr>
          <w:rFonts w:hint="eastAsia"/>
          <w:sz w:val="24"/>
        </w:rPr>
        <w:t xml:space="preserve"> 注浆压力符合设计文件规定。</w:t>
      </w:r>
    </w:p>
    <w:p>
      <w:pPr>
        <w:spacing w:line="440" w:lineRule="exact"/>
        <w:ind w:firstLine="480" w:firstLineChars="200"/>
        <w:rPr>
          <w:sz w:val="24"/>
        </w:rPr>
      </w:pPr>
      <w:r>
        <w:rPr>
          <w:rFonts w:hint="eastAsia"/>
          <w:sz w:val="24"/>
        </w:rPr>
        <w:t>检验数量：全部检查。</w:t>
      </w:r>
    </w:p>
    <w:p>
      <w:pPr>
        <w:spacing w:line="440" w:lineRule="exact"/>
        <w:ind w:firstLine="480" w:firstLineChars="200"/>
        <w:rPr>
          <w:sz w:val="24"/>
        </w:rPr>
      </w:pPr>
      <w:r>
        <w:rPr>
          <w:rFonts w:hint="eastAsia"/>
          <w:sz w:val="24"/>
        </w:rPr>
        <w:t>检验方法：检查施工记录注浆量和注浆压力。</w:t>
      </w:r>
    </w:p>
    <w:p>
      <w:pPr>
        <w:spacing w:line="440" w:lineRule="exact"/>
        <w:rPr>
          <w:sz w:val="24"/>
        </w:rPr>
      </w:pPr>
      <w:r>
        <w:rPr>
          <w:rFonts w:hint="eastAsia"/>
          <w:sz w:val="24"/>
        </w:rPr>
        <w:br w:type="page"/>
      </w:r>
    </w:p>
    <w:p>
      <w:pPr>
        <w:spacing w:before="156" w:beforeLines="50" w:after="156" w:afterLines="50"/>
        <w:jc w:val="center"/>
        <w:outlineLvl w:val="0"/>
        <w:rPr>
          <w:sz w:val="32"/>
          <w:szCs w:val="20"/>
        </w:rPr>
      </w:pPr>
      <w:bookmarkStart w:id="164" w:name="_Toc5650"/>
      <w:bookmarkStart w:id="165" w:name="_Toc1990"/>
      <w:bookmarkStart w:id="166" w:name="_Hlk103446195"/>
      <w:r>
        <w:rPr>
          <w:rFonts w:hint="eastAsia"/>
          <w:sz w:val="32"/>
          <w:szCs w:val="20"/>
        </w:rPr>
        <w:t>附录A  检验批质量验收记录</w:t>
      </w:r>
      <w:bookmarkEnd w:id="164"/>
      <w:bookmarkEnd w:id="165"/>
    </w:p>
    <w:bookmarkEnd w:id="166"/>
    <w:p>
      <w:pPr>
        <w:spacing w:line="440" w:lineRule="exact"/>
        <w:ind w:firstLine="480" w:firstLineChars="200"/>
        <w:rPr>
          <w:sz w:val="24"/>
        </w:rPr>
      </w:pPr>
      <w:r>
        <w:rPr>
          <w:rFonts w:hint="eastAsia"/>
          <w:sz w:val="24"/>
        </w:rPr>
        <w:t>检验批的质量验收记录应由施工项目专业质量检查人员填写，监理工程师或建设单位项目专业技术负责人应组织项目专业质量检察员等进行验收，并宜按表A的规定填写记录。</w:t>
      </w:r>
    </w:p>
    <w:p>
      <w:pPr>
        <w:spacing w:before="156" w:beforeLines="50"/>
        <w:jc w:val="center"/>
        <w:rPr>
          <w:rFonts w:eastAsia="黑体"/>
          <w:bCs/>
          <w:kern w:val="0"/>
          <w:szCs w:val="21"/>
        </w:rPr>
      </w:pPr>
      <w:r>
        <w:rPr>
          <w:rFonts w:hint="eastAsia" w:eastAsia="黑体"/>
          <w:bCs/>
          <w:kern w:val="0"/>
          <w:szCs w:val="21"/>
        </w:rPr>
        <w:t>表A  检验批质量验收记录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339"/>
        <w:gridCol w:w="1057"/>
        <w:gridCol w:w="1018"/>
        <w:gridCol w:w="1158"/>
        <w:gridCol w:w="1100"/>
        <w:gridCol w:w="1023"/>
        <w:gridCol w:w="113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22" w:type="dxa"/>
            <w:gridSpan w:val="3"/>
            <w:vAlign w:val="center"/>
          </w:tcPr>
          <w:p>
            <w:pPr>
              <w:jc w:val="center"/>
              <w:rPr>
                <w:sz w:val="20"/>
                <w:szCs w:val="20"/>
              </w:rPr>
            </w:pPr>
            <w:r>
              <w:rPr>
                <w:rFonts w:hint="eastAsia"/>
                <w:sz w:val="20"/>
                <w:szCs w:val="20"/>
              </w:rPr>
              <w:t>工程名称</w:t>
            </w:r>
          </w:p>
        </w:tc>
        <w:tc>
          <w:tcPr>
            <w:tcW w:w="1018" w:type="dxa"/>
            <w:vAlign w:val="center"/>
          </w:tcPr>
          <w:p>
            <w:pPr>
              <w:jc w:val="center"/>
              <w:rPr>
                <w:sz w:val="20"/>
                <w:szCs w:val="20"/>
              </w:rPr>
            </w:pPr>
          </w:p>
        </w:tc>
        <w:tc>
          <w:tcPr>
            <w:tcW w:w="1158" w:type="dxa"/>
            <w:vAlign w:val="center"/>
          </w:tcPr>
          <w:p>
            <w:pPr>
              <w:jc w:val="center"/>
              <w:rPr>
                <w:sz w:val="20"/>
                <w:szCs w:val="20"/>
              </w:rPr>
            </w:pPr>
            <w:r>
              <w:rPr>
                <w:rFonts w:hint="eastAsia"/>
                <w:sz w:val="20"/>
                <w:szCs w:val="20"/>
              </w:rPr>
              <w:t>分项工程名称</w:t>
            </w:r>
          </w:p>
        </w:tc>
        <w:tc>
          <w:tcPr>
            <w:tcW w:w="2123" w:type="dxa"/>
            <w:gridSpan w:val="2"/>
            <w:vAlign w:val="center"/>
          </w:tcPr>
          <w:p>
            <w:pPr>
              <w:jc w:val="center"/>
              <w:rPr>
                <w:sz w:val="20"/>
                <w:szCs w:val="20"/>
              </w:rPr>
            </w:pPr>
          </w:p>
        </w:tc>
        <w:tc>
          <w:tcPr>
            <w:tcW w:w="1134" w:type="dxa"/>
            <w:vAlign w:val="center"/>
          </w:tcPr>
          <w:p>
            <w:pPr>
              <w:jc w:val="center"/>
              <w:rPr>
                <w:sz w:val="20"/>
                <w:szCs w:val="20"/>
              </w:rPr>
            </w:pPr>
            <w:r>
              <w:rPr>
                <w:rFonts w:hint="eastAsia"/>
                <w:sz w:val="20"/>
                <w:szCs w:val="20"/>
              </w:rPr>
              <w:t>验收部位</w:t>
            </w:r>
          </w:p>
        </w:tc>
        <w:tc>
          <w:tcPr>
            <w:tcW w:w="1071" w:type="dxa"/>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22" w:type="dxa"/>
            <w:gridSpan w:val="3"/>
            <w:vAlign w:val="center"/>
          </w:tcPr>
          <w:p>
            <w:pPr>
              <w:jc w:val="center"/>
              <w:rPr>
                <w:sz w:val="20"/>
                <w:szCs w:val="20"/>
              </w:rPr>
            </w:pPr>
            <w:r>
              <w:rPr>
                <w:rFonts w:hint="eastAsia"/>
                <w:sz w:val="20"/>
                <w:szCs w:val="20"/>
              </w:rPr>
              <w:t>施工单位</w:t>
            </w:r>
          </w:p>
        </w:tc>
        <w:tc>
          <w:tcPr>
            <w:tcW w:w="2176" w:type="dxa"/>
            <w:gridSpan w:val="2"/>
            <w:vAlign w:val="center"/>
          </w:tcPr>
          <w:p>
            <w:pPr>
              <w:jc w:val="center"/>
              <w:rPr>
                <w:sz w:val="20"/>
                <w:szCs w:val="20"/>
              </w:rPr>
            </w:pPr>
          </w:p>
        </w:tc>
        <w:tc>
          <w:tcPr>
            <w:tcW w:w="1100" w:type="dxa"/>
            <w:vAlign w:val="center"/>
          </w:tcPr>
          <w:p>
            <w:pPr>
              <w:jc w:val="center"/>
              <w:rPr>
                <w:sz w:val="20"/>
                <w:szCs w:val="20"/>
              </w:rPr>
            </w:pPr>
            <w:r>
              <w:rPr>
                <w:rFonts w:hint="eastAsia"/>
                <w:sz w:val="20"/>
                <w:szCs w:val="20"/>
              </w:rPr>
              <w:t>专业工长</w:t>
            </w:r>
          </w:p>
        </w:tc>
        <w:tc>
          <w:tcPr>
            <w:tcW w:w="1023" w:type="dxa"/>
            <w:vAlign w:val="center"/>
          </w:tcPr>
          <w:p>
            <w:pPr>
              <w:jc w:val="center"/>
              <w:rPr>
                <w:sz w:val="20"/>
                <w:szCs w:val="20"/>
              </w:rPr>
            </w:pPr>
          </w:p>
        </w:tc>
        <w:tc>
          <w:tcPr>
            <w:tcW w:w="1134" w:type="dxa"/>
            <w:vAlign w:val="center"/>
          </w:tcPr>
          <w:p>
            <w:pPr>
              <w:jc w:val="center"/>
              <w:rPr>
                <w:sz w:val="20"/>
                <w:szCs w:val="20"/>
              </w:rPr>
            </w:pPr>
            <w:r>
              <w:rPr>
                <w:rFonts w:hint="eastAsia"/>
                <w:sz w:val="20"/>
                <w:szCs w:val="20"/>
              </w:rPr>
              <w:t>项目经理</w:t>
            </w:r>
          </w:p>
        </w:tc>
        <w:tc>
          <w:tcPr>
            <w:tcW w:w="1071" w:type="dxa"/>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22" w:type="dxa"/>
            <w:gridSpan w:val="3"/>
            <w:vAlign w:val="center"/>
          </w:tcPr>
          <w:p>
            <w:pPr>
              <w:snapToGrid w:val="0"/>
              <w:jc w:val="center"/>
              <w:rPr>
                <w:sz w:val="20"/>
                <w:szCs w:val="20"/>
              </w:rPr>
            </w:pPr>
            <w:r>
              <w:rPr>
                <w:rFonts w:hint="eastAsia"/>
                <w:sz w:val="20"/>
                <w:szCs w:val="20"/>
              </w:rPr>
              <w:t>施工执行标准</w:t>
            </w:r>
          </w:p>
          <w:p>
            <w:pPr>
              <w:snapToGrid w:val="0"/>
              <w:jc w:val="center"/>
              <w:rPr>
                <w:sz w:val="20"/>
                <w:szCs w:val="20"/>
              </w:rPr>
            </w:pPr>
            <w:r>
              <w:rPr>
                <w:rFonts w:hint="eastAsia"/>
                <w:sz w:val="20"/>
                <w:szCs w:val="20"/>
              </w:rPr>
              <w:t>名称及编号</w:t>
            </w:r>
          </w:p>
        </w:tc>
        <w:tc>
          <w:tcPr>
            <w:tcW w:w="6504" w:type="dxa"/>
            <w:gridSpan w:val="6"/>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22" w:type="dxa"/>
            <w:gridSpan w:val="3"/>
            <w:vAlign w:val="center"/>
          </w:tcPr>
          <w:p>
            <w:pPr>
              <w:snapToGrid w:val="0"/>
              <w:jc w:val="center"/>
              <w:rPr>
                <w:sz w:val="20"/>
                <w:szCs w:val="20"/>
              </w:rPr>
            </w:pPr>
            <w:r>
              <w:rPr>
                <w:rFonts w:hint="eastAsia"/>
                <w:sz w:val="20"/>
                <w:szCs w:val="20"/>
              </w:rPr>
              <w:t>分包单位</w:t>
            </w:r>
          </w:p>
        </w:tc>
        <w:tc>
          <w:tcPr>
            <w:tcW w:w="1018" w:type="dxa"/>
            <w:vAlign w:val="center"/>
          </w:tcPr>
          <w:p>
            <w:pPr>
              <w:snapToGrid w:val="0"/>
              <w:jc w:val="center"/>
              <w:rPr>
                <w:sz w:val="20"/>
                <w:szCs w:val="20"/>
              </w:rPr>
            </w:pPr>
          </w:p>
        </w:tc>
        <w:tc>
          <w:tcPr>
            <w:tcW w:w="1158" w:type="dxa"/>
            <w:vAlign w:val="center"/>
          </w:tcPr>
          <w:p>
            <w:pPr>
              <w:snapToGrid w:val="0"/>
              <w:jc w:val="center"/>
              <w:rPr>
                <w:sz w:val="20"/>
                <w:szCs w:val="20"/>
              </w:rPr>
            </w:pPr>
            <w:r>
              <w:rPr>
                <w:rFonts w:hint="eastAsia"/>
                <w:sz w:val="20"/>
                <w:szCs w:val="20"/>
              </w:rPr>
              <w:t>分包项目经理</w:t>
            </w:r>
          </w:p>
        </w:tc>
        <w:tc>
          <w:tcPr>
            <w:tcW w:w="2123" w:type="dxa"/>
            <w:gridSpan w:val="2"/>
            <w:vAlign w:val="center"/>
          </w:tcPr>
          <w:p>
            <w:pPr>
              <w:snapToGrid w:val="0"/>
              <w:jc w:val="center"/>
              <w:rPr>
                <w:sz w:val="20"/>
                <w:szCs w:val="20"/>
              </w:rPr>
            </w:pPr>
          </w:p>
        </w:tc>
        <w:tc>
          <w:tcPr>
            <w:tcW w:w="1134" w:type="dxa"/>
            <w:vAlign w:val="center"/>
          </w:tcPr>
          <w:p>
            <w:pPr>
              <w:snapToGrid w:val="0"/>
              <w:jc w:val="center"/>
              <w:rPr>
                <w:sz w:val="20"/>
                <w:szCs w:val="20"/>
              </w:rPr>
            </w:pPr>
            <w:r>
              <w:rPr>
                <w:rFonts w:hint="eastAsia"/>
                <w:sz w:val="20"/>
                <w:szCs w:val="20"/>
              </w:rPr>
              <w:t>施工班组长</w:t>
            </w:r>
          </w:p>
        </w:tc>
        <w:tc>
          <w:tcPr>
            <w:tcW w:w="1071" w:type="dxa"/>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Merge w:val="restart"/>
            <w:vAlign w:val="center"/>
          </w:tcPr>
          <w:p>
            <w:pPr>
              <w:snapToGrid w:val="0"/>
              <w:jc w:val="center"/>
              <w:rPr>
                <w:sz w:val="20"/>
                <w:szCs w:val="20"/>
              </w:rPr>
            </w:pPr>
            <w:r>
              <w:rPr>
                <w:rFonts w:hint="eastAsia"/>
                <w:sz w:val="20"/>
                <w:szCs w:val="20"/>
              </w:rPr>
              <w:t>Ⅰ</w:t>
            </w:r>
          </w:p>
          <w:p>
            <w:pPr>
              <w:snapToGrid w:val="0"/>
              <w:jc w:val="center"/>
              <w:rPr>
                <w:sz w:val="20"/>
                <w:szCs w:val="20"/>
              </w:rPr>
            </w:pPr>
            <w:r>
              <w:rPr>
                <w:sz w:val="20"/>
                <w:szCs w:val="20"/>
              </w:rPr>
              <w:t>主控</w:t>
            </w:r>
          </w:p>
          <w:p>
            <w:pPr>
              <w:snapToGrid w:val="0"/>
              <w:jc w:val="center"/>
              <w:rPr>
                <w:sz w:val="20"/>
                <w:szCs w:val="20"/>
              </w:rPr>
            </w:pPr>
            <w:r>
              <w:rPr>
                <w:sz w:val="20"/>
                <w:szCs w:val="20"/>
              </w:rPr>
              <w:t>项目</w:t>
            </w:r>
          </w:p>
        </w:tc>
        <w:tc>
          <w:tcPr>
            <w:tcW w:w="1396" w:type="dxa"/>
            <w:gridSpan w:val="2"/>
            <w:vAlign w:val="center"/>
          </w:tcPr>
          <w:p>
            <w:pPr>
              <w:snapToGrid w:val="0"/>
              <w:jc w:val="center"/>
              <w:rPr>
                <w:sz w:val="20"/>
                <w:szCs w:val="20"/>
              </w:rPr>
            </w:pPr>
            <w:r>
              <w:rPr>
                <w:rFonts w:hint="eastAsia"/>
                <w:sz w:val="20"/>
                <w:szCs w:val="20"/>
              </w:rPr>
              <w:t>质量验收标准的规定</w:t>
            </w:r>
          </w:p>
        </w:tc>
        <w:tc>
          <w:tcPr>
            <w:tcW w:w="4299" w:type="dxa"/>
            <w:gridSpan w:val="4"/>
            <w:vAlign w:val="center"/>
          </w:tcPr>
          <w:p>
            <w:pPr>
              <w:snapToGrid w:val="0"/>
              <w:jc w:val="center"/>
              <w:rPr>
                <w:sz w:val="20"/>
                <w:szCs w:val="20"/>
              </w:rPr>
            </w:pPr>
            <w:r>
              <w:rPr>
                <w:rFonts w:hint="eastAsia"/>
                <w:sz w:val="20"/>
                <w:szCs w:val="20"/>
              </w:rPr>
              <w:t>施工单位检查评定记录</w:t>
            </w:r>
          </w:p>
        </w:tc>
        <w:tc>
          <w:tcPr>
            <w:tcW w:w="2205" w:type="dxa"/>
            <w:gridSpan w:val="2"/>
            <w:vAlign w:val="center"/>
          </w:tcPr>
          <w:p>
            <w:pPr>
              <w:snapToGrid w:val="0"/>
              <w:jc w:val="center"/>
              <w:rPr>
                <w:sz w:val="20"/>
                <w:szCs w:val="20"/>
              </w:rPr>
            </w:pPr>
            <w:r>
              <w:rPr>
                <w:rFonts w:hint="eastAsia"/>
                <w:sz w:val="20"/>
                <w:szCs w:val="20"/>
              </w:rPr>
              <w:t>监理（建设）</w:t>
            </w:r>
          </w:p>
          <w:p>
            <w:pPr>
              <w:snapToGrid w:val="0"/>
              <w:jc w:val="center"/>
              <w:rPr>
                <w:sz w:val="20"/>
                <w:szCs w:val="20"/>
              </w:rPr>
            </w:pPr>
            <w:r>
              <w:rPr>
                <w:sz w:val="20"/>
                <w:szCs w:val="20"/>
              </w:rPr>
              <w:t>单位验收记录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pPr>
              <w:snapToGrid w:val="0"/>
              <w:jc w:val="center"/>
              <w:rPr>
                <w:sz w:val="20"/>
                <w:szCs w:val="20"/>
              </w:rPr>
            </w:pPr>
          </w:p>
        </w:tc>
        <w:tc>
          <w:tcPr>
            <w:tcW w:w="339" w:type="dxa"/>
            <w:vAlign w:val="center"/>
          </w:tcPr>
          <w:p>
            <w:pPr>
              <w:snapToGrid w:val="0"/>
              <w:jc w:val="center"/>
              <w:rPr>
                <w:sz w:val="20"/>
                <w:szCs w:val="20"/>
              </w:rPr>
            </w:pPr>
            <w:r>
              <w:rPr>
                <w:sz w:val="20"/>
                <w:szCs w:val="20"/>
              </w:rPr>
              <w:t>1</w:t>
            </w:r>
          </w:p>
        </w:tc>
        <w:tc>
          <w:tcPr>
            <w:tcW w:w="1057" w:type="dxa"/>
            <w:vAlign w:val="center"/>
          </w:tcPr>
          <w:p>
            <w:pPr>
              <w:snapToGrid w:val="0"/>
              <w:jc w:val="center"/>
              <w:rPr>
                <w:sz w:val="20"/>
                <w:szCs w:val="20"/>
              </w:rPr>
            </w:pPr>
          </w:p>
        </w:tc>
        <w:tc>
          <w:tcPr>
            <w:tcW w:w="4299" w:type="dxa"/>
            <w:gridSpan w:val="4"/>
            <w:vAlign w:val="center"/>
          </w:tcPr>
          <w:p>
            <w:pPr>
              <w:snapToGrid w:val="0"/>
              <w:jc w:val="center"/>
              <w:rPr>
                <w:sz w:val="20"/>
                <w:szCs w:val="20"/>
              </w:rPr>
            </w:pPr>
          </w:p>
        </w:tc>
        <w:tc>
          <w:tcPr>
            <w:tcW w:w="2205" w:type="dxa"/>
            <w:gridSpan w:val="2"/>
            <w:vMerge w:val="restart"/>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pPr>
              <w:snapToGrid w:val="0"/>
              <w:jc w:val="center"/>
              <w:rPr>
                <w:sz w:val="20"/>
                <w:szCs w:val="20"/>
              </w:rPr>
            </w:pPr>
          </w:p>
        </w:tc>
        <w:tc>
          <w:tcPr>
            <w:tcW w:w="339" w:type="dxa"/>
            <w:vAlign w:val="center"/>
          </w:tcPr>
          <w:p>
            <w:pPr>
              <w:snapToGrid w:val="0"/>
              <w:jc w:val="center"/>
              <w:rPr>
                <w:sz w:val="20"/>
                <w:szCs w:val="20"/>
              </w:rPr>
            </w:pPr>
            <w:r>
              <w:rPr>
                <w:sz w:val="20"/>
                <w:szCs w:val="20"/>
              </w:rPr>
              <w:t>2</w:t>
            </w:r>
          </w:p>
        </w:tc>
        <w:tc>
          <w:tcPr>
            <w:tcW w:w="1057" w:type="dxa"/>
            <w:vAlign w:val="center"/>
          </w:tcPr>
          <w:p>
            <w:pPr>
              <w:snapToGrid w:val="0"/>
              <w:jc w:val="center"/>
              <w:rPr>
                <w:sz w:val="20"/>
                <w:szCs w:val="20"/>
              </w:rPr>
            </w:pPr>
          </w:p>
        </w:tc>
        <w:tc>
          <w:tcPr>
            <w:tcW w:w="4299" w:type="dxa"/>
            <w:gridSpan w:val="4"/>
            <w:vAlign w:val="center"/>
          </w:tcPr>
          <w:p>
            <w:pPr>
              <w:snapToGrid w:val="0"/>
              <w:jc w:val="center"/>
              <w:rPr>
                <w:sz w:val="20"/>
                <w:szCs w:val="20"/>
              </w:rPr>
            </w:pPr>
          </w:p>
        </w:tc>
        <w:tc>
          <w:tcPr>
            <w:tcW w:w="2205" w:type="dxa"/>
            <w:gridSpan w:val="2"/>
            <w:vMerge w:val="continue"/>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pPr>
              <w:snapToGrid w:val="0"/>
              <w:jc w:val="center"/>
              <w:rPr>
                <w:sz w:val="20"/>
                <w:szCs w:val="20"/>
              </w:rPr>
            </w:pPr>
          </w:p>
        </w:tc>
        <w:tc>
          <w:tcPr>
            <w:tcW w:w="339" w:type="dxa"/>
            <w:vAlign w:val="center"/>
          </w:tcPr>
          <w:p>
            <w:pPr>
              <w:snapToGrid w:val="0"/>
              <w:jc w:val="center"/>
              <w:rPr>
                <w:sz w:val="20"/>
                <w:szCs w:val="20"/>
              </w:rPr>
            </w:pPr>
            <w:r>
              <w:rPr>
                <w:sz w:val="20"/>
                <w:szCs w:val="20"/>
              </w:rPr>
              <w:t>3</w:t>
            </w:r>
          </w:p>
        </w:tc>
        <w:tc>
          <w:tcPr>
            <w:tcW w:w="1057" w:type="dxa"/>
            <w:vAlign w:val="center"/>
          </w:tcPr>
          <w:p>
            <w:pPr>
              <w:snapToGrid w:val="0"/>
              <w:jc w:val="center"/>
              <w:rPr>
                <w:sz w:val="20"/>
                <w:szCs w:val="20"/>
              </w:rPr>
            </w:pPr>
          </w:p>
        </w:tc>
        <w:tc>
          <w:tcPr>
            <w:tcW w:w="4299" w:type="dxa"/>
            <w:gridSpan w:val="4"/>
            <w:vAlign w:val="center"/>
          </w:tcPr>
          <w:p>
            <w:pPr>
              <w:snapToGrid w:val="0"/>
              <w:jc w:val="center"/>
              <w:rPr>
                <w:sz w:val="20"/>
                <w:szCs w:val="20"/>
              </w:rPr>
            </w:pPr>
          </w:p>
        </w:tc>
        <w:tc>
          <w:tcPr>
            <w:tcW w:w="2205" w:type="dxa"/>
            <w:gridSpan w:val="2"/>
            <w:vMerge w:val="continue"/>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pPr>
              <w:snapToGrid w:val="0"/>
              <w:jc w:val="center"/>
              <w:rPr>
                <w:sz w:val="20"/>
                <w:szCs w:val="20"/>
              </w:rPr>
            </w:pPr>
          </w:p>
        </w:tc>
        <w:tc>
          <w:tcPr>
            <w:tcW w:w="339" w:type="dxa"/>
            <w:vAlign w:val="center"/>
          </w:tcPr>
          <w:p>
            <w:pPr>
              <w:snapToGrid w:val="0"/>
              <w:jc w:val="center"/>
              <w:rPr>
                <w:sz w:val="20"/>
                <w:szCs w:val="20"/>
              </w:rPr>
            </w:pPr>
            <w:r>
              <w:rPr>
                <w:sz w:val="20"/>
                <w:szCs w:val="20"/>
              </w:rPr>
              <w:t>4</w:t>
            </w:r>
          </w:p>
        </w:tc>
        <w:tc>
          <w:tcPr>
            <w:tcW w:w="1057" w:type="dxa"/>
            <w:vAlign w:val="center"/>
          </w:tcPr>
          <w:p>
            <w:pPr>
              <w:snapToGrid w:val="0"/>
              <w:jc w:val="center"/>
              <w:rPr>
                <w:sz w:val="20"/>
                <w:szCs w:val="20"/>
              </w:rPr>
            </w:pPr>
          </w:p>
        </w:tc>
        <w:tc>
          <w:tcPr>
            <w:tcW w:w="4299" w:type="dxa"/>
            <w:gridSpan w:val="4"/>
            <w:vAlign w:val="center"/>
          </w:tcPr>
          <w:p>
            <w:pPr>
              <w:snapToGrid w:val="0"/>
              <w:jc w:val="center"/>
              <w:rPr>
                <w:sz w:val="20"/>
                <w:szCs w:val="20"/>
              </w:rPr>
            </w:pPr>
          </w:p>
        </w:tc>
        <w:tc>
          <w:tcPr>
            <w:tcW w:w="2205" w:type="dxa"/>
            <w:gridSpan w:val="2"/>
            <w:vMerge w:val="continue"/>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pPr>
              <w:snapToGrid w:val="0"/>
              <w:jc w:val="center"/>
              <w:rPr>
                <w:sz w:val="20"/>
                <w:szCs w:val="20"/>
              </w:rPr>
            </w:pPr>
          </w:p>
        </w:tc>
        <w:tc>
          <w:tcPr>
            <w:tcW w:w="339" w:type="dxa"/>
            <w:vAlign w:val="center"/>
          </w:tcPr>
          <w:p>
            <w:pPr>
              <w:snapToGrid w:val="0"/>
              <w:jc w:val="center"/>
              <w:rPr>
                <w:sz w:val="20"/>
                <w:szCs w:val="20"/>
              </w:rPr>
            </w:pPr>
            <w:r>
              <w:rPr>
                <w:sz w:val="20"/>
                <w:szCs w:val="20"/>
              </w:rPr>
              <w:t>5</w:t>
            </w:r>
          </w:p>
        </w:tc>
        <w:tc>
          <w:tcPr>
            <w:tcW w:w="1057" w:type="dxa"/>
            <w:vAlign w:val="center"/>
          </w:tcPr>
          <w:p>
            <w:pPr>
              <w:snapToGrid w:val="0"/>
              <w:jc w:val="center"/>
              <w:rPr>
                <w:sz w:val="20"/>
                <w:szCs w:val="20"/>
              </w:rPr>
            </w:pPr>
          </w:p>
        </w:tc>
        <w:tc>
          <w:tcPr>
            <w:tcW w:w="4299" w:type="dxa"/>
            <w:gridSpan w:val="4"/>
            <w:vAlign w:val="center"/>
          </w:tcPr>
          <w:p>
            <w:pPr>
              <w:snapToGrid w:val="0"/>
              <w:jc w:val="center"/>
              <w:rPr>
                <w:sz w:val="20"/>
                <w:szCs w:val="20"/>
              </w:rPr>
            </w:pPr>
          </w:p>
        </w:tc>
        <w:tc>
          <w:tcPr>
            <w:tcW w:w="2205" w:type="dxa"/>
            <w:gridSpan w:val="2"/>
            <w:vMerge w:val="continue"/>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pPr>
              <w:snapToGrid w:val="0"/>
              <w:jc w:val="center"/>
              <w:rPr>
                <w:sz w:val="20"/>
                <w:szCs w:val="20"/>
              </w:rPr>
            </w:pPr>
          </w:p>
        </w:tc>
        <w:tc>
          <w:tcPr>
            <w:tcW w:w="339" w:type="dxa"/>
            <w:vAlign w:val="center"/>
          </w:tcPr>
          <w:p>
            <w:pPr>
              <w:snapToGrid w:val="0"/>
              <w:jc w:val="center"/>
              <w:rPr>
                <w:sz w:val="20"/>
                <w:szCs w:val="20"/>
              </w:rPr>
            </w:pPr>
            <w:r>
              <w:rPr>
                <w:sz w:val="20"/>
                <w:szCs w:val="20"/>
              </w:rPr>
              <w:t>6</w:t>
            </w:r>
          </w:p>
        </w:tc>
        <w:tc>
          <w:tcPr>
            <w:tcW w:w="1057" w:type="dxa"/>
            <w:vAlign w:val="center"/>
          </w:tcPr>
          <w:p>
            <w:pPr>
              <w:snapToGrid w:val="0"/>
              <w:jc w:val="center"/>
              <w:rPr>
                <w:sz w:val="20"/>
                <w:szCs w:val="20"/>
              </w:rPr>
            </w:pPr>
          </w:p>
        </w:tc>
        <w:tc>
          <w:tcPr>
            <w:tcW w:w="4299" w:type="dxa"/>
            <w:gridSpan w:val="4"/>
            <w:vAlign w:val="center"/>
          </w:tcPr>
          <w:p>
            <w:pPr>
              <w:snapToGrid w:val="0"/>
              <w:jc w:val="center"/>
              <w:rPr>
                <w:sz w:val="20"/>
                <w:szCs w:val="20"/>
              </w:rPr>
            </w:pPr>
          </w:p>
        </w:tc>
        <w:tc>
          <w:tcPr>
            <w:tcW w:w="2205" w:type="dxa"/>
            <w:gridSpan w:val="2"/>
            <w:vMerge w:val="continue"/>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pPr>
              <w:snapToGrid w:val="0"/>
              <w:jc w:val="center"/>
              <w:rPr>
                <w:sz w:val="20"/>
                <w:szCs w:val="20"/>
              </w:rPr>
            </w:pPr>
          </w:p>
        </w:tc>
        <w:tc>
          <w:tcPr>
            <w:tcW w:w="339" w:type="dxa"/>
            <w:vAlign w:val="center"/>
          </w:tcPr>
          <w:p>
            <w:pPr>
              <w:snapToGrid w:val="0"/>
              <w:jc w:val="center"/>
              <w:rPr>
                <w:sz w:val="20"/>
                <w:szCs w:val="20"/>
              </w:rPr>
            </w:pPr>
            <w:r>
              <w:rPr>
                <w:sz w:val="20"/>
                <w:szCs w:val="20"/>
              </w:rPr>
              <w:t>7</w:t>
            </w:r>
          </w:p>
        </w:tc>
        <w:tc>
          <w:tcPr>
            <w:tcW w:w="1057" w:type="dxa"/>
            <w:vAlign w:val="center"/>
          </w:tcPr>
          <w:p>
            <w:pPr>
              <w:snapToGrid w:val="0"/>
              <w:jc w:val="center"/>
              <w:rPr>
                <w:sz w:val="20"/>
                <w:szCs w:val="20"/>
              </w:rPr>
            </w:pPr>
          </w:p>
        </w:tc>
        <w:tc>
          <w:tcPr>
            <w:tcW w:w="4299" w:type="dxa"/>
            <w:gridSpan w:val="4"/>
            <w:vAlign w:val="center"/>
          </w:tcPr>
          <w:p>
            <w:pPr>
              <w:snapToGrid w:val="0"/>
              <w:jc w:val="center"/>
              <w:rPr>
                <w:sz w:val="20"/>
                <w:szCs w:val="20"/>
              </w:rPr>
            </w:pPr>
          </w:p>
        </w:tc>
        <w:tc>
          <w:tcPr>
            <w:tcW w:w="2205" w:type="dxa"/>
            <w:gridSpan w:val="2"/>
            <w:vMerge w:val="restart"/>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pPr>
              <w:snapToGrid w:val="0"/>
              <w:jc w:val="center"/>
              <w:rPr>
                <w:sz w:val="20"/>
                <w:szCs w:val="20"/>
              </w:rPr>
            </w:pPr>
          </w:p>
        </w:tc>
        <w:tc>
          <w:tcPr>
            <w:tcW w:w="339" w:type="dxa"/>
            <w:vAlign w:val="center"/>
          </w:tcPr>
          <w:p>
            <w:pPr>
              <w:snapToGrid w:val="0"/>
              <w:jc w:val="center"/>
              <w:rPr>
                <w:sz w:val="20"/>
                <w:szCs w:val="20"/>
              </w:rPr>
            </w:pPr>
            <w:r>
              <w:rPr>
                <w:sz w:val="20"/>
                <w:szCs w:val="20"/>
              </w:rPr>
              <w:t>8</w:t>
            </w:r>
          </w:p>
        </w:tc>
        <w:tc>
          <w:tcPr>
            <w:tcW w:w="1057" w:type="dxa"/>
            <w:vAlign w:val="center"/>
          </w:tcPr>
          <w:p>
            <w:pPr>
              <w:snapToGrid w:val="0"/>
              <w:jc w:val="center"/>
              <w:rPr>
                <w:sz w:val="20"/>
                <w:szCs w:val="20"/>
              </w:rPr>
            </w:pPr>
          </w:p>
        </w:tc>
        <w:tc>
          <w:tcPr>
            <w:tcW w:w="4299" w:type="dxa"/>
            <w:gridSpan w:val="4"/>
            <w:vAlign w:val="center"/>
          </w:tcPr>
          <w:p>
            <w:pPr>
              <w:snapToGrid w:val="0"/>
              <w:jc w:val="center"/>
              <w:rPr>
                <w:sz w:val="20"/>
                <w:szCs w:val="20"/>
              </w:rPr>
            </w:pPr>
          </w:p>
        </w:tc>
        <w:tc>
          <w:tcPr>
            <w:tcW w:w="2205" w:type="dxa"/>
            <w:gridSpan w:val="2"/>
            <w:vMerge w:val="continue"/>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pPr>
              <w:snapToGrid w:val="0"/>
              <w:jc w:val="center"/>
              <w:rPr>
                <w:sz w:val="20"/>
                <w:szCs w:val="20"/>
              </w:rPr>
            </w:pPr>
          </w:p>
        </w:tc>
        <w:tc>
          <w:tcPr>
            <w:tcW w:w="339" w:type="dxa"/>
            <w:vAlign w:val="center"/>
          </w:tcPr>
          <w:p>
            <w:pPr>
              <w:snapToGrid w:val="0"/>
              <w:jc w:val="center"/>
              <w:rPr>
                <w:sz w:val="20"/>
                <w:szCs w:val="20"/>
              </w:rPr>
            </w:pPr>
            <w:r>
              <w:rPr>
                <w:sz w:val="20"/>
                <w:szCs w:val="20"/>
              </w:rPr>
              <w:t>9</w:t>
            </w:r>
          </w:p>
        </w:tc>
        <w:tc>
          <w:tcPr>
            <w:tcW w:w="1057" w:type="dxa"/>
            <w:vAlign w:val="center"/>
          </w:tcPr>
          <w:p>
            <w:pPr>
              <w:snapToGrid w:val="0"/>
              <w:jc w:val="center"/>
              <w:rPr>
                <w:sz w:val="20"/>
                <w:szCs w:val="20"/>
              </w:rPr>
            </w:pPr>
          </w:p>
        </w:tc>
        <w:tc>
          <w:tcPr>
            <w:tcW w:w="4299" w:type="dxa"/>
            <w:gridSpan w:val="4"/>
            <w:vAlign w:val="center"/>
          </w:tcPr>
          <w:p>
            <w:pPr>
              <w:snapToGrid w:val="0"/>
              <w:jc w:val="center"/>
              <w:rPr>
                <w:sz w:val="20"/>
                <w:szCs w:val="20"/>
              </w:rPr>
            </w:pPr>
          </w:p>
        </w:tc>
        <w:tc>
          <w:tcPr>
            <w:tcW w:w="2205" w:type="dxa"/>
            <w:gridSpan w:val="2"/>
            <w:vMerge w:val="continue"/>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restart"/>
            <w:vAlign w:val="center"/>
          </w:tcPr>
          <w:p>
            <w:pPr>
              <w:snapToGrid w:val="0"/>
              <w:jc w:val="center"/>
              <w:rPr>
                <w:sz w:val="20"/>
                <w:szCs w:val="20"/>
              </w:rPr>
            </w:pPr>
            <w:r>
              <w:rPr>
                <w:rFonts w:hint="eastAsia"/>
                <w:sz w:val="20"/>
                <w:szCs w:val="20"/>
              </w:rPr>
              <w:t>Ⅱ</w:t>
            </w:r>
          </w:p>
          <w:p>
            <w:pPr>
              <w:snapToGrid w:val="0"/>
              <w:jc w:val="center"/>
              <w:rPr>
                <w:sz w:val="20"/>
                <w:szCs w:val="20"/>
              </w:rPr>
            </w:pPr>
            <w:r>
              <w:rPr>
                <w:sz w:val="20"/>
                <w:szCs w:val="20"/>
              </w:rPr>
              <w:t>一般项目</w:t>
            </w:r>
          </w:p>
        </w:tc>
        <w:tc>
          <w:tcPr>
            <w:tcW w:w="339" w:type="dxa"/>
            <w:vAlign w:val="center"/>
          </w:tcPr>
          <w:p>
            <w:pPr>
              <w:snapToGrid w:val="0"/>
              <w:jc w:val="center"/>
              <w:rPr>
                <w:sz w:val="20"/>
                <w:szCs w:val="20"/>
              </w:rPr>
            </w:pPr>
            <w:r>
              <w:rPr>
                <w:rFonts w:hint="eastAsia"/>
                <w:sz w:val="20"/>
                <w:szCs w:val="20"/>
              </w:rPr>
              <w:t>1</w:t>
            </w:r>
          </w:p>
        </w:tc>
        <w:tc>
          <w:tcPr>
            <w:tcW w:w="1057" w:type="dxa"/>
            <w:vAlign w:val="center"/>
          </w:tcPr>
          <w:p>
            <w:pPr>
              <w:snapToGrid w:val="0"/>
              <w:jc w:val="center"/>
              <w:rPr>
                <w:sz w:val="20"/>
                <w:szCs w:val="20"/>
              </w:rPr>
            </w:pPr>
          </w:p>
        </w:tc>
        <w:tc>
          <w:tcPr>
            <w:tcW w:w="4299" w:type="dxa"/>
            <w:gridSpan w:val="4"/>
            <w:vAlign w:val="center"/>
          </w:tcPr>
          <w:p>
            <w:pPr>
              <w:snapToGrid w:val="0"/>
              <w:jc w:val="center"/>
              <w:rPr>
                <w:sz w:val="20"/>
                <w:szCs w:val="20"/>
              </w:rPr>
            </w:pPr>
          </w:p>
        </w:tc>
        <w:tc>
          <w:tcPr>
            <w:tcW w:w="2205" w:type="dxa"/>
            <w:gridSpan w:val="2"/>
            <w:vMerge w:val="restart"/>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pPr>
              <w:snapToGrid w:val="0"/>
              <w:jc w:val="center"/>
              <w:rPr>
                <w:sz w:val="20"/>
                <w:szCs w:val="20"/>
              </w:rPr>
            </w:pPr>
          </w:p>
        </w:tc>
        <w:tc>
          <w:tcPr>
            <w:tcW w:w="339" w:type="dxa"/>
            <w:vAlign w:val="center"/>
          </w:tcPr>
          <w:p>
            <w:pPr>
              <w:snapToGrid w:val="0"/>
              <w:jc w:val="center"/>
              <w:rPr>
                <w:sz w:val="20"/>
                <w:szCs w:val="20"/>
              </w:rPr>
            </w:pPr>
            <w:r>
              <w:rPr>
                <w:rFonts w:hint="eastAsia"/>
                <w:sz w:val="20"/>
                <w:szCs w:val="20"/>
              </w:rPr>
              <w:t>2</w:t>
            </w:r>
          </w:p>
        </w:tc>
        <w:tc>
          <w:tcPr>
            <w:tcW w:w="1057" w:type="dxa"/>
            <w:vAlign w:val="center"/>
          </w:tcPr>
          <w:p>
            <w:pPr>
              <w:snapToGrid w:val="0"/>
              <w:jc w:val="center"/>
              <w:rPr>
                <w:sz w:val="20"/>
                <w:szCs w:val="20"/>
              </w:rPr>
            </w:pPr>
          </w:p>
        </w:tc>
        <w:tc>
          <w:tcPr>
            <w:tcW w:w="4299" w:type="dxa"/>
            <w:gridSpan w:val="4"/>
            <w:vAlign w:val="center"/>
          </w:tcPr>
          <w:p>
            <w:pPr>
              <w:snapToGrid w:val="0"/>
              <w:jc w:val="center"/>
              <w:rPr>
                <w:sz w:val="20"/>
                <w:szCs w:val="20"/>
              </w:rPr>
            </w:pPr>
          </w:p>
        </w:tc>
        <w:tc>
          <w:tcPr>
            <w:tcW w:w="2205" w:type="dxa"/>
            <w:gridSpan w:val="2"/>
            <w:vMerge w:val="continue"/>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pPr>
              <w:snapToGrid w:val="0"/>
              <w:jc w:val="center"/>
              <w:rPr>
                <w:sz w:val="20"/>
                <w:szCs w:val="20"/>
              </w:rPr>
            </w:pPr>
          </w:p>
        </w:tc>
        <w:tc>
          <w:tcPr>
            <w:tcW w:w="339" w:type="dxa"/>
            <w:vAlign w:val="center"/>
          </w:tcPr>
          <w:p>
            <w:pPr>
              <w:snapToGrid w:val="0"/>
              <w:jc w:val="center"/>
              <w:rPr>
                <w:sz w:val="20"/>
                <w:szCs w:val="20"/>
              </w:rPr>
            </w:pPr>
            <w:r>
              <w:rPr>
                <w:rFonts w:hint="eastAsia"/>
                <w:sz w:val="20"/>
                <w:szCs w:val="20"/>
              </w:rPr>
              <w:t>3</w:t>
            </w:r>
          </w:p>
        </w:tc>
        <w:tc>
          <w:tcPr>
            <w:tcW w:w="1057" w:type="dxa"/>
            <w:vAlign w:val="center"/>
          </w:tcPr>
          <w:p>
            <w:pPr>
              <w:snapToGrid w:val="0"/>
              <w:jc w:val="center"/>
              <w:rPr>
                <w:sz w:val="20"/>
                <w:szCs w:val="20"/>
              </w:rPr>
            </w:pPr>
          </w:p>
        </w:tc>
        <w:tc>
          <w:tcPr>
            <w:tcW w:w="4299" w:type="dxa"/>
            <w:gridSpan w:val="4"/>
            <w:vAlign w:val="center"/>
          </w:tcPr>
          <w:p>
            <w:pPr>
              <w:snapToGrid w:val="0"/>
              <w:jc w:val="center"/>
              <w:rPr>
                <w:sz w:val="20"/>
                <w:szCs w:val="20"/>
              </w:rPr>
            </w:pPr>
          </w:p>
        </w:tc>
        <w:tc>
          <w:tcPr>
            <w:tcW w:w="2205" w:type="dxa"/>
            <w:gridSpan w:val="2"/>
            <w:vMerge w:val="restart"/>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pPr>
              <w:snapToGrid w:val="0"/>
              <w:jc w:val="center"/>
              <w:rPr>
                <w:sz w:val="20"/>
                <w:szCs w:val="20"/>
              </w:rPr>
            </w:pPr>
          </w:p>
        </w:tc>
        <w:tc>
          <w:tcPr>
            <w:tcW w:w="339" w:type="dxa"/>
            <w:vAlign w:val="center"/>
          </w:tcPr>
          <w:p>
            <w:pPr>
              <w:snapToGrid w:val="0"/>
              <w:jc w:val="center"/>
              <w:rPr>
                <w:sz w:val="20"/>
                <w:szCs w:val="20"/>
              </w:rPr>
            </w:pPr>
            <w:r>
              <w:rPr>
                <w:rFonts w:hint="eastAsia"/>
                <w:sz w:val="20"/>
                <w:szCs w:val="20"/>
              </w:rPr>
              <w:t>4</w:t>
            </w:r>
          </w:p>
        </w:tc>
        <w:tc>
          <w:tcPr>
            <w:tcW w:w="1057" w:type="dxa"/>
            <w:vAlign w:val="center"/>
          </w:tcPr>
          <w:p>
            <w:pPr>
              <w:snapToGrid w:val="0"/>
              <w:jc w:val="center"/>
              <w:rPr>
                <w:sz w:val="20"/>
                <w:szCs w:val="20"/>
              </w:rPr>
            </w:pPr>
          </w:p>
        </w:tc>
        <w:tc>
          <w:tcPr>
            <w:tcW w:w="4299" w:type="dxa"/>
            <w:gridSpan w:val="4"/>
            <w:vAlign w:val="center"/>
          </w:tcPr>
          <w:p>
            <w:pPr>
              <w:snapToGrid w:val="0"/>
              <w:jc w:val="center"/>
              <w:rPr>
                <w:sz w:val="20"/>
                <w:szCs w:val="20"/>
              </w:rPr>
            </w:pPr>
          </w:p>
        </w:tc>
        <w:tc>
          <w:tcPr>
            <w:tcW w:w="2205" w:type="dxa"/>
            <w:gridSpan w:val="2"/>
            <w:vMerge w:val="continue"/>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22" w:type="dxa"/>
            <w:gridSpan w:val="3"/>
            <w:vAlign w:val="center"/>
          </w:tcPr>
          <w:p>
            <w:pPr>
              <w:snapToGrid w:val="0"/>
              <w:jc w:val="center"/>
              <w:rPr>
                <w:sz w:val="20"/>
                <w:szCs w:val="20"/>
              </w:rPr>
            </w:pPr>
            <w:r>
              <w:rPr>
                <w:rFonts w:hint="eastAsia"/>
                <w:sz w:val="20"/>
                <w:szCs w:val="20"/>
              </w:rPr>
              <w:t>施工单位</w:t>
            </w:r>
          </w:p>
          <w:p>
            <w:pPr>
              <w:snapToGrid w:val="0"/>
              <w:jc w:val="center"/>
              <w:rPr>
                <w:sz w:val="20"/>
                <w:szCs w:val="20"/>
              </w:rPr>
            </w:pPr>
            <w:r>
              <w:rPr>
                <w:sz w:val="20"/>
                <w:szCs w:val="20"/>
              </w:rPr>
              <w:t>检查评定结果</w:t>
            </w:r>
          </w:p>
        </w:tc>
        <w:tc>
          <w:tcPr>
            <w:tcW w:w="6504" w:type="dxa"/>
            <w:gridSpan w:val="6"/>
            <w:vAlign w:val="bottom"/>
          </w:tcPr>
          <w:p>
            <w:pPr>
              <w:snapToGrid w:val="0"/>
              <w:jc w:val="center"/>
              <w:rPr>
                <w:sz w:val="20"/>
                <w:szCs w:val="20"/>
              </w:rPr>
            </w:pPr>
            <w:r>
              <w:rPr>
                <w:rFonts w:hint="eastAsia"/>
                <w:sz w:val="20"/>
                <w:szCs w:val="20"/>
              </w:rPr>
              <w:t xml:space="preserve">项目专业质量检测员： </w:t>
            </w:r>
            <w:r>
              <w:rPr>
                <w:sz w:val="20"/>
                <w:szCs w:val="20"/>
              </w:rPr>
              <w:t xml:space="preserve">             年</w:t>
            </w:r>
            <w:r>
              <w:rPr>
                <w:rFonts w:hint="eastAsia"/>
                <w:sz w:val="20"/>
                <w:szCs w:val="20"/>
              </w:rPr>
              <w:t xml:space="preserve"> </w:t>
            </w:r>
            <w:r>
              <w:rPr>
                <w:sz w:val="20"/>
                <w:szCs w:val="20"/>
              </w:rPr>
              <w:t xml:space="preserve">  月</w:t>
            </w:r>
            <w:r>
              <w:rPr>
                <w:rFonts w:hint="eastAsia"/>
                <w:sz w:val="20"/>
                <w:szCs w:val="20"/>
              </w:rPr>
              <w:t xml:space="preserve"> </w:t>
            </w:r>
            <w:r>
              <w:rPr>
                <w:sz w:val="20"/>
                <w:szCs w:val="20"/>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822" w:type="dxa"/>
            <w:gridSpan w:val="3"/>
            <w:vAlign w:val="center"/>
          </w:tcPr>
          <w:p>
            <w:pPr>
              <w:snapToGrid w:val="0"/>
              <w:jc w:val="center"/>
              <w:rPr>
                <w:sz w:val="20"/>
                <w:szCs w:val="20"/>
              </w:rPr>
            </w:pPr>
            <w:r>
              <w:rPr>
                <w:rFonts w:hint="eastAsia"/>
                <w:sz w:val="20"/>
                <w:szCs w:val="20"/>
              </w:rPr>
              <w:t>监理（建设）</w:t>
            </w:r>
          </w:p>
          <w:p>
            <w:pPr>
              <w:snapToGrid w:val="0"/>
              <w:jc w:val="center"/>
              <w:rPr>
                <w:sz w:val="20"/>
                <w:szCs w:val="20"/>
              </w:rPr>
            </w:pPr>
            <w:r>
              <w:rPr>
                <w:sz w:val="20"/>
                <w:szCs w:val="20"/>
              </w:rPr>
              <w:t>单位验收记录</w:t>
            </w:r>
          </w:p>
        </w:tc>
        <w:tc>
          <w:tcPr>
            <w:tcW w:w="6504" w:type="dxa"/>
            <w:gridSpan w:val="6"/>
            <w:vAlign w:val="bottom"/>
          </w:tcPr>
          <w:p>
            <w:pPr>
              <w:snapToGrid w:val="0"/>
              <w:jc w:val="center"/>
              <w:rPr>
                <w:sz w:val="20"/>
                <w:szCs w:val="20"/>
              </w:rPr>
            </w:pPr>
          </w:p>
          <w:p>
            <w:pPr>
              <w:snapToGrid w:val="0"/>
              <w:jc w:val="center"/>
              <w:rPr>
                <w:sz w:val="20"/>
                <w:szCs w:val="20"/>
              </w:rPr>
            </w:pPr>
            <w:r>
              <w:rPr>
                <w:sz w:val="20"/>
                <w:szCs w:val="20"/>
              </w:rPr>
              <w:t>监理工程师</w:t>
            </w:r>
          </w:p>
          <w:p>
            <w:pPr>
              <w:snapToGrid w:val="0"/>
              <w:jc w:val="center"/>
              <w:rPr>
                <w:sz w:val="20"/>
                <w:szCs w:val="20"/>
              </w:rPr>
            </w:pPr>
            <w:r>
              <w:rPr>
                <w:sz w:val="20"/>
                <w:szCs w:val="20"/>
              </w:rPr>
              <w:t>（建设单位项目专业技术负责人）</w:t>
            </w:r>
          </w:p>
          <w:p>
            <w:pPr>
              <w:snapToGrid w:val="0"/>
              <w:jc w:val="center"/>
              <w:rPr>
                <w:sz w:val="20"/>
                <w:szCs w:val="20"/>
              </w:rPr>
            </w:pPr>
            <w:r>
              <w:rPr>
                <w:rFonts w:hint="eastAsia"/>
                <w:sz w:val="20"/>
                <w:szCs w:val="20"/>
              </w:rPr>
              <w:t xml:space="preserve">年 </w:t>
            </w:r>
            <w:r>
              <w:rPr>
                <w:sz w:val="20"/>
                <w:szCs w:val="20"/>
              </w:rPr>
              <w:t xml:space="preserve">  月</w:t>
            </w:r>
            <w:r>
              <w:rPr>
                <w:rFonts w:hint="eastAsia"/>
                <w:sz w:val="20"/>
                <w:szCs w:val="20"/>
              </w:rPr>
              <w:t xml:space="preserve"> </w:t>
            </w:r>
            <w:r>
              <w:rPr>
                <w:sz w:val="20"/>
                <w:szCs w:val="20"/>
              </w:rPr>
              <w:t xml:space="preserve">  日</w:t>
            </w:r>
          </w:p>
        </w:tc>
      </w:tr>
    </w:tbl>
    <w:p>
      <w:pPr>
        <w:spacing w:before="156" w:beforeLines="50" w:after="156" w:afterLines="50"/>
        <w:jc w:val="center"/>
        <w:outlineLvl w:val="0"/>
        <w:rPr>
          <w:sz w:val="32"/>
          <w:szCs w:val="20"/>
        </w:rPr>
      </w:pPr>
      <w:r>
        <w:rPr>
          <w:sz w:val="18"/>
          <w:szCs w:val="18"/>
        </w:rPr>
        <w:br w:type="page"/>
      </w:r>
      <w:bookmarkStart w:id="167" w:name="_Toc660"/>
      <w:bookmarkStart w:id="168" w:name="_Toc18588"/>
      <w:r>
        <w:rPr>
          <w:rFonts w:hint="eastAsia"/>
          <w:sz w:val="32"/>
          <w:szCs w:val="20"/>
        </w:rPr>
        <w:t>附录B  分项工程质量验收记录</w:t>
      </w:r>
      <w:bookmarkEnd w:id="167"/>
      <w:bookmarkEnd w:id="168"/>
    </w:p>
    <w:p>
      <w:pPr>
        <w:spacing w:line="440" w:lineRule="exact"/>
        <w:ind w:firstLine="480" w:firstLineChars="200"/>
        <w:rPr>
          <w:sz w:val="24"/>
        </w:rPr>
      </w:pPr>
      <w:r>
        <w:rPr>
          <w:rFonts w:hint="eastAsia"/>
          <w:sz w:val="24"/>
        </w:rPr>
        <w:t>分项工程质量应由监理工程师或建设单位项目专业技术负责人组织项目技术负责人、质量人员进行验收，并宜符合表B的规定填写记录。</w:t>
      </w:r>
    </w:p>
    <w:p>
      <w:pPr>
        <w:spacing w:before="156" w:beforeLines="50"/>
        <w:jc w:val="center"/>
        <w:rPr>
          <w:rFonts w:eastAsia="黑体"/>
          <w:bCs/>
          <w:kern w:val="0"/>
          <w:szCs w:val="21"/>
        </w:rPr>
      </w:pPr>
      <w:r>
        <w:rPr>
          <w:rFonts w:hint="eastAsia" w:eastAsia="黑体"/>
          <w:bCs/>
          <w:kern w:val="0"/>
          <w:szCs w:val="21"/>
        </w:rPr>
        <w:t>表B  分项工程质量验收记录</w:t>
      </w:r>
    </w:p>
    <w:tbl>
      <w:tblPr>
        <w:tblStyle w:val="19"/>
        <w:tblW w:w="8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78"/>
        <w:gridCol w:w="1200"/>
        <w:gridCol w:w="792"/>
        <w:gridCol w:w="632"/>
        <w:gridCol w:w="284"/>
        <w:gridCol w:w="1275"/>
        <w:gridCol w:w="236"/>
        <w:gridCol w:w="1323"/>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pPr>
              <w:jc w:val="center"/>
              <w:rPr>
                <w:sz w:val="20"/>
                <w:szCs w:val="20"/>
              </w:rPr>
            </w:pPr>
            <w:r>
              <w:rPr>
                <w:rFonts w:hint="eastAsia"/>
                <w:sz w:val="20"/>
                <w:szCs w:val="20"/>
              </w:rPr>
              <w:t>工程名称</w:t>
            </w:r>
          </w:p>
        </w:tc>
        <w:tc>
          <w:tcPr>
            <w:tcW w:w="1200" w:type="dxa"/>
            <w:vAlign w:val="center"/>
          </w:tcPr>
          <w:p>
            <w:pPr>
              <w:jc w:val="center"/>
              <w:rPr>
                <w:sz w:val="20"/>
                <w:szCs w:val="20"/>
              </w:rPr>
            </w:pPr>
          </w:p>
        </w:tc>
        <w:tc>
          <w:tcPr>
            <w:tcW w:w="1708" w:type="dxa"/>
            <w:gridSpan w:val="3"/>
            <w:vAlign w:val="center"/>
          </w:tcPr>
          <w:p>
            <w:pPr>
              <w:jc w:val="center"/>
              <w:rPr>
                <w:sz w:val="20"/>
                <w:szCs w:val="20"/>
              </w:rPr>
            </w:pPr>
            <w:r>
              <w:rPr>
                <w:rFonts w:hint="eastAsia"/>
                <w:sz w:val="20"/>
                <w:szCs w:val="20"/>
              </w:rPr>
              <w:t>结构类型</w:t>
            </w:r>
          </w:p>
        </w:tc>
        <w:tc>
          <w:tcPr>
            <w:tcW w:w="1275" w:type="dxa"/>
            <w:vAlign w:val="center"/>
          </w:tcPr>
          <w:p>
            <w:pPr>
              <w:jc w:val="center"/>
              <w:rPr>
                <w:sz w:val="20"/>
                <w:szCs w:val="20"/>
              </w:rPr>
            </w:pPr>
          </w:p>
        </w:tc>
        <w:tc>
          <w:tcPr>
            <w:tcW w:w="1559" w:type="dxa"/>
            <w:gridSpan w:val="2"/>
            <w:vAlign w:val="center"/>
          </w:tcPr>
          <w:p>
            <w:pPr>
              <w:jc w:val="center"/>
              <w:rPr>
                <w:sz w:val="20"/>
                <w:szCs w:val="20"/>
              </w:rPr>
            </w:pPr>
            <w:r>
              <w:rPr>
                <w:rFonts w:hint="eastAsia"/>
                <w:sz w:val="20"/>
                <w:szCs w:val="20"/>
              </w:rPr>
              <w:t>检验批数</w:t>
            </w:r>
          </w:p>
        </w:tc>
        <w:tc>
          <w:tcPr>
            <w:tcW w:w="1241" w:type="dxa"/>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pPr>
              <w:jc w:val="center"/>
              <w:rPr>
                <w:sz w:val="20"/>
                <w:szCs w:val="20"/>
              </w:rPr>
            </w:pPr>
            <w:r>
              <w:rPr>
                <w:rFonts w:hint="eastAsia"/>
                <w:sz w:val="20"/>
                <w:szCs w:val="20"/>
              </w:rPr>
              <w:t>施工单位</w:t>
            </w:r>
          </w:p>
        </w:tc>
        <w:tc>
          <w:tcPr>
            <w:tcW w:w="1200" w:type="dxa"/>
            <w:vAlign w:val="center"/>
          </w:tcPr>
          <w:p>
            <w:pPr>
              <w:jc w:val="center"/>
              <w:rPr>
                <w:sz w:val="20"/>
                <w:szCs w:val="20"/>
              </w:rPr>
            </w:pPr>
          </w:p>
        </w:tc>
        <w:tc>
          <w:tcPr>
            <w:tcW w:w="1708" w:type="dxa"/>
            <w:gridSpan w:val="3"/>
            <w:vAlign w:val="center"/>
          </w:tcPr>
          <w:p>
            <w:pPr>
              <w:jc w:val="center"/>
              <w:rPr>
                <w:sz w:val="20"/>
                <w:szCs w:val="20"/>
              </w:rPr>
            </w:pPr>
            <w:r>
              <w:rPr>
                <w:rFonts w:hint="eastAsia"/>
                <w:sz w:val="20"/>
                <w:szCs w:val="20"/>
              </w:rPr>
              <w:t>项目经理</w:t>
            </w:r>
          </w:p>
        </w:tc>
        <w:tc>
          <w:tcPr>
            <w:tcW w:w="1275" w:type="dxa"/>
            <w:vAlign w:val="center"/>
          </w:tcPr>
          <w:p>
            <w:pPr>
              <w:jc w:val="center"/>
              <w:rPr>
                <w:sz w:val="20"/>
                <w:szCs w:val="20"/>
              </w:rPr>
            </w:pPr>
          </w:p>
        </w:tc>
        <w:tc>
          <w:tcPr>
            <w:tcW w:w="1559" w:type="dxa"/>
            <w:gridSpan w:val="2"/>
            <w:vAlign w:val="center"/>
          </w:tcPr>
          <w:p>
            <w:pPr>
              <w:jc w:val="center"/>
              <w:rPr>
                <w:sz w:val="20"/>
                <w:szCs w:val="20"/>
              </w:rPr>
            </w:pPr>
            <w:r>
              <w:rPr>
                <w:rFonts w:hint="eastAsia"/>
                <w:sz w:val="20"/>
                <w:szCs w:val="20"/>
              </w:rPr>
              <w:t>项目技术负责人</w:t>
            </w:r>
          </w:p>
        </w:tc>
        <w:tc>
          <w:tcPr>
            <w:tcW w:w="1241" w:type="dxa"/>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pPr>
              <w:snapToGrid w:val="0"/>
              <w:jc w:val="center"/>
              <w:rPr>
                <w:sz w:val="20"/>
                <w:szCs w:val="20"/>
              </w:rPr>
            </w:pPr>
            <w:r>
              <w:rPr>
                <w:rFonts w:hint="eastAsia"/>
                <w:sz w:val="20"/>
                <w:szCs w:val="20"/>
              </w:rPr>
              <w:t>分包单位</w:t>
            </w:r>
          </w:p>
        </w:tc>
        <w:tc>
          <w:tcPr>
            <w:tcW w:w="1200" w:type="dxa"/>
            <w:vAlign w:val="center"/>
          </w:tcPr>
          <w:p>
            <w:pPr>
              <w:snapToGrid w:val="0"/>
              <w:jc w:val="center"/>
              <w:rPr>
                <w:sz w:val="20"/>
                <w:szCs w:val="20"/>
              </w:rPr>
            </w:pPr>
          </w:p>
        </w:tc>
        <w:tc>
          <w:tcPr>
            <w:tcW w:w="1708" w:type="dxa"/>
            <w:gridSpan w:val="3"/>
            <w:vAlign w:val="center"/>
          </w:tcPr>
          <w:p>
            <w:pPr>
              <w:snapToGrid w:val="0"/>
              <w:jc w:val="center"/>
              <w:rPr>
                <w:sz w:val="20"/>
                <w:szCs w:val="20"/>
              </w:rPr>
            </w:pPr>
            <w:r>
              <w:rPr>
                <w:rFonts w:hint="eastAsia"/>
                <w:sz w:val="20"/>
                <w:szCs w:val="20"/>
              </w:rPr>
              <w:t>分包单位负责人</w:t>
            </w:r>
          </w:p>
        </w:tc>
        <w:tc>
          <w:tcPr>
            <w:tcW w:w="1275" w:type="dxa"/>
            <w:vAlign w:val="center"/>
          </w:tcPr>
          <w:p>
            <w:pPr>
              <w:snapToGrid w:val="0"/>
              <w:jc w:val="center"/>
              <w:rPr>
                <w:sz w:val="20"/>
                <w:szCs w:val="20"/>
              </w:rPr>
            </w:pPr>
          </w:p>
        </w:tc>
        <w:tc>
          <w:tcPr>
            <w:tcW w:w="1559" w:type="dxa"/>
            <w:gridSpan w:val="2"/>
            <w:vAlign w:val="center"/>
          </w:tcPr>
          <w:p>
            <w:pPr>
              <w:snapToGrid w:val="0"/>
              <w:jc w:val="center"/>
              <w:rPr>
                <w:sz w:val="20"/>
                <w:szCs w:val="20"/>
              </w:rPr>
            </w:pPr>
            <w:r>
              <w:rPr>
                <w:rFonts w:hint="eastAsia"/>
                <w:sz w:val="20"/>
                <w:szCs w:val="20"/>
              </w:rPr>
              <w:t>分包项目经理</w:t>
            </w:r>
          </w:p>
        </w:tc>
        <w:tc>
          <w:tcPr>
            <w:tcW w:w="1241" w:type="dxa"/>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snapToGrid w:val="0"/>
              <w:spacing w:before="93" w:beforeLines="30"/>
              <w:jc w:val="center"/>
              <w:rPr>
                <w:sz w:val="20"/>
                <w:szCs w:val="20"/>
              </w:rPr>
            </w:pPr>
            <w:r>
              <w:rPr>
                <w:rFonts w:hint="eastAsia"/>
                <w:sz w:val="20"/>
                <w:szCs w:val="20"/>
              </w:rPr>
              <w:t>序号</w:t>
            </w:r>
          </w:p>
        </w:tc>
        <w:tc>
          <w:tcPr>
            <w:tcW w:w="2770" w:type="dxa"/>
            <w:gridSpan w:val="3"/>
            <w:vAlign w:val="center"/>
          </w:tcPr>
          <w:p>
            <w:pPr>
              <w:snapToGrid w:val="0"/>
              <w:spacing w:before="93" w:beforeLines="30"/>
              <w:jc w:val="center"/>
              <w:rPr>
                <w:sz w:val="20"/>
                <w:szCs w:val="20"/>
              </w:rPr>
            </w:pPr>
            <w:r>
              <w:rPr>
                <w:rFonts w:hint="eastAsia"/>
                <w:sz w:val="20"/>
                <w:szCs w:val="20"/>
              </w:rPr>
              <w:t>检验批部位、区段</w:t>
            </w:r>
          </w:p>
        </w:tc>
        <w:tc>
          <w:tcPr>
            <w:tcW w:w="2427" w:type="dxa"/>
            <w:gridSpan w:val="4"/>
            <w:vAlign w:val="center"/>
          </w:tcPr>
          <w:p>
            <w:pPr>
              <w:snapToGrid w:val="0"/>
              <w:jc w:val="center"/>
              <w:rPr>
                <w:sz w:val="20"/>
                <w:szCs w:val="20"/>
              </w:rPr>
            </w:pPr>
            <w:r>
              <w:rPr>
                <w:rFonts w:hint="eastAsia"/>
                <w:sz w:val="20"/>
                <w:szCs w:val="20"/>
              </w:rPr>
              <w:t>施工单位检查</w:t>
            </w:r>
          </w:p>
          <w:p>
            <w:pPr>
              <w:snapToGrid w:val="0"/>
              <w:jc w:val="center"/>
              <w:rPr>
                <w:sz w:val="20"/>
                <w:szCs w:val="20"/>
              </w:rPr>
            </w:pPr>
            <w:r>
              <w:rPr>
                <w:sz w:val="20"/>
                <w:szCs w:val="20"/>
              </w:rPr>
              <w:t>评定结果</w:t>
            </w:r>
          </w:p>
        </w:tc>
        <w:tc>
          <w:tcPr>
            <w:tcW w:w="2564" w:type="dxa"/>
            <w:gridSpan w:val="2"/>
            <w:vAlign w:val="center"/>
          </w:tcPr>
          <w:p>
            <w:pPr>
              <w:snapToGrid w:val="0"/>
              <w:jc w:val="center"/>
              <w:rPr>
                <w:sz w:val="20"/>
                <w:szCs w:val="20"/>
              </w:rPr>
            </w:pPr>
            <w:r>
              <w:rPr>
                <w:rFonts w:hint="eastAsia"/>
                <w:sz w:val="20"/>
                <w:szCs w:val="20"/>
              </w:rPr>
              <w:t>监理（建设）</w:t>
            </w:r>
          </w:p>
          <w:p>
            <w:pPr>
              <w:snapToGrid w:val="0"/>
              <w:jc w:val="center"/>
              <w:rPr>
                <w:sz w:val="20"/>
                <w:szCs w:val="20"/>
              </w:rPr>
            </w:pPr>
            <w:r>
              <w:rPr>
                <w:sz w:val="20"/>
                <w:szCs w:val="20"/>
              </w:rPr>
              <w:t>单位验收结论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snapToGrid w:val="0"/>
              <w:spacing w:before="93" w:beforeLines="30"/>
              <w:jc w:val="center"/>
              <w:rPr>
                <w:sz w:val="20"/>
                <w:szCs w:val="20"/>
              </w:rPr>
            </w:pPr>
            <w:r>
              <w:rPr>
                <w:rFonts w:hint="eastAsia"/>
                <w:sz w:val="20"/>
                <w:szCs w:val="20"/>
              </w:rPr>
              <w:t>1</w:t>
            </w:r>
          </w:p>
        </w:tc>
        <w:tc>
          <w:tcPr>
            <w:tcW w:w="2770" w:type="dxa"/>
            <w:gridSpan w:val="3"/>
            <w:vAlign w:val="center"/>
          </w:tcPr>
          <w:p>
            <w:pPr>
              <w:snapToGrid w:val="0"/>
              <w:spacing w:before="93" w:beforeLines="30"/>
              <w:jc w:val="center"/>
              <w:rPr>
                <w:sz w:val="20"/>
                <w:szCs w:val="20"/>
              </w:rPr>
            </w:pPr>
          </w:p>
        </w:tc>
        <w:tc>
          <w:tcPr>
            <w:tcW w:w="2427" w:type="dxa"/>
            <w:gridSpan w:val="4"/>
            <w:vAlign w:val="center"/>
          </w:tcPr>
          <w:p>
            <w:pPr>
              <w:snapToGrid w:val="0"/>
              <w:jc w:val="center"/>
              <w:rPr>
                <w:sz w:val="20"/>
                <w:szCs w:val="20"/>
              </w:rPr>
            </w:pPr>
          </w:p>
        </w:tc>
        <w:tc>
          <w:tcPr>
            <w:tcW w:w="2564" w:type="dxa"/>
            <w:gridSpan w:val="2"/>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snapToGrid w:val="0"/>
              <w:spacing w:before="93" w:beforeLines="30"/>
              <w:jc w:val="center"/>
              <w:rPr>
                <w:sz w:val="20"/>
                <w:szCs w:val="20"/>
              </w:rPr>
            </w:pPr>
            <w:r>
              <w:rPr>
                <w:rFonts w:hint="eastAsia"/>
                <w:sz w:val="20"/>
                <w:szCs w:val="20"/>
              </w:rPr>
              <w:t>2</w:t>
            </w:r>
          </w:p>
        </w:tc>
        <w:tc>
          <w:tcPr>
            <w:tcW w:w="2770" w:type="dxa"/>
            <w:gridSpan w:val="3"/>
            <w:vAlign w:val="center"/>
          </w:tcPr>
          <w:p>
            <w:pPr>
              <w:snapToGrid w:val="0"/>
              <w:spacing w:before="93" w:beforeLines="30"/>
              <w:jc w:val="center"/>
              <w:rPr>
                <w:sz w:val="20"/>
                <w:szCs w:val="20"/>
              </w:rPr>
            </w:pPr>
          </w:p>
        </w:tc>
        <w:tc>
          <w:tcPr>
            <w:tcW w:w="2427" w:type="dxa"/>
            <w:gridSpan w:val="4"/>
            <w:vAlign w:val="center"/>
          </w:tcPr>
          <w:p>
            <w:pPr>
              <w:snapToGrid w:val="0"/>
              <w:jc w:val="center"/>
              <w:rPr>
                <w:sz w:val="20"/>
                <w:szCs w:val="20"/>
              </w:rPr>
            </w:pPr>
          </w:p>
        </w:tc>
        <w:tc>
          <w:tcPr>
            <w:tcW w:w="2564" w:type="dxa"/>
            <w:gridSpan w:val="2"/>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snapToGrid w:val="0"/>
              <w:spacing w:before="93" w:beforeLines="30"/>
              <w:jc w:val="center"/>
              <w:rPr>
                <w:sz w:val="20"/>
                <w:szCs w:val="20"/>
              </w:rPr>
            </w:pPr>
            <w:r>
              <w:rPr>
                <w:rFonts w:hint="eastAsia"/>
                <w:sz w:val="20"/>
                <w:szCs w:val="20"/>
              </w:rPr>
              <w:t>3</w:t>
            </w:r>
          </w:p>
        </w:tc>
        <w:tc>
          <w:tcPr>
            <w:tcW w:w="2770" w:type="dxa"/>
            <w:gridSpan w:val="3"/>
            <w:vAlign w:val="center"/>
          </w:tcPr>
          <w:p>
            <w:pPr>
              <w:snapToGrid w:val="0"/>
              <w:spacing w:before="93" w:beforeLines="30"/>
              <w:jc w:val="center"/>
              <w:rPr>
                <w:sz w:val="20"/>
                <w:szCs w:val="20"/>
              </w:rPr>
            </w:pPr>
          </w:p>
        </w:tc>
        <w:tc>
          <w:tcPr>
            <w:tcW w:w="2427" w:type="dxa"/>
            <w:gridSpan w:val="4"/>
            <w:vAlign w:val="center"/>
          </w:tcPr>
          <w:p>
            <w:pPr>
              <w:snapToGrid w:val="0"/>
              <w:jc w:val="center"/>
              <w:rPr>
                <w:sz w:val="20"/>
                <w:szCs w:val="20"/>
              </w:rPr>
            </w:pPr>
          </w:p>
        </w:tc>
        <w:tc>
          <w:tcPr>
            <w:tcW w:w="2564" w:type="dxa"/>
            <w:gridSpan w:val="2"/>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snapToGrid w:val="0"/>
              <w:spacing w:before="93" w:beforeLines="30"/>
              <w:jc w:val="center"/>
              <w:rPr>
                <w:sz w:val="20"/>
                <w:szCs w:val="20"/>
              </w:rPr>
            </w:pPr>
            <w:r>
              <w:rPr>
                <w:rFonts w:hint="eastAsia"/>
                <w:sz w:val="20"/>
                <w:szCs w:val="20"/>
              </w:rPr>
              <w:t>4</w:t>
            </w:r>
          </w:p>
        </w:tc>
        <w:tc>
          <w:tcPr>
            <w:tcW w:w="2770" w:type="dxa"/>
            <w:gridSpan w:val="3"/>
            <w:vAlign w:val="center"/>
          </w:tcPr>
          <w:p>
            <w:pPr>
              <w:snapToGrid w:val="0"/>
              <w:spacing w:before="93" w:beforeLines="30"/>
              <w:jc w:val="center"/>
              <w:rPr>
                <w:sz w:val="20"/>
                <w:szCs w:val="20"/>
              </w:rPr>
            </w:pPr>
          </w:p>
        </w:tc>
        <w:tc>
          <w:tcPr>
            <w:tcW w:w="2427" w:type="dxa"/>
            <w:gridSpan w:val="4"/>
            <w:vAlign w:val="center"/>
          </w:tcPr>
          <w:p>
            <w:pPr>
              <w:snapToGrid w:val="0"/>
              <w:jc w:val="center"/>
              <w:rPr>
                <w:sz w:val="20"/>
                <w:szCs w:val="20"/>
              </w:rPr>
            </w:pPr>
          </w:p>
        </w:tc>
        <w:tc>
          <w:tcPr>
            <w:tcW w:w="2564" w:type="dxa"/>
            <w:gridSpan w:val="2"/>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snapToGrid w:val="0"/>
              <w:spacing w:before="93" w:beforeLines="30"/>
              <w:jc w:val="center"/>
              <w:rPr>
                <w:sz w:val="20"/>
                <w:szCs w:val="20"/>
              </w:rPr>
            </w:pPr>
            <w:r>
              <w:rPr>
                <w:rFonts w:hint="eastAsia"/>
                <w:sz w:val="20"/>
                <w:szCs w:val="20"/>
              </w:rPr>
              <w:t>5</w:t>
            </w:r>
          </w:p>
        </w:tc>
        <w:tc>
          <w:tcPr>
            <w:tcW w:w="2770" w:type="dxa"/>
            <w:gridSpan w:val="3"/>
            <w:vAlign w:val="center"/>
          </w:tcPr>
          <w:p>
            <w:pPr>
              <w:snapToGrid w:val="0"/>
              <w:spacing w:before="93" w:beforeLines="30"/>
              <w:jc w:val="center"/>
              <w:rPr>
                <w:sz w:val="20"/>
                <w:szCs w:val="20"/>
              </w:rPr>
            </w:pPr>
          </w:p>
        </w:tc>
        <w:tc>
          <w:tcPr>
            <w:tcW w:w="2427" w:type="dxa"/>
            <w:gridSpan w:val="4"/>
            <w:vAlign w:val="center"/>
          </w:tcPr>
          <w:p>
            <w:pPr>
              <w:snapToGrid w:val="0"/>
              <w:jc w:val="center"/>
              <w:rPr>
                <w:sz w:val="20"/>
                <w:szCs w:val="20"/>
              </w:rPr>
            </w:pPr>
          </w:p>
        </w:tc>
        <w:tc>
          <w:tcPr>
            <w:tcW w:w="2564" w:type="dxa"/>
            <w:gridSpan w:val="2"/>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snapToGrid w:val="0"/>
              <w:spacing w:before="93" w:beforeLines="30"/>
              <w:jc w:val="center"/>
              <w:rPr>
                <w:sz w:val="20"/>
                <w:szCs w:val="20"/>
              </w:rPr>
            </w:pPr>
            <w:r>
              <w:rPr>
                <w:rFonts w:hint="eastAsia"/>
                <w:sz w:val="20"/>
                <w:szCs w:val="20"/>
              </w:rPr>
              <w:t>6</w:t>
            </w:r>
          </w:p>
        </w:tc>
        <w:tc>
          <w:tcPr>
            <w:tcW w:w="2770" w:type="dxa"/>
            <w:gridSpan w:val="3"/>
            <w:vAlign w:val="center"/>
          </w:tcPr>
          <w:p>
            <w:pPr>
              <w:snapToGrid w:val="0"/>
              <w:spacing w:before="93" w:beforeLines="30"/>
              <w:jc w:val="center"/>
              <w:rPr>
                <w:sz w:val="20"/>
                <w:szCs w:val="20"/>
              </w:rPr>
            </w:pPr>
          </w:p>
        </w:tc>
        <w:tc>
          <w:tcPr>
            <w:tcW w:w="2427" w:type="dxa"/>
            <w:gridSpan w:val="4"/>
            <w:vAlign w:val="center"/>
          </w:tcPr>
          <w:p>
            <w:pPr>
              <w:snapToGrid w:val="0"/>
              <w:jc w:val="center"/>
              <w:rPr>
                <w:sz w:val="20"/>
                <w:szCs w:val="20"/>
              </w:rPr>
            </w:pPr>
          </w:p>
        </w:tc>
        <w:tc>
          <w:tcPr>
            <w:tcW w:w="2564" w:type="dxa"/>
            <w:gridSpan w:val="2"/>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snapToGrid w:val="0"/>
              <w:spacing w:before="93" w:beforeLines="30"/>
              <w:jc w:val="center"/>
              <w:rPr>
                <w:sz w:val="20"/>
                <w:szCs w:val="20"/>
              </w:rPr>
            </w:pPr>
            <w:r>
              <w:rPr>
                <w:rFonts w:hint="eastAsia"/>
                <w:sz w:val="20"/>
                <w:szCs w:val="20"/>
              </w:rPr>
              <w:t>7</w:t>
            </w:r>
          </w:p>
        </w:tc>
        <w:tc>
          <w:tcPr>
            <w:tcW w:w="2770" w:type="dxa"/>
            <w:gridSpan w:val="3"/>
            <w:vAlign w:val="center"/>
          </w:tcPr>
          <w:p>
            <w:pPr>
              <w:snapToGrid w:val="0"/>
              <w:spacing w:before="93" w:beforeLines="30"/>
              <w:jc w:val="center"/>
              <w:rPr>
                <w:sz w:val="20"/>
                <w:szCs w:val="20"/>
              </w:rPr>
            </w:pPr>
          </w:p>
        </w:tc>
        <w:tc>
          <w:tcPr>
            <w:tcW w:w="2427" w:type="dxa"/>
            <w:gridSpan w:val="4"/>
            <w:vAlign w:val="center"/>
          </w:tcPr>
          <w:p>
            <w:pPr>
              <w:snapToGrid w:val="0"/>
              <w:jc w:val="center"/>
              <w:rPr>
                <w:sz w:val="20"/>
                <w:szCs w:val="20"/>
              </w:rPr>
            </w:pPr>
          </w:p>
        </w:tc>
        <w:tc>
          <w:tcPr>
            <w:tcW w:w="2564" w:type="dxa"/>
            <w:gridSpan w:val="2"/>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snapToGrid w:val="0"/>
              <w:spacing w:before="93" w:beforeLines="30"/>
              <w:jc w:val="center"/>
              <w:rPr>
                <w:sz w:val="20"/>
                <w:szCs w:val="20"/>
              </w:rPr>
            </w:pPr>
            <w:r>
              <w:rPr>
                <w:rFonts w:hint="eastAsia"/>
                <w:sz w:val="20"/>
                <w:szCs w:val="20"/>
              </w:rPr>
              <w:t>8</w:t>
            </w:r>
          </w:p>
        </w:tc>
        <w:tc>
          <w:tcPr>
            <w:tcW w:w="2770" w:type="dxa"/>
            <w:gridSpan w:val="3"/>
            <w:vAlign w:val="center"/>
          </w:tcPr>
          <w:p>
            <w:pPr>
              <w:snapToGrid w:val="0"/>
              <w:spacing w:before="93" w:beforeLines="30"/>
              <w:jc w:val="center"/>
              <w:rPr>
                <w:sz w:val="20"/>
                <w:szCs w:val="20"/>
              </w:rPr>
            </w:pPr>
          </w:p>
        </w:tc>
        <w:tc>
          <w:tcPr>
            <w:tcW w:w="2427" w:type="dxa"/>
            <w:gridSpan w:val="4"/>
            <w:vAlign w:val="center"/>
          </w:tcPr>
          <w:p>
            <w:pPr>
              <w:snapToGrid w:val="0"/>
              <w:jc w:val="center"/>
              <w:rPr>
                <w:sz w:val="20"/>
                <w:szCs w:val="20"/>
              </w:rPr>
            </w:pPr>
          </w:p>
        </w:tc>
        <w:tc>
          <w:tcPr>
            <w:tcW w:w="2564" w:type="dxa"/>
            <w:gridSpan w:val="2"/>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snapToGrid w:val="0"/>
              <w:spacing w:before="93" w:beforeLines="30"/>
              <w:jc w:val="center"/>
              <w:rPr>
                <w:sz w:val="20"/>
                <w:szCs w:val="20"/>
              </w:rPr>
            </w:pPr>
            <w:r>
              <w:rPr>
                <w:rFonts w:hint="eastAsia"/>
                <w:sz w:val="20"/>
                <w:szCs w:val="20"/>
              </w:rPr>
              <w:t>9</w:t>
            </w:r>
          </w:p>
        </w:tc>
        <w:tc>
          <w:tcPr>
            <w:tcW w:w="2770" w:type="dxa"/>
            <w:gridSpan w:val="3"/>
            <w:vAlign w:val="center"/>
          </w:tcPr>
          <w:p>
            <w:pPr>
              <w:snapToGrid w:val="0"/>
              <w:spacing w:before="93" w:beforeLines="30"/>
              <w:jc w:val="center"/>
              <w:rPr>
                <w:sz w:val="20"/>
                <w:szCs w:val="20"/>
              </w:rPr>
            </w:pPr>
          </w:p>
        </w:tc>
        <w:tc>
          <w:tcPr>
            <w:tcW w:w="2427" w:type="dxa"/>
            <w:gridSpan w:val="4"/>
            <w:vAlign w:val="center"/>
          </w:tcPr>
          <w:p>
            <w:pPr>
              <w:snapToGrid w:val="0"/>
              <w:jc w:val="center"/>
              <w:rPr>
                <w:sz w:val="20"/>
                <w:szCs w:val="20"/>
              </w:rPr>
            </w:pPr>
          </w:p>
        </w:tc>
        <w:tc>
          <w:tcPr>
            <w:tcW w:w="2564" w:type="dxa"/>
            <w:gridSpan w:val="2"/>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snapToGrid w:val="0"/>
              <w:spacing w:before="93" w:beforeLines="30"/>
              <w:jc w:val="center"/>
              <w:rPr>
                <w:sz w:val="20"/>
                <w:szCs w:val="20"/>
              </w:rPr>
            </w:pPr>
            <w:r>
              <w:rPr>
                <w:rFonts w:hint="eastAsia"/>
                <w:sz w:val="20"/>
                <w:szCs w:val="20"/>
              </w:rPr>
              <w:t>10</w:t>
            </w:r>
          </w:p>
        </w:tc>
        <w:tc>
          <w:tcPr>
            <w:tcW w:w="2770" w:type="dxa"/>
            <w:gridSpan w:val="3"/>
            <w:vAlign w:val="center"/>
          </w:tcPr>
          <w:p>
            <w:pPr>
              <w:snapToGrid w:val="0"/>
              <w:spacing w:before="93" w:beforeLines="30"/>
              <w:jc w:val="center"/>
              <w:rPr>
                <w:sz w:val="20"/>
                <w:szCs w:val="20"/>
              </w:rPr>
            </w:pPr>
          </w:p>
        </w:tc>
        <w:tc>
          <w:tcPr>
            <w:tcW w:w="2427" w:type="dxa"/>
            <w:gridSpan w:val="4"/>
            <w:vAlign w:val="center"/>
          </w:tcPr>
          <w:p>
            <w:pPr>
              <w:snapToGrid w:val="0"/>
              <w:jc w:val="center"/>
              <w:rPr>
                <w:sz w:val="20"/>
                <w:szCs w:val="20"/>
              </w:rPr>
            </w:pPr>
          </w:p>
        </w:tc>
        <w:tc>
          <w:tcPr>
            <w:tcW w:w="2564" w:type="dxa"/>
            <w:gridSpan w:val="2"/>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snapToGrid w:val="0"/>
              <w:spacing w:before="93" w:beforeLines="30"/>
              <w:jc w:val="center"/>
              <w:rPr>
                <w:sz w:val="20"/>
                <w:szCs w:val="20"/>
              </w:rPr>
            </w:pPr>
            <w:r>
              <w:rPr>
                <w:rFonts w:hint="eastAsia"/>
                <w:sz w:val="20"/>
                <w:szCs w:val="20"/>
              </w:rPr>
              <w:t>11</w:t>
            </w:r>
          </w:p>
        </w:tc>
        <w:tc>
          <w:tcPr>
            <w:tcW w:w="2770" w:type="dxa"/>
            <w:gridSpan w:val="3"/>
            <w:vAlign w:val="center"/>
          </w:tcPr>
          <w:p>
            <w:pPr>
              <w:snapToGrid w:val="0"/>
              <w:spacing w:before="93" w:beforeLines="30"/>
              <w:jc w:val="center"/>
              <w:rPr>
                <w:sz w:val="20"/>
                <w:szCs w:val="20"/>
              </w:rPr>
            </w:pPr>
          </w:p>
        </w:tc>
        <w:tc>
          <w:tcPr>
            <w:tcW w:w="2427" w:type="dxa"/>
            <w:gridSpan w:val="4"/>
            <w:vAlign w:val="center"/>
          </w:tcPr>
          <w:p>
            <w:pPr>
              <w:snapToGrid w:val="0"/>
              <w:jc w:val="center"/>
              <w:rPr>
                <w:sz w:val="20"/>
                <w:szCs w:val="20"/>
              </w:rPr>
            </w:pPr>
          </w:p>
        </w:tc>
        <w:tc>
          <w:tcPr>
            <w:tcW w:w="2564" w:type="dxa"/>
            <w:gridSpan w:val="2"/>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snapToGrid w:val="0"/>
              <w:spacing w:before="93" w:beforeLines="30"/>
              <w:jc w:val="center"/>
              <w:rPr>
                <w:sz w:val="20"/>
                <w:szCs w:val="20"/>
              </w:rPr>
            </w:pPr>
            <w:r>
              <w:rPr>
                <w:rFonts w:hint="eastAsia"/>
                <w:sz w:val="20"/>
                <w:szCs w:val="20"/>
              </w:rPr>
              <w:t>12</w:t>
            </w:r>
          </w:p>
        </w:tc>
        <w:tc>
          <w:tcPr>
            <w:tcW w:w="2770" w:type="dxa"/>
            <w:gridSpan w:val="3"/>
            <w:vAlign w:val="center"/>
          </w:tcPr>
          <w:p>
            <w:pPr>
              <w:snapToGrid w:val="0"/>
              <w:spacing w:before="93" w:beforeLines="30"/>
              <w:jc w:val="center"/>
              <w:rPr>
                <w:sz w:val="20"/>
                <w:szCs w:val="20"/>
              </w:rPr>
            </w:pPr>
          </w:p>
        </w:tc>
        <w:tc>
          <w:tcPr>
            <w:tcW w:w="2427" w:type="dxa"/>
            <w:gridSpan w:val="4"/>
            <w:vAlign w:val="center"/>
          </w:tcPr>
          <w:p>
            <w:pPr>
              <w:snapToGrid w:val="0"/>
              <w:jc w:val="center"/>
              <w:rPr>
                <w:sz w:val="20"/>
                <w:szCs w:val="20"/>
              </w:rPr>
            </w:pPr>
          </w:p>
        </w:tc>
        <w:tc>
          <w:tcPr>
            <w:tcW w:w="2564" w:type="dxa"/>
            <w:gridSpan w:val="2"/>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snapToGrid w:val="0"/>
              <w:spacing w:before="93" w:beforeLines="30"/>
              <w:jc w:val="center"/>
              <w:rPr>
                <w:sz w:val="20"/>
                <w:szCs w:val="20"/>
              </w:rPr>
            </w:pPr>
            <w:r>
              <w:rPr>
                <w:rFonts w:hint="eastAsia"/>
                <w:sz w:val="20"/>
                <w:szCs w:val="20"/>
              </w:rPr>
              <w:t>13</w:t>
            </w:r>
          </w:p>
        </w:tc>
        <w:tc>
          <w:tcPr>
            <w:tcW w:w="2770" w:type="dxa"/>
            <w:gridSpan w:val="3"/>
            <w:vAlign w:val="center"/>
          </w:tcPr>
          <w:p>
            <w:pPr>
              <w:snapToGrid w:val="0"/>
              <w:spacing w:before="93" w:beforeLines="30"/>
              <w:jc w:val="center"/>
              <w:rPr>
                <w:sz w:val="20"/>
                <w:szCs w:val="20"/>
              </w:rPr>
            </w:pPr>
          </w:p>
        </w:tc>
        <w:tc>
          <w:tcPr>
            <w:tcW w:w="2427" w:type="dxa"/>
            <w:gridSpan w:val="4"/>
            <w:vAlign w:val="center"/>
          </w:tcPr>
          <w:p>
            <w:pPr>
              <w:snapToGrid w:val="0"/>
              <w:jc w:val="center"/>
              <w:rPr>
                <w:sz w:val="20"/>
                <w:szCs w:val="20"/>
              </w:rPr>
            </w:pPr>
          </w:p>
        </w:tc>
        <w:tc>
          <w:tcPr>
            <w:tcW w:w="2564" w:type="dxa"/>
            <w:gridSpan w:val="2"/>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snapToGrid w:val="0"/>
              <w:spacing w:before="93" w:beforeLines="30"/>
              <w:jc w:val="center"/>
              <w:rPr>
                <w:sz w:val="20"/>
                <w:szCs w:val="20"/>
              </w:rPr>
            </w:pPr>
            <w:r>
              <w:rPr>
                <w:rFonts w:hint="eastAsia"/>
                <w:sz w:val="20"/>
                <w:szCs w:val="20"/>
              </w:rPr>
              <w:t>14</w:t>
            </w:r>
          </w:p>
        </w:tc>
        <w:tc>
          <w:tcPr>
            <w:tcW w:w="2770" w:type="dxa"/>
            <w:gridSpan w:val="3"/>
            <w:vAlign w:val="center"/>
          </w:tcPr>
          <w:p>
            <w:pPr>
              <w:snapToGrid w:val="0"/>
              <w:spacing w:before="93" w:beforeLines="30"/>
              <w:jc w:val="center"/>
              <w:rPr>
                <w:sz w:val="20"/>
                <w:szCs w:val="20"/>
              </w:rPr>
            </w:pPr>
          </w:p>
        </w:tc>
        <w:tc>
          <w:tcPr>
            <w:tcW w:w="2427" w:type="dxa"/>
            <w:gridSpan w:val="4"/>
            <w:vAlign w:val="center"/>
          </w:tcPr>
          <w:p>
            <w:pPr>
              <w:snapToGrid w:val="0"/>
              <w:jc w:val="center"/>
              <w:rPr>
                <w:sz w:val="20"/>
                <w:szCs w:val="20"/>
              </w:rPr>
            </w:pPr>
          </w:p>
        </w:tc>
        <w:tc>
          <w:tcPr>
            <w:tcW w:w="2564" w:type="dxa"/>
            <w:gridSpan w:val="2"/>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snapToGrid w:val="0"/>
              <w:spacing w:before="93" w:beforeLines="30"/>
              <w:jc w:val="center"/>
              <w:rPr>
                <w:sz w:val="20"/>
                <w:szCs w:val="20"/>
              </w:rPr>
            </w:pPr>
            <w:r>
              <w:rPr>
                <w:rFonts w:hint="eastAsia"/>
                <w:sz w:val="20"/>
                <w:szCs w:val="20"/>
              </w:rPr>
              <w:t>15</w:t>
            </w:r>
          </w:p>
        </w:tc>
        <w:tc>
          <w:tcPr>
            <w:tcW w:w="2770" w:type="dxa"/>
            <w:gridSpan w:val="3"/>
            <w:vAlign w:val="center"/>
          </w:tcPr>
          <w:p>
            <w:pPr>
              <w:snapToGrid w:val="0"/>
              <w:spacing w:before="93" w:beforeLines="30"/>
              <w:jc w:val="center"/>
              <w:rPr>
                <w:sz w:val="20"/>
                <w:szCs w:val="20"/>
              </w:rPr>
            </w:pPr>
          </w:p>
        </w:tc>
        <w:tc>
          <w:tcPr>
            <w:tcW w:w="2427" w:type="dxa"/>
            <w:gridSpan w:val="4"/>
            <w:vAlign w:val="center"/>
          </w:tcPr>
          <w:p>
            <w:pPr>
              <w:snapToGrid w:val="0"/>
              <w:jc w:val="center"/>
              <w:rPr>
                <w:sz w:val="20"/>
                <w:szCs w:val="20"/>
              </w:rPr>
            </w:pPr>
          </w:p>
        </w:tc>
        <w:tc>
          <w:tcPr>
            <w:tcW w:w="2564" w:type="dxa"/>
            <w:gridSpan w:val="2"/>
            <w:vAlign w:val="center"/>
          </w:tcPr>
          <w:p>
            <w:pPr>
              <w:snapToGri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04" w:type="dxa"/>
            <w:vAlign w:val="center"/>
          </w:tcPr>
          <w:p>
            <w:pPr>
              <w:snapToGrid w:val="0"/>
              <w:spacing w:before="93" w:beforeLines="30"/>
              <w:jc w:val="center"/>
              <w:rPr>
                <w:sz w:val="20"/>
                <w:szCs w:val="20"/>
              </w:rPr>
            </w:pPr>
            <w:r>
              <w:rPr>
                <w:rFonts w:hint="eastAsia"/>
                <w:sz w:val="20"/>
                <w:szCs w:val="20"/>
              </w:rPr>
              <w:t>检</w:t>
            </w:r>
          </w:p>
          <w:p>
            <w:pPr>
              <w:snapToGrid w:val="0"/>
              <w:spacing w:before="93" w:beforeLines="30"/>
              <w:jc w:val="center"/>
              <w:rPr>
                <w:sz w:val="20"/>
                <w:szCs w:val="20"/>
              </w:rPr>
            </w:pPr>
            <w:r>
              <w:rPr>
                <w:rFonts w:hint="eastAsia"/>
                <w:sz w:val="20"/>
                <w:szCs w:val="20"/>
              </w:rPr>
              <w:t>查</w:t>
            </w:r>
          </w:p>
          <w:p>
            <w:pPr>
              <w:snapToGrid w:val="0"/>
              <w:spacing w:before="93" w:beforeLines="30"/>
              <w:jc w:val="center"/>
              <w:rPr>
                <w:sz w:val="20"/>
                <w:szCs w:val="20"/>
              </w:rPr>
            </w:pPr>
            <w:r>
              <w:rPr>
                <w:rFonts w:hint="eastAsia"/>
                <w:sz w:val="20"/>
                <w:szCs w:val="20"/>
              </w:rPr>
              <w:t>结</w:t>
            </w:r>
          </w:p>
          <w:p>
            <w:pPr>
              <w:snapToGrid w:val="0"/>
              <w:spacing w:before="93" w:beforeLines="30"/>
              <w:jc w:val="center"/>
              <w:rPr>
                <w:sz w:val="20"/>
                <w:szCs w:val="20"/>
              </w:rPr>
            </w:pPr>
            <w:r>
              <w:rPr>
                <w:rFonts w:hint="eastAsia"/>
                <w:sz w:val="20"/>
                <w:szCs w:val="20"/>
              </w:rPr>
              <w:t>论</w:t>
            </w:r>
          </w:p>
        </w:tc>
        <w:tc>
          <w:tcPr>
            <w:tcW w:w="2770" w:type="dxa"/>
            <w:gridSpan w:val="3"/>
            <w:vAlign w:val="bottom"/>
          </w:tcPr>
          <w:p>
            <w:pPr>
              <w:snapToGrid w:val="0"/>
              <w:spacing w:before="93" w:beforeLines="30"/>
              <w:jc w:val="center"/>
              <w:rPr>
                <w:sz w:val="20"/>
                <w:szCs w:val="20"/>
              </w:rPr>
            </w:pPr>
            <w:r>
              <w:rPr>
                <w:sz w:val="20"/>
                <w:szCs w:val="20"/>
              </w:rPr>
              <w:t>项目专业技术负责人：</w:t>
            </w:r>
          </w:p>
          <w:p>
            <w:pPr>
              <w:snapToGrid w:val="0"/>
              <w:spacing w:before="93" w:beforeLines="30"/>
              <w:jc w:val="center"/>
              <w:rPr>
                <w:sz w:val="20"/>
                <w:szCs w:val="20"/>
              </w:rPr>
            </w:pPr>
            <w:r>
              <w:rPr>
                <w:sz w:val="20"/>
                <w:szCs w:val="20"/>
              </w:rPr>
              <w:t>年</w:t>
            </w:r>
            <w:r>
              <w:rPr>
                <w:rFonts w:hint="eastAsia"/>
                <w:sz w:val="20"/>
                <w:szCs w:val="20"/>
              </w:rPr>
              <w:t xml:space="preserve"> </w:t>
            </w:r>
            <w:r>
              <w:rPr>
                <w:sz w:val="20"/>
                <w:szCs w:val="20"/>
              </w:rPr>
              <w:t xml:space="preserve"> 月</w:t>
            </w:r>
            <w:r>
              <w:rPr>
                <w:rFonts w:hint="eastAsia"/>
                <w:sz w:val="20"/>
                <w:szCs w:val="20"/>
              </w:rPr>
              <w:t xml:space="preserve"> </w:t>
            </w:r>
            <w:r>
              <w:rPr>
                <w:sz w:val="20"/>
                <w:szCs w:val="20"/>
              </w:rPr>
              <w:t xml:space="preserve"> 日</w:t>
            </w:r>
          </w:p>
        </w:tc>
        <w:tc>
          <w:tcPr>
            <w:tcW w:w="632" w:type="dxa"/>
            <w:vAlign w:val="center"/>
          </w:tcPr>
          <w:p>
            <w:pPr>
              <w:snapToGrid w:val="0"/>
              <w:spacing w:before="93" w:beforeLines="30"/>
              <w:jc w:val="center"/>
              <w:rPr>
                <w:sz w:val="20"/>
                <w:szCs w:val="20"/>
              </w:rPr>
            </w:pPr>
            <w:r>
              <w:rPr>
                <w:rFonts w:hint="eastAsia"/>
                <w:sz w:val="20"/>
                <w:szCs w:val="20"/>
              </w:rPr>
              <w:t>验</w:t>
            </w:r>
          </w:p>
          <w:p>
            <w:pPr>
              <w:snapToGrid w:val="0"/>
              <w:spacing w:before="93" w:beforeLines="30"/>
              <w:jc w:val="center"/>
              <w:rPr>
                <w:sz w:val="20"/>
                <w:szCs w:val="20"/>
              </w:rPr>
            </w:pPr>
            <w:r>
              <w:rPr>
                <w:rFonts w:hint="eastAsia"/>
                <w:sz w:val="20"/>
                <w:szCs w:val="20"/>
              </w:rPr>
              <w:t>收</w:t>
            </w:r>
          </w:p>
          <w:p>
            <w:pPr>
              <w:snapToGrid w:val="0"/>
              <w:spacing w:before="93" w:beforeLines="30"/>
              <w:jc w:val="center"/>
              <w:rPr>
                <w:sz w:val="20"/>
                <w:szCs w:val="20"/>
              </w:rPr>
            </w:pPr>
            <w:r>
              <w:rPr>
                <w:rFonts w:hint="eastAsia"/>
                <w:sz w:val="20"/>
                <w:szCs w:val="20"/>
              </w:rPr>
              <w:t>结</w:t>
            </w:r>
          </w:p>
          <w:p>
            <w:pPr>
              <w:snapToGrid w:val="0"/>
              <w:spacing w:before="93" w:beforeLines="30"/>
              <w:jc w:val="center"/>
              <w:rPr>
                <w:sz w:val="20"/>
                <w:szCs w:val="20"/>
              </w:rPr>
            </w:pPr>
            <w:r>
              <w:rPr>
                <w:rFonts w:hint="eastAsia"/>
                <w:sz w:val="20"/>
                <w:szCs w:val="20"/>
              </w:rPr>
              <w:t>论</w:t>
            </w:r>
          </w:p>
        </w:tc>
        <w:tc>
          <w:tcPr>
            <w:tcW w:w="4359" w:type="dxa"/>
            <w:gridSpan w:val="5"/>
            <w:vAlign w:val="bottom"/>
          </w:tcPr>
          <w:p>
            <w:pPr>
              <w:snapToGrid w:val="0"/>
              <w:spacing w:before="93" w:beforeLines="30"/>
              <w:jc w:val="center"/>
              <w:rPr>
                <w:sz w:val="20"/>
                <w:szCs w:val="20"/>
              </w:rPr>
            </w:pPr>
            <w:r>
              <w:rPr>
                <w:sz w:val="20"/>
                <w:szCs w:val="20"/>
              </w:rPr>
              <w:t>监理工程师</w:t>
            </w:r>
          </w:p>
          <w:p>
            <w:pPr>
              <w:snapToGrid w:val="0"/>
              <w:spacing w:before="93" w:beforeLines="30"/>
              <w:jc w:val="center"/>
              <w:rPr>
                <w:sz w:val="20"/>
                <w:szCs w:val="20"/>
              </w:rPr>
            </w:pPr>
            <w:r>
              <w:rPr>
                <w:sz w:val="20"/>
                <w:szCs w:val="20"/>
              </w:rPr>
              <w:t>（建设单位项目专业技术负责人）：</w:t>
            </w:r>
          </w:p>
          <w:p>
            <w:pPr>
              <w:snapToGrid w:val="0"/>
              <w:spacing w:before="93" w:beforeLines="30"/>
              <w:jc w:val="center"/>
              <w:rPr>
                <w:sz w:val="20"/>
                <w:szCs w:val="20"/>
              </w:rPr>
            </w:pPr>
            <w:r>
              <w:rPr>
                <w:rFonts w:hint="eastAsia"/>
                <w:sz w:val="20"/>
                <w:szCs w:val="20"/>
              </w:rPr>
              <w:t xml:space="preserve">年 </w:t>
            </w:r>
            <w:r>
              <w:rPr>
                <w:sz w:val="20"/>
                <w:szCs w:val="20"/>
              </w:rPr>
              <w:t xml:space="preserve"> 月</w:t>
            </w:r>
            <w:r>
              <w:rPr>
                <w:rFonts w:hint="eastAsia"/>
                <w:sz w:val="20"/>
                <w:szCs w:val="20"/>
              </w:rPr>
              <w:t xml:space="preserve"> </w:t>
            </w:r>
            <w:r>
              <w:rPr>
                <w:sz w:val="20"/>
                <w:szCs w:val="20"/>
              </w:rPr>
              <w:t xml:space="preserve"> 日</w:t>
            </w:r>
          </w:p>
        </w:tc>
      </w:tr>
    </w:tbl>
    <w:p>
      <w:pPr>
        <w:jc w:val="center"/>
        <w:rPr>
          <w:sz w:val="18"/>
          <w:szCs w:val="18"/>
        </w:rPr>
      </w:pPr>
    </w:p>
    <w:p>
      <w:pPr>
        <w:jc w:val="center"/>
        <w:rPr>
          <w:sz w:val="18"/>
          <w:szCs w:val="18"/>
        </w:rPr>
      </w:pPr>
    </w:p>
    <w:p>
      <w:pPr>
        <w:spacing w:before="156" w:beforeLines="50" w:after="156" w:afterLines="50"/>
        <w:jc w:val="center"/>
        <w:outlineLvl w:val="0"/>
        <w:rPr>
          <w:sz w:val="32"/>
          <w:szCs w:val="20"/>
        </w:rPr>
      </w:pPr>
      <w:bookmarkStart w:id="169" w:name="_Toc22797"/>
      <w:bookmarkStart w:id="170" w:name="_Toc19157"/>
      <w:r>
        <w:rPr>
          <w:rFonts w:hint="eastAsia"/>
          <w:sz w:val="32"/>
          <w:szCs w:val="20"/>
        </w:rPr>
        <w:t>附录C  子分部工程质量验收记录</w:t>
      </w:r>
      <w:bookmarkEnd w:id="169"/>
      <w:bookmarkEnd w:id="170"/>
    </w:p>
    <w:p>
      <w:pPr>
        <w:ind w:firstLine="440"/>
        <w:rPr>
          <w:sz w:val="24"/>
        </w:rPr>
      </w:pPr>
      <w:r>
        <w:rPr>
          <w:rFonts w:hint="eastAsia"/>
          <w:sz w:val="24"/>
        </w:rPr>
        <w:t>子分部工程质量应由总监理工程师或建设单位项目专业负责人组织施工项目经理、技术负责人、质量人员和勘察、设计单位项目负责人进行验收，并应符合表C的规定填写记录。</w:t>
      </w:r>
    </w:p>
    <w:p>
      <w:pPr>
        <w:spacing w:before="156" w:beforeLines="50"/>
        <w:jc w:val="center"/>
        <w:rPr>
          <w:rFonts w:eastAsia="黑体"/>
          <w:bCs/>
          <w:kern w:val="0"/>
          <w:szCs w:val="21"/>
        </w:rPr>
      </w:pPr>
      <w:r>
        <w:rPr>
          <w:rFonts w:hint="eastAsia" w:eastAsia="黑体"/>
          <w:bCs/>
          <w:kern w:val="0"/>
          <w:szCs w:val="21"/>
        </w:rPr>
        <w:t xml:space="preserve">表C </w:t>
      </w:r>
      <w:r>
        <w:rPr>
          <w:rFonts w:hint="eastAsia" w:eastAsia="黑体"/>
          <w:bCs/>
          <w:kern w:val="0"/>
          <w:szCs w:val="21"/>
          <w:u w:val="single"/>
        </w:rPr>
        <w:t>管幕法支护结构</w:t>
      </w:r>
      <w:r>
        <w:rPr>
          <w:rFonts w:hint="eastAsia" w:eastAsia="黑体"/>
          <w:bCs/>
          <w:kern w:val="0"/>
          <w:szCs w:val="21"/>
        </w:rPr>
        <w:t>子分部工程质量验收记录</w:t>
      </w: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798"/>
        <w:gridCol w:w="919"/>
        <w:gridCol w:w="315"/>
        <w:gridCol w:w="743"/>
        <w:gridCol w:w="908"/>
        <w:gridCol w:w="1000"/>
        <w:gridCol w:w="215"/>
        <w:gridCol w:w="1618"/>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8" w:type="dxa"/>
            <w:gridSpan w:val="2"/>
            <w:vAlign w:val="center"/>
          </w:tcPr>
          <w:p>
            <w:pPr>
              <w:jc w:val="center"/>
              <w:rPr>
                <w:sz w:val="20"/>
                <w:szCs w:val="20"/>
              </w:rPr>
            </w:pPr>
            <w:r>
              <w:rPr>
                <w:rFonts w:hint="eastAsia"/>
                <w:sz w:val="20"/>
                <w:szCs w:val="20"/>
              </w:rPr>
              <w:t>工程名称</w:t>
            </w:r>
          </w:p>
        </w:tc>
        <w:tc>
          <w:tcPr>
            <w:tcW w:w="1234" w:type="dxa"/>
            <w:gridSpan w:val="2"/>
            <w:vAlign w:val="center"/>
          </w:tcPr>
          <w:p>
            <w:pPr>
              <w:jc w:val="center"/>
              <w:rPr>
                <w:sz w:val="20"/>
                <w:szCs w:val="20"/>
              </w:rPr>
            </w:pPr>
          </w:p>
        </w:tc>
        <w:tc>
          <w:tcPr>
            <w:tcW w:w="1651" w:type="dxa"/>
            <w:gridSpan w:val="2"/>
            <w:vAlign w:val="center"/>
          </w:tcPr>
          <w:p>
            <w:pPr>
              <w:jc w:val="center"/>
              <w:rPr>
                <w:sz w:val="20"/>
                <w:szCs w:val="20"/>
              </w:rPr>
            </w:pPr>
            <w:r>
              <w:rPr>
                <w:rFonts w:hint="eastAsia"/>
                <w:sz w:val="20"/>
                <w:szCs w:val="20"/>
              </w:rPr>
              <w:t>结构类型</w:t>
            </w:r>
          </w:p>
        </w:tc>
        <w:tc>
          <w:tcPr>
            <w:tcW w:w="1215" w:type="dxa"/>
            <w:gridSpan w:val="2"/>
            <w:vAlign w:val="center"/>
          </w:tcPr>
          <w:p>
            <w:pPr>
              <w:jc w:val="center"/>
              <w:rPr>
                <w:sz w:val="20"/>
                <w:szCs w:val="20"/>
              </w:rPr>
            </w:pPr>
          </w:p>
        </w:tc>
        <w:tc>
          <w:tcPr>
            <w:tcW w:w="1618" w:type="dxa"/>
            <w:vAlign w:val="center"/>
          </w:tcPr>
          <w:p>
            <w:pPr>
              <w:jc w:val="center"/>
              <w:rPr>
                <w:sz w:val="20"/>
                <w:szCs w:val="20"/>
              </w:rPr>
            </w:pPr>
            <w:r>
              <w:rPr>
                <w:rFonts w:hint="eastAsia"/>
                <w:sz w:val="20"/>
                <w:szCs w:val="20"/>
              </w:rPr>
              <w:t>层数</w:t>
            </w:r>
          </w:p>
        </w:tc>
        <w:tc>
          <w:tcPr>
            <w:tcW w:w="1001" w:type="dxa"/>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8" w:type="dxa"/>
            <w:gridSpan w:val="2"/>
            <w:vAlign w:val="center"/>
          </w:tcPr>
          <w:p>
            <w:pPr>
              <w:jc w:val="center"/>
              <w:rPr>
                <w:sz w:val="20"/>
                <w:szCs w:val="20"/>
              </w:rPr>
            </w:pPr>
            <w:r>
              <w:rPr>
                <w:rFonts w:hint="eastAsia"/>
                <w:sz w:val="20"/>
                <w:szCs w:val="20"/>
              </w:rPr>
              <w:t>施工单位</w:t>
            </w:r>
          </w:p>
        </w:tc>
        <w:tc>
          <w:tcPr>
            <w:tcW w:w="1234" w:type="dxa"/>
            <w:gridSpan w:val="2"/>
            <w:vAlign w:val="center"/>
          </w:tcPr>
          <w:p>
            <w:pPr>
              <w:jc w:val="center"/>
              <w:rPr>
                <w:sz w:val="20"/>
                <w:szCs w:val="20"/>
              </w:rPr>
            </w:pPr>
          </w:p>
        </w:tc>
        <w:tc>
          <w:tcPr>
            <w:tcW w:w="1651" w:type="dxa"/>
            <w:gridSpan w:val="2"/>
            <w:vAlign w:val="center"/>
          </w:tcPr>
          <w:p>
            <w:pPr>
              <w:jc w:val="center"/>
              <w:rPr>
                <w:sz w:val="20"/>
                <w:szCs w:val="20"/>
              </w:rPr>
            </w:pPr>
            <w:r>
              <w:rPr>
                <w:rFonts w:hint="eastAsia"/>
                <w:sz w:val="20"/>
                <w:szCs w:val="20"/>
              </w:rPr>
              <w:t>技术部门负责人</w:t>
            </w:r>
          </w:p>
        </w:tc>
        <w:tc>
          <w:tcPr>
            <w:tcW w:w="1215" w:type="dxa"/>
            <w:gridSpan w:val="2"/>
            <w:vAlign w:val="center"/>
          </w:tcPr>
          <w:p>
            <w:pPr>
              <w:jc w:val="center"/>
              <w:rPr>
                <w:sz w:val="20"/>
                <w:szCs w:val="20"/>
              </w:rPr>
            </w:pPr>
          </w:p>
        </w:tc>
        <w:tc>
          <w:tcPr>
            <w:tcW w:w="1618" w:type="dxa"/>
            <w:vAlign w:val="center"/>
          </w:tcPr>
          <w:p>
            <w:pPr>
              <w:jc w:val="center"/>
              <w:rPr>
                <w:sz w:val="20"/>
                <w:szCs w:val="20"/>
              </w:rPr>
            </w:pPr>
            <w:r>
              <w:rPr>
                <w:rFonts w:hint="eastAsia"/>
                <w:sz w:val="20"/>
                <w:szCs w:val="20"/>
              </w:rPr>
              <w:t>质量部门负责人</w:t>
            </w:r>
          </w:p>
        </w:tc>
        <w:tc>
          <w:tcPr>
            <w:tcW w:w="1001" w:type="dxa"/>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8" w:type="dxa"/>
            <w:gridSpan w:val="2"/>
            <w:vAlign w:val="center"/>
          </w:tcPr>
          <w:p>
            <w:pPr>
              <w:jc w:val="center"/>
              <w:rPr>
                <w:sz w:val="20"/>
                <w:szCs w:val="20"/>
              </w:rPr>
            </w:pPr>
            <w:r>
              <w:rPr>
                <w:rFonts w:hint="eastAsia"/>
                <w:sz w:val="20"/>
                <w:szCs w:val="20"/>
              </w:rPr>
              <w:t>分包单位</w:t>
            </w:r>
          </w:p>
        </w:tc>
        <w:tc>
          <w:tcPr>
            <w:tcW w:w="1234" w:type="dxa"/>
            <w:gridSpan w:val="2"/>
            <w:vAlign w:val="center"/>
          </w:tcPr>
          <w:p>
            <w:pPr>
              <w:jc w:val="center"/>
              <w:rPr>
                <w:sz w:val="20"/>
                <w:szCs w:val="20"/>
              </w:rPr>
            </w:pPr>
          </w:p>
        </w:tc>
        <w:tc>
          <w:tcPr>
            <w:tcW w:w="1651" w:type="dxa"/>
            <w:gridSpan w:val="2"/>
            <w:vAlign w:val="center"/>
          </w:tcPr>
          <w:p>
            <w:pPr>
              <w:jc w:val="center"/>
              <w:rPr>
                <w:sz w:val="20"/>
                <w:szCs w:val="20"/>
              </w:rPr>
            </w:pPr>
            <w:r>
              <w:rPr>
                <w:rFonts w:hint="eastAsia"/>
                <w:sz w:val="20"/>
                <w:szCs w:val="20"/>
              </w:rPr>
              <w:t>分包单位负责人</w:t>
            </w:r>
          </w:p>
        </w:tc>
        <w:tc>
          <w:tcPr>
            <w:tcW w:w="1215" w:type="dxa"/>
            <w:gridSpan w:val="2"/>
            <w:vAlign w:val="center"/>
          </w:tcPr>
          <w:p>
            <w:pPr>
              <w:jc w:val="center"/>
              <w:rPr>
                <w:sz w:val="20"/>
                <w:szCs w:val="20"/>
              </w:rPr>
            </w:pPr>
          </w:p>
        </w:tc>
        <w:tc>
          <w:tcPr>
            <w:tcW w:w="1618" w:type="dxa"/>
            <w:vAlign w:val="center"/>
          </w:tcPr>
          <w:p>
            <w:pPr>
              <w:jc w:val="center"/>
              <w:rPr>
                <w:sz w:val="20"/>
                <w:szCs w:val="20"/>
              </w:rPr>
            </w:pPr>
            <w:r>
              <w:rPr>
                <w:rFonts w:hint="eastAsia"/>
                <w:sz w:val="20"/>
                <w:szCs w:val="20"/>
              </w:rPr>
              <w:t>分包技术负责人</w:t>
            </w:r>
          </w:p>
        </w:tc>
        <w:tc>
          <w:tcPr>
            <w:tcW w:w="1001" w:type="dxa"/>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vAlign w:val="center"/>
          </w:tcPr>
          <w:p>
            <w:pPr>
              <w:jc w:val="center"/>
              <w:rPr>
                <w:sz w:val="20"/>
                <w:szCs w:val="20"/>
              </w:rPr>
            </w:pPr>
            <w:r>
              <w:rPr>
                <w:rFonts w:hint="eastAsia"/>
                <w:sz w:val="20"/>
                <w:szCs w:val="20"/>
              </w:rPr>
              <w:t>序号</w:t>
            </w:r>
          </w:p>
        </w:tc>
        <w:tc>
          <w:tcPr>
            <w:tcW w:w="1717" w:type="dxa"/>
            <w:gridSpan w:val="2"/>
            <w:vAlign w:val="center"/>
          </w:tcPr>
          <w:p>
            <w:pPr>
              <w:jc w:val="center"/>
              <w:rPr>
                <w:sz w:val="20"/>
                <w:szCs w:val="20"/>
              </w:rPr>
            </w:pPr>
            <w:r>
              <w:rPr>
                <w:rFonts w:hint="eastAsia"/>
                <w:sz w:val="20"/>
                <w:szCs w:val="20"/>
              </w:rPr>
              <w:t>分项工程名称</w:t>
            </w:r>
          </w:p>
        </w:tc>
        <w:tc>
          <w:tcPr>
            <w:tcW w:w="1058" w:type="dxa"/>
            <w:gridSpan w:val="2"/>
            <w:vAlign w:val="center"/>
          </w:tcPr>
          <w:p>
            <w:pPr>
              <w:jc w:val="center"/>
              <w:rPr>
                <w:sz w:val="20"/>
                <w:szCs w:val="20"/>
              </w:rPr>
            </w:pPr>
            <w:r>
              <w:rPr>
                <w:rFonts w:hint="eastAsia"/>
                <w:sz w:val="20"/>
                <w:szCs w:val="20"/>
              </w:rPr>
              <w:t>检验批数</w:t>
            </w:r>
          </w:p>
        </w:tc>
        <w:tc>
          <w:tcPr>
            <w:tcW w:w="1908" w:type="dxa"/>
            <w:gridSpan w:val="2"/>
            <w:vAlign w:val="center"/>
          </w:tcPr>
          <w:p>
            <w:pPr>
              <w:jc w:val="center"/>
              <w:rPr>
                <w:sz w:val="20"/>
                <w:szCs w:val="20"/>
              </w:rPr>
            </w:pPr>
            <w:r>
              <w:rPr>
                <w:rFonts w:hint="eastAsia"/>
                <w:sz w:val="20"/>
                <w:szCs w:val="20"/>
              </w:rPr>
              <w:t>施工单位</w:t>
            </w:r>
          </w:p>
          <w:p>
            <w:pPr>
              <w:jc w:val="center"/>
              <w:rPr>
                <w:sz w:val="20"/>
                <w:szCs w:val="20"/>
              </w:rPr>
            </w:pPr>
            <w:r>
              <w:rPr>
                <w:rFonts w:hint="eastAsia"/>
                <w:sz w:val="20"/>
                <w:szCs w:val="20"/>
              </w:rPr>
              <w:t>检查评定</w:t>
            </w:r>
          </w:p>
        </w:tc>
        <w:tc>
          <w:tcPr>
            <w:tcW w:w="2834" w:type="dxa"/>
            <w:gridSpan w:val="3"/>
            <w:vAlign w:val="center"/>
          </w:tcPr>
          <w:p>
            <w:pPr>
              <w:jc w:val="center"/>
              <w:rPr>
                <w:sz w:val="20"/>
                <w:szCs w:val="20"/>
              </w:rPr>
            </w:pPr>
            <w:r>
              <w:rPr>
                <w:rFonts w:hint="eastAsia"/>
                <w:sz w:val="20"/>
                <w:szCs w:val="20"/>
              </w:rPr>
              <w:t>监理（建设）</w:t>
            </w:r>
          </w:p>
          <w:p>
            <w:pPr>
              <w:jc w:val="center"/>
              <w:rPr>
                <w:sz w:val="20"/>
                <w:szCs w:val="20"/>
              </w:rPr>
            </w:pPr>
            <w:r>
              <w:rPr>
                <w:rFonts w:hint="eastAsia"/>
                <w:sz w:val="20"/>
                <w:szCs w:val="20"/>
              </w:rPr>
              <w:t>单位验收意见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dxa"/>
            <w:vAlign w:val="center"/>
          </w:tcPr>
          <w:p>
            <w:pPr>
              <w:jc w:val="center"/>
              <w:rPr>
                <w:sz w:val="20"/>
                <w:szCs w:val="20"/>
              </w:rPr>
            </w:pPr>
            <w:r>
              <w:rPr>
                <w:rFonts w:hint="eastAsia"/>
                <w:sz w:val="20"/>
                <w:szCs w:val="20"/>
              </w:rPr>
              <w:t>1</w:t>
            </w:r>
          </w:p>
        </w:tc>
        <w:tc>
          <w:tcPr>
            <w:tcW w:w="1717" w:type="dxa"/>
            <w:gridSpan w:val="2"/>
            <w:vAlign w:val="center"/>
          </w:tcPr>
          <w:p>
            <w:pPr>
              <w:jc w:val="center"/>
              <w:rPr>
                <w:sz w:val="20"/>
                <w:szCs w:val="20"/>
              </w:rPr>
            </w:pPr>
          </w:p>
        </w:tc>
        <w:tc>
          <w:tcPr>
            <w:tcW w:w="1058" w:type="dxa"/>
            <w:gridSpan w:val="2"/>
            <w:vAlign w:val="center"/>
          </w:tcPr>
          <w:p>
            <w:pPr>
              <w:jc w:val="center"/>
              <w:rPr>
                <w:sz w:val="20"/>
                <w:szCs w:val="20"/>
              </w:rPr>
            </w:pPr>
          </w:p>
        </w:tc>
        <w:tc>
          <w:tcPr>
            <w:tcW w:w="1908" w:type="dxa"/>
            <w:gridSpan w:val="2"/>
            <w:vAlign w:val="center"/>
          </w:tcPr>
          <w:p>
            <w:pPr>
              <w:jc w:val="center"/>
              <w:rPr>
                <w:sz w:val="20"/>
                <w:szCs w:val="20"/>
              </w:rPr>
            </w:pPr>
          </w:p>
        </w:tc>
        <w:tc>
          <w:tcPr>
            <w:tcW w:w="2834" w:type="dxa"/>
            <w:gridSpan w:val="3"/>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dxa"/>
            <w:vAlign w:val="center"/>
          </w:tcPr>
          <w:p>
            <w:pPr>
              <w:jc w:val="center"/>
              <w:rPr>
                <w:sz w:val="20"/>
                <w:szCs w:val="20"/>
              </w:rPr>
            </w:pPr>
            <w:r>
              <w:rPr>
                <w:rFonts w:hint="eastAsia"/>
                <w:sz w:val="20"/>
                <w:szCs w:val="20"/>
              </w:rPr>
              <w:t>2</w:t>
            </w:r>
          </w:p>
        </w:tc>
        <w:tc>
          <w:tcPr>
            <w:tcW w:w="1717" w:type="dxa"/>
            <w:gridSpan w:val="2"/>
            <w:vAlign w:val="center"/>
          </w:tcPr>
          <w:p>
            <w:pPr>
              <w:jc w:val="center"/>
              <w:rPr>
                <w:sz w:val="20"/>
                <w:szCs w:val="20"/>
              </w:rPr>
            </w:pPr>
          </w:p>
        </w:tc>
        <w:tc>
          <w:tcPr>
            <w:tcW w:w="1058" w:type="dxa"/>
            <w:gridSpan w:val="2"/>
            <w:vAlign w:val="center"/>
          </w:tcPr>
          <w:p>
            <w:pPr>
              <w:jc w:val="center"/>
              <w:rPr>
                <w:sz w:val="20"/>
                <w:szCs w:val="20"/>
              </w:rPr>
            </w:pPr>
          </w:p>
        </w:tc>
        <w:tc>
          <w:tcPr>
            <w:tcW w:w="1908" w:type="dxa"/>
            <w:gridSpan w:val="2"/>
            <w:vAlign w:val="center"/>
          </w:tcPr>
          <w:p>
            <w:pPr>
              <w:jc w:val="center"/>
              <w:rPr>
                <w:sz w:val="20"/>
                <w:szCs w:val="20"/>
              </w:rPr>
            </w:pPr>
          </w:p>
        </w:tc>
        <w:tc>
          <w:tcPr>
            <w:tcW w:w="2834" w:type="dxa"/>
            <w:gridSpan w:val="3"/>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dxa"/>
            <w:vAlign w:val="center"/>
          </w:tcPr>
          <w:p>
            <w:pPr>
              <w:jc w:val="center"/>
              <w:rPr>
                <w:sz w:val="20"/>
                <w:szCs w:val="20"/>
              </w:rPr>
            </w:pPr>
            <w:r>
              <w:rPr>
                <w:rFonts w:hint="eastAsia"/>
                <w:sz w:val="20"/>
                <w:szCs w:val="20"/>
              </w:rPr>
              <w:t>3</w:t>
            </w:r>
          </w:p>
        </w:tc>
        <w:tc>
          <w:tcPr>
            <w:tcW w:w="1717" w:type="dxa"/>
            <w:gridSpan w:val="2"/>
            <w:vAlign w:val="center"/>
          </w:tcPr>
          <w:p>
            <w:pPr>
              <w:jc w:val="center"/>
              <w:rPr>
                <w:sz w:val="20"/>
                <w:szCs w:val="20"/>
              </w:rPr>
            </w:pPr>
          </w:p>
        </w:tc>
        <w:tc>
          <w:tcPr>
            <w:tcW w:w="1058" w:type="dxa"/>
            <w:gridSpan w:val="2"/>
            <w:vAlign w:val="center"/>
          </w:tcPr>
          <w:p>
            <w:pPr>
              <w:jc w:val="center"/>
              <w:rPr>
                <w:sz w:val="20"/>
                <w:szCs w:val="20"/>
              </w:rPr>
            </w:pPr>
          </w:p>
        </w:tc>
        <w:tc>
          <w:tcPr>
            <w:tcW w:w="1908" w:type="dxa"/>
            <w:gridSpan w:val="2"/>
            <w:vAlign w:val="center"/>
          </w:tcPr>
          <w:p>
            <w:pPr>
              <w:jc w:val="center"/>
              <w:rPr>
                <w:sz w:val="20"/>
                <w:szCs w:val="20"/>
              </w:rPr>
            </w:pPr>
          </w:p>
        </w:tc>
        <w:tc>
          <w:tcPr>
            <w:tcW w:w="2834" w:type="dxa"/>
            <w:gridSpan w:val="3"/>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dxa"/>
            <w:vAlign w:val="center"/>
          </w:tcPr>
          <w:p>
            <w:pPr>
              <w:jc w:val="center"/>
              <w:rPr>
                <w:sz w:val="20"/>
                <w:szCs w:val="20"/>
              </w:rPr>
            </w:pPr>
            <w:r>
              <w:rPr>
                <w:rFonts w:hint="eastAsia"/>
                <w:sz w:val="20"/>
                <w:szCs w:val="20"/>
              </w:rPr>
              <w:t>4</w:t>
            </w:r>
          </w:p>
        </w:tc>
        <w:tc>
          <w:tcPr>
            <w:tcW w:w="1717" w:type="dxa"/>
            <w:gridSpan w:val="2"/>
            <w:vAlign w:val="center"/>
          </w:tcPr>
          <w:p>
            <w:pPr>
              <w:jc w:val="center"/>
              <w:rPr>
                <w:sz w:val="20"/>
                <w:szCs w:val="20"/>
              </w:rPr>
            </w:pPr>
          </w:p>
        </w:tc>
        <w:tc>
          <w:tcPr>
            <w:tcW w:w="1058" w:type="dxa"/>
            <w:gridSpan w:val="2"/>
            <w:vAlign w:val="center"/>
          </w:tcPr>
          <w:p>
            <w:pPr>
              <w:jc w:val="center"/>
              <w:rPr>
                <w:sz w:val="20"/>
                <w:szCs w:val="20"/>
              </w:rPr>
            </w:pPr>
          </w:p>
        </w:tc>
        <w:tc>
          <w:tcPr>
            <w:tcW w:w="1908" w:type="dxa"/>
            <w:gridSpan w:val="2"/>
            <w:vAlign w:val="center"/>
          </w:tcPr>
          <w:p>
            <w:pPr>
              <w:jc w:val="center"/>
              <w:rPr>
                <w:sz w:val="20"/>
                <w:szCs w:val="20"/>
              </w:rPr>
            </w:pPr>
          </w:p>
        </w:tc>
        <w:tc>
          <w:tcPr>
            <w:tcW w:w="2834" w:type="dxa"/>
            <w:gridSpan w:val="3"/>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dxa"/>
            <w:vAlign w:val="center"/>
          </w:tcPr>
          <w:p>
            <w:pPr>
              <w:jc w:val="center"/>
              <w:rPr>
                <w:sz w:val="20"/>
                <w:szCs w:val="20"/>
              </w:rPr>
            </w:pPr>
            <w:r>
              <w:rPr>
                <w:rFonts w:hint="eastAsia"/>
                <w:sz w:val="20"/>
                <w:szCs w:val="20"/>
              </w:rPr>
              <w:t>5</w:t>
            </w:r>
          </w:p>
        </w:tc>
        <w:tc>
          <w:tcPr>
            <w:tcW w:w="1717" w:type="dxa"/>
            <w:gridSpan w:val="2"/>
            <w:vAlign w:val="center"/>
          </w:tcPr>
          <w:p>
            <w:pPr>
              <w:jc w:val="center"/>
              <w:rPr>
                <w:sz w:val="20"/>
                <w:szCs w:val="20"/>
              </w:rPr>
            </w:pPr>
          </w:p>
        </w:tc>
        <w:tc>
          <w:tcPr>
            <w:tcW w:w="1058" w:type="dxa"/>
            <w:gridSpan w:val="2"/>
            <w:vAlign w:val="center"/>
          </w:tcPr>
          <w:p>
            <w:pPr>
              <w:jc w:val="center"/>
              <w:rPr>
                <w:sz w:val="20"/>
                <w:szCs w:val="20"/>
              </w:rPr>
            </w:pPr>
          </w:p>
        </w:tc>
        <w:tc>
          <w:tcPr>
            <w:tcW w:w="1908" w:type="dxa"/>
            <w:gridSpan w:val="2"/>
            <w:vAlign w:val="center"/>
          </w:tcPr>
          <w:p>
            <w:pPr>
              <w:jc w:val="center"/>
              <w:rPr>
                <w:sz w:val="20"/>
                <w:szCs w:val="20"/>
              </w:rPr>
            </w:pPr>
          </w:p>
        </w:tc>
        <w:tc>
          <w:tcPr>
            <w:tcW w:w="2834" w:type="dxa"/>
            <w:gridSpan w:val="3"/>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dxa"/>
            <w:vAlign w:val="center"/>
          </w:tcPr>
          <w:p>
            <w:pPr>
              <w:jc w:val="center"/>
              <w:rPr>
                <w:sz w:val="20"/>
                <w:szCs w:val="20"/>
              </w:rPr>
            </w:pPr>
            <w:r>
              <w:rPr>
                <w:rFonts w:hint="eastAsia"/>
                <w:sz w:val="20"/>
                <w:szCs w:val="20"/>
              </w:rPr>
              <w:t>6</w:t>
            </w:r>
          </w:p>
        </w:tc>
        <w:tc>
          <w:tcPr>
            <w:tcW w:w="1717" w:type="dxa"/>
            <w:gridSpan w:val="2"/>
            <w:vAlign w:val="center"/>
          </w:tcPr>
          <w:p>
            <w:pPr>
              <w:jc w:val="center"/>
              <w:rPr>
                <w:sz w:val="20"/>
                <w:szCs w:val="20"/>
              </w:rPr>
            </w:pPr>
          </w:p>
        </w:tc>
        <w:tc>
          <w:tcPr>
            <w:tcW w:w="1058" w:type="dxa"/>
            <w:gridSpan w:val="2"/>
            <w:vAlign w:val="center"/>
          </w:tcPr>
          <w:p>
            <w:pPr>
              <w:jc w:val="center"/>
              <w:rPr>
                <w:sz w:val="20"/>
                <w:szCs w:val="20"/>
              </w:rPr>
            </w:pPr>
          </w:p>
        </w:tc>
        <w:tc>
          <w:tcPr>
            <w:tcW w:w="1908" w:type="dxa"/>
            <w:gridSpan w:val="2"/>
            <w:vAlign w:val="center"/>
          </w:tcPr>
          <w:p>
            <w:pPr>
              <w:jc w:val="center"/>
              <w:rPr>
                <w:sz w:val="20"/>
                <w:szCs w:val="20"/>
              </w:rPr>
            </w:pPr>
          </w:p>
        </w:tc>
        <w:tc>
          <w:tcPr>
            <w:tcW w:w="2834" w:type="dxa"/>
            <w:gridSpan w:val="3"/>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dxa"/>
            <w:vAlign w:val="center"/>
          </w:tcPr>
          <w:p>
            <w:pPr>
              <w:jc w:val="center"/>
              <w:rPr>
                <w:sz w:val="20"/>
                <w:szCs w:val="20"/>
              </w:rPr>
            </w:pPr>
            <w:r>
              <w:rPr>
                <w:rFonts w:hint="eastAsia"/>
                <w:sz w:val="20"/>
                <w:szCs w:val="20"/>
              </w:rPr>
              <w:t>7</w:t>
            </w:r>
          </w:p>
        </w:tc>
        <w:tc>
          <w:tcPr>
            <w:tcW w:w="1717" w:type="dxa"/>
            <w:gridSpan w:val="2"/>
            <w:vAlign w:val="center"/>
          </w:tcPr>
          <w:p>
            <w:pPr>
              <w:jc w:val="center"/>
              <w:rPr>
                <w:sz w:val="20"/>
                <w:szCs w:val="20"/>
              </w:rPr>
            </w:pPr>
          </w:p>
        </w:tc>
        <w:tc>
          <w:tcPr>
            <w:tcW w:w="1058" w:type="dxa"/>
            <w:gridSpan w:val="2"/>
            <w:vAlign w:val="center"/>
          </w:tcPr>
          <w:p>
            <w:pPr>
              <w:jc w:val="center"/>
              <w:rPr>
                <w:sz w:val="20"/>
                <w:szCs w:val="20"/>
              </w:rPr>
            </w:pPr>
          </w:p>
        </w:tc>
        <w:tc>
          <w:tcPr>
            <w:tcW w:w="1908" w:type="dxa"/>
            <w:gridSpan w:val="2"/>
            <w:vAlign w:val="center"/>
          </w:tcPr>
          <w:p>
            <w:pPr>
              <w:jc w:val="center"/>
              <w:rPr>
                <w:sz w:val="20"/>
                <w:szCs w:val="20"/>
              </w:rPr>
            </w:pPr>
          </w:p>
        </w:tc>
        <w:tc>
          <w:tcPr>
            <w:tcW w:w="2834" w:type="dxa"/>
            <w:gridSpan w:val="3"/>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dxa"/>
            <w:vAlign w:val="center"/>
          </w:tcPr>
          <w:p>
            <w:pPr>
              <w:jc w:val="center"/>
              <w:rPr>
                <w:sz w:val="20"/>
                <w:szCs w:val="20"/>
              </w:rPr>
            </w:pPr>
            <w:r>
              <w:rPr>
                <w:rFonts w:hint="eastAsia"/>
                <w:sz w:val="20"/>
                <w:szCs w:val="20"/>
              </w:rPr>
              <w:t>8</w:t>
            </w:r>
          </w:p>
        </w:tc>
        <w:tc>
          <w:tcPr>
            <w:tcW w:w="1717" w:type="dxa"/>
            <w:gridSpan w:val="2"/>
            <w:vAlign w:val="center"/>
          </w:tcPr>
          <w:p>
            <w:pPr>
              <w:jc w:val="center"/>
              <w:rPr>
                <w:sz w:val="20"/>
                <w:szCs w:val="20"/>
              </w:rPr>
            </w:pPr>
          </w:p>
        </w:tc>
        <w:tc>
          <w:tcPr>
            <w:tcW w:w="1058" w:type="dxa"/>
            <w:gridSpan w:val="2"/>
            <w:vAlign w:val="center"/>
          </w:tcPr>
          <w:p>
            <w:pPr>
              <w:jc w:val="center"/>
              <w:rPr>
                <w:sz w:val="20"/>
                <w:szCs w:val="20"/>
              </w:rPr>
            </w:pPr>
          </w:p>
        </w:tc>
        <w:tc>
          <w:tcPr>
            <w:tcW w:w="1908" w:type="dxa"/>
            <w:gridSpan w:val="2"/>
            <w:vAlign w:val="center"/>
          </w:tcPr>
          <w:p>
            <w:pPr>
              <w:jc w:val="center"/>
              <w:rPr>
                <w:sz w:val="20"/>
                <w:szCs w:val="20"/>
              </w:rPr>
            </w:pPr>
          </w:p>
        </w:tc>
        <w:tc>
          <w:tcPr>
            <w:tcW w:w="2834" w:type="dxa"/>
            <w:gridSpan w:val="3"/>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dxa"/>
            <w:vAlign w:val="center"/>
          </w:tcPr>
          <w:p>
            <w:pPr>
              <w:jc w:val="center"/>
              <w:rPr>
                <w:sz w:val="20"/>
                <w:szCs w:val="20"/>
              </w:rPr>
            </w:pPr>
            <w:r>
              <w:rPr>
                <w:rFonts w:hint="eastAsia"/>
                <w:sz w:val="20"/>
                <w:szCs w:val="20"/>
              </w:rPr>
              <w:t>9</w:t>
            </w:r>
          </w:p>
        </w:tc>
        <w:tc>
          <w:tcPr>
            <w:tcW w:w="1717" w:type="dxa"/>
            <w:gridSpan w:val="2"/>
            <w:vAlign w:val="center"/>
          </w:tcPr>
          <w:p>
            <w:pPr>
              <w:jc w:val="center"/>
              <w:rPr>
                <w:sz w:val="20"/>
                <w:szCs w:val="20"/>
              </w:rPr>
            </w:pPr>
          </w:p>
        </w:tc>
        <w:tc>
          <w:tcPr>
            <w:tcW w:w="1058" w:type="dxa"/>
            <w:gridSpan w:val="2"/>
            <w:vAlign w:val="center"/>
          </w:tcPr>
          <w:p>
            <w:pPr>
              <w:jc w:val="center"/>
              <w:rPr>
                <w:sz w:val="20"/>
                <w:szCs w:val="20"/>
              </w:rPr>
            </w:pPr>
          </w:p>
        </w:tc>
        <w:tc>
          <w:tcPr>
            <w:tcW w:w="1908" w:type="dxa"/>
            <w:gridSpan w:val="2"/>
            <w:vAlign w:val="center"/>
          </w:tcPr>
          <w:p>
            <w:pPr>
              <w:jc w:val="center"/>
              <w:rPr>
                <w:sz w:val="20"/>
                <w:szCs w:val="20"/>
              </w:rPr>
            </w:pPr>
          </w:p>
        </w:tc>
        <w:tc>
          <w:tcPr>
            <w:tcW w:w="2834" w:type="dxa"/>
            <w:gridSpan w:val="3"/>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dxa"/>
            <w:vAlign w:val="center"/>
          </w:tcPr>
          <w:p>
            <w:pPr>
              <w:jc w:val="center"/>
              <w:rPr>
                <w:sz w:val="20"/>
                <w:szCs w:val="20"/>
              </w:rPr>
            </w:pPr>
            <w:r>
              <w:rPr>
                <w:rFonts w:hint="eastAsia"/>
                <w:sz w:val="20"/>
                <w:szCs w:val="20"/>
              </w:rPr>
              <w:t>10</w:t>
            </w:r>
          </w:p>
        </w:tc>
        <w:tc>
          <w:tcPr>
            <w:tcW w:w="1717" w:type="dxa"/>
            <w:gridSpan w:val="2"/>
            <w:vAlign w:val="center"/>
          </w:tcPr>
          <w:p>
            <w:pPr>
              <w:jc w:val="center"/>
              <w:rPr>
                <w:sz w:val="20"/>
                <w:szCs w:val="20"/>
              </w:rPr>
            </w:pPr>
          </w:p>
        </w:tc>
        <w:tc>
          <w:tcPr>
            <w:tcW w:w="1058" w:type="dxa"/>
            <w:gridSpan w:val="2"/>
            <w:vAlign w:val="center"/>
          </w:tcPr>
          <w:p>
            <w:pPr>
              <w:jc w:val="center"/>
              <w:rPr>
                <w:sz w:val="20"/>
                <w:szCs w:val="20"/>
              </w:rPr>
            </w:pPr>
          </w:p>
        </w:tc>
        <w:tc>
          <w:tcPr>
            <w:tcW w:w="1908" w:type="dxa"/>
            <w:gridSpan w:val="2"/>
            <w:vAlign w:val="center"/>
          </w:tcPr>
          <w:p>
            <w:pPr>
              <w:jc w:val="center"/>
              <w:rPr>
                <w:sz w:val="20"/>
                <w:szCs w:val="20"/>
              </w:rPr>
            </w:pPr>
          </w:p>
        </w:tc>
        <w:tc>
          <w:tcPr>
            <w:tcW w:w="2834" w:type="dxa"/>
            <w:gridSpan w:val="3"/>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17" w:type="dxa"/>
            <w:gridSpan w:val="3"/>
            <w:vAlign w:val="center"/>
          </w:tcPr>
          <w:p>
            <w:pPr>
              <w:jc w:val="center"/>
              <w:rPr>
                <w:sz w:val="20"/>
                <w:szCs w:val="20"/>
              </w:rPr>
            </w:pPr>
            <w:r>
              <w:rPr>
                <w:rFonts w:hint="eastAsia"/>
                <w:sz w:val="20"/>
                <w:szCs w:val="20"/>
              </w:rPr>
              <w:t>质量控制资料</w:t>
            </w:r>
          </w:p>
        </w:tc>
        <w:tc>
          <w:tcPr>
            <w:tcW w:w="1058" w:type="dxa"/>
            <w:gridSpan w:val="2"/>
            <w:vAlign w:val="center"/>
          </w:tcPr>
          <w:p>
            <w:pPr>
              <w:jc w:val="center"/>
              <w:rPr>
                <w:sz w:val="20"/>
                <w:szCs w:val="20"/>
              </w:rPr>
            </w:pPr>
          </w:p>
        </w:tc>
        <w:tc>
          <w:tcPr>
            <w:tcW w:w="1908" w:type="dxa"/>
            <w:gridSpan w:val="2"/>
            <w:vAlign w:val="center"/>
          </w:tcPr>
          <w:p>
            <w:pPr>
              <w:jc w:val="center"/>
              <w:rPr>
                <w:sz w:val="20"/>
                <w:szCs w:val="20"/>
              </w:rPr>
            </w:pPr>
          </w:p>
        </w:tc>
        <w:tc>
          <w:tcPr>
            <w:tcW w:w="2834" w:type="dxa"/>
            <w:gridSpan w:val="3"/>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17" w:type="dxa"/>
            <w:gridSpan w:val="3"/>
            <w:vAlign w:val="center"/>
          </w:tcPr>
          <w:p>
            <w:pPr>
              <w:jc w:val="center"/>
              <w:rPr>
                <w:sz w:val="20"/>
                <w:szCs w:val="20"/>
              </w:rPr>
            </w:pPr>
            <w:r>
              <w:rPr>
                <w:rFonts w:hint="eastAsia"/>
                <w:sz w:val="20"/>
                <w:szCs w:val="20"/>
              </w:rPr>
              <w:t>安全和功能检验</w:t>
            </w:r>
          </w:p>
          <w:p>
            <w:pPr>
              <w:jc w:val="center"/>
              <w:rPr>
                <w:sz w:val="20"/>
                <w:szCs w:val="20"/>
              </w:rPr>
            </w:pPr>
            <w:r>
              <w:rPr>
                <w:rFonts w:hint="eastAsia"/>
                <w:sz w:val="20"/>
                <w:szCs w:val="20"/>
              </w:rPr>
              <w:t>（检测）报告</w:t>
            </w:r>
          </w:p>
        </w:tc>
        <w:tc>
          <w:tcPr>
            <w:tcW w:w="1058" w:type="dxa"/>
            <w:gridSpan w:val="2"/>
            <w:vAlign w:val="center"/>
          </w:tcPr>
          <w:p>
            <w:pPr>
              <w:jc w:val="center"/>
              <w:rPr>
                <w:sz w:val="20"/>
                <w:szCs w:val="20"/>
              </w:rPr>
            </w:pPr>
          </w:p>
        </w:tc>
        <w:tc>
          <w:tcPr>
            <w:tcW w:w="1908" w:type="dxa"/>
            <w:gridSpan w:val="2"/>
            <w:vAlign w:val="center"/>
          </w:tcPr>
          <w:p>
            <w:pPr>
              <w:jc w:val="center"/>
              <w:rPr>
                <w:sz w:val="20"/>
                <w:szCs w:val="20"/>
              </w:rPr>
            </w:pPr>
          </w:p>
        </w:tc>
        <w:tc>
          <w:tcPr>
            <w:tcW w:w="2834" w:type="dxa"/>
            <w:gridSpan w:val="3"/>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17" w:type="dxa"/>
            <w:gridSpan w:val="3"/>
            <w:vAlign w:val="center"/>
          </w:tcPr>
          <w:p>
            <w:pPr>
              <w:jc w:val="center"/>
              <w:rPr>
                <w:sz w:val="20"/>
                <w:szCs w:val="20"/>
              </w:rPr>
            </w:pPr>
            <w:r>
              <w:rPr>
                <w:rFonts w:hint="eastAsia"/>
                <w:sz w:val="20"/>
                <w:szCs w:val="20"/>
              </w:rPr>
              <w:t>观感质量验收</w:t>
            </w:r>
          </w:p>
        </w:tc>
        <w:tc>
          <w:tcPr>
            <w:tcW w:w="1058" w:type="dxa"/>
            <w:gridSpan w:val="2"/>
            <w:vAlign w:val="center"/>
          </w:tcPr>
          <w:p>
            <w:pPr>
              <w:jc w:val="center"/>
              <w:rPr>
                <w:sz w:val="20"/>
                <w:szCs w:val="20"/>
              </w:rPr>
            </w:pPr>
          </w:p>
        </w:tc>
        <w:tc>
          <w:tcPr>
            <w:tcW w:w="1908" w:type="dxa"/>
            <w:gridSpan w:val="2"/>
            <w:vAlign w:val="center"/>
          </w:tcPr>
          <w:p>
            <w:pPr>
              <w:jc w:val="center"/>
              <w:rPr>
                <w:sz w:val="20"/>
                <w:szCs w:val="20"/>
              </w:rPr>
            </w:pPr>
          </w:p>
        </w:tc>
        <w:tc>
          <w:tcPr>
            <w:tcW w:w="2834" w:type="dxa"/>
            <w:gridSpan w:val="3"/>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vAlign w:val="center"/>
          </w:tcPr>
          <w:p>
            <w:pPr>
              <w:jc w:val="center"/>
              <w:rPr>
                <w:sz w:val="20"/>
                <w:szCs w:val="20"/>
              </w:rPr>
            </w:pPr>
          </w:p>
          <w:p>
            <w:pPr>
              <w:jc w:val="center"/>
              <w:rPr>
                <w:sz w:val="20"/>
                <w:szCs w:val="20"/>
              </w:rPr>
            </w:pPr>
            <w:r>
              <w:rPr>
                <w:rFonts w:hint="eastAsia"/>
                <w:sz w:val="20"/>
                <w:szCs w:val="20"/>
              </w:rPr>
              <w:t>验</w:t>
            </w:r>
          </w:p>
          <w:p>
            <w:pPr>
              <w:jc w:val="center"/>
              <w:rPr>
                <w:sz w:val="20"/>
                <w:szCs w:val="20"/>
              </w:rPr>
            </w:pPr>
            <w:r>
              <w:rPr>
                <w:rFonts w:hint="eastAsia"/>
                <w:sz w:val="20"/>
                <w:szCs w:val="20"/>
              </w:rPr>
              <w:t>收</w:t>
            </w:r>
          </w:p>
          <w:p>
            <w:pPr>
              <w:jc w:val="center"/>
              <w:rPr>
                <w:sz w:val="20"/>
                <w:szCs w:val="20"/>
              </w:rPr>
            </w:pPr>
            <w:r>
              <w:rPr>
                <w:rFonts w:hint="eastAsia"/>
                <w:sz w:val="20"/>
                <w:szCs w:val="20"/>
              </w:rPr>
              <w:t>单</w:t>
            </w:r>
          </w:p>
          <w:p>
            <w:pPr>
              <w:jc w:val="center"/>
              <w:rPr>
                <w:sz w:val="20"/>
                <w:szCs w:val="20"/>
              </w:rPr>
            </w:pPr>
            <w:r>
              <w:rPr>
                <w:rFonts w:hint="eastAsia"/>
                <w:sz w:val="20"/>
                <w:szCs w:val="20"/>
              </w:rPr>
              <w:t>位</w:t>
            </w:r>
          </w:p>
        </w:tc>
        <w:tc>
          <w:tcPr>
            <w:tcW w:w="1717" w:type="dxa"/>
            <w:gridSpan w:val="2"/>
            <w:vAlign w:val="center"/>
          </w:tcPr>
          <w:p>
            <w:pPr>
              <w:jc w:val="center"/>
              <w:rPr>
                <w:sz w:val="20"/>
                <w:szCs w:val="20"/>
              </w:rPr>
            </w:pPr>
            <w:r>
              <w:rPr>
                <w:rFonts w:hint="eastAsia"/>
                <w:sz w:val="20"/>
                <w:szCs w:val="20"/>
              </w:rPr>
              <w:t>分包单位</w:t>
            </w:r>
          </w:p>
        </w:tc>
        <w:tc>
          <w:tcPr>
            <w:tcW w:w="5800" w:type="dxa"/>
            <w:gridSpan w:val="7"/>
            <w:vAlign w:val="center"/>
          </w:tcPr>
          <w:p>
            <w:pPr>
              <w:jc w:val="center"/>
              <w:rPr>
                <w:sz w:val="20"/>
                <w:szCs w:val="20"/>
              </w:rPr>
            </w:pPr>
            <w:r>
              <w:rPr>
                <w:rFonts w:hint="eastAsia"/>
                <w:sz w:val="20"/>
                <w:szCs w:val="20"/>
              </w:rPr>
              <w:t>项目经理：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vAlign w:val="center"/>
          </w:tcPr>
          <w:p>
            <w:pPr>
              <w:jc w:val="center"/>
              <w:rPr>
                <w:sz w:val="20"/>
                <w:szCs w:val="20"/>
              </w:rPr>
            </w:pPr>
          </w:p>
        </w:tc>
        <w:tc>
          <w:tcPr>
            <w:tcW w:w="1717" w:type="dxa"/>
            <w:gridSpan w:val="2"/>
            <w:vAlign w:val="center"/>
          </w:tcPr>
          <w:p>
            <w:pPr>
              <w:jc w:val="center"/>
              <w:rPr>
                <w:sz w:val="20"/>
                <w:szCs w:val="20"/>
              </w:rPr>
            </w:pPr>
            <w:r>
              <w:rPr>
                <w:rFonts w:hint="eastAsia"/>
                <w:sz w:val="20"/>
                <w:szCs w:val="20"/>
              </w:rPr>
              <w:t>施工单位</w:t>
            </w:r>
          </w:p>
        </w:tc>
        <w:tc>
          <w:tcPr>
            <w:tcW w:w="5800" w:type="dxa"/>
            <w:gridSpan w:val="7"/>
            <w:vAlign w:val="center"/>
          </w:tcPr>
          <w:p>
            <w:pPr>
              <w:jc w:val="center"/>
              <w:rPr>
                <w:sz w:val="20"/>
                <w:szCs w:val="20"/>
              </w:rPr>
            </w:pPr>
            <w:r>
              <w:rPr>
                <w:rFonts w:hint="eastAsia"/>
                <w:sz w:val="20"/>
                <w:szCs w:val="20"/>
              </w:rPr>
              <w:t>项目经理：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vAlign w:val="center"/>
          </w:tcPr>
          <w:p>
            <w:pPr>
              <w:jc w:val="center"/>
              <w:rPr>
                <w:sz w:val="20"/>
                <w:szCs w:val="20"/>
              </w:rPr>
            </w:pPr>
          </w:p>
        </w:tc>
        <w:tc>
          <w:tcPr>
            <w:tcW w:w="1717" w:type="dxa"/>
            <w:gridSpan w:val="2"/>
            <w:vAlign w:val="center"/>
          </w:tcPr>
          <w:p>
            <w:pPr>
              <w:jc w:val="center"/>
              <w:rPr>
                <w:sz w:val="20"/>
                <w:szCs w:val="20"/>
              </w:rPr>
            </w:pPr>
            <w:r>
              <w:rPr>
                <w:rFonts w:hint="eastAsia"/>
                <w:sz w:val="20"/>
                <w:szCs w:val="20"/>
              </w:rPr>
              <w:t>勘察单位</w:t>
            </w:r>
          </w:p>
        </w:tc>
        <w:tc>
          <w:tcPr>
            <w:tcW w:w="5800" w:type="dxa"/>
            <w:gridSpan w:val="7"/>
            <w:vAlign w:val="center"/>
          </w:tcPr>
          <w:p>
            <w:pPr>
              <w:jc w:val="center"/>
              <w:rPr>
                <w:sz w:val="20"/>
                <w:szCs w:val="20"/>
              </w:rPr>
            </w:pPr>
            <w:r>
              <w:rPr>
                <w:rFonts w:hint="eastAsia"/>
                <w:sz w:val="20"/>
                <w:szCs w:val="20"/>
              </w:rPr>
              <w:t>项目负责人：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vAlign w:val="center"/>
          </w:tcPr>
          <w:p>
            <w:pPr>
              <w:jc w:val="center"/>
              <w:rPr>
                <w:sz w:val="20"/>
                <w:szCs w:val="20"/>
              </w:rPr>
            </w:pPr>
          </w:p>
        </w:tc>
        <w:tc>
          <w:tcPr>
            <w:tcW w:w="1717" w:type="dxa"/>
            <w:gridSpan w:val="2"/>
            <w:vAlign w:val="center"/>
          </w:tcPr>
          <w:p>
            <w:pPr>
              <w:jc w:val="center"/>
              <w:rPr>
                <w:sz w:val="20"/>
                <w:szCs w:val="20"/>
              </w:rPr>
            </w:pPr>
            <w:r>
              <w:rPr>
                <w:rFonts w:hint="eastAsia"/>
                <w:sz w:val="20"/>
                <w:szCs w:val="20"/>
              </w:rPr>
              <w:t>设计单位</w:t>
            </w:r>
          </w:p>
        </w:tc>
        <w:tc>
          <w:tcPr>
            <w:tcW w:w="5800" w:type="dxa"/>
            <w:gridSpan w:val="7"/>
            <w:vAlign w:val="center"/>
          </w:tcPr>
          <w:p>
            <w:pPr>
              <w:jc w:val="center"/>
              <w:rPr>
                <w:sz w:val="20"/>
                <w:szCs w:val="20"/>
              </w:rPr>
            </w:pPr>
            <w:r>
              <w:rPr>
                <w:rFonts w:hint="eastAsia"/>
                <w:sz w:val="20"/>
                <w:szCs w:val="20"/>
              </w:rPr>
              <w:t>项目负责人：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0" w:type="dxa"/>
            <w:vMerge w:val="continue"/>
            <w:vAlign w:val="center"/>
          </w:tcPr>
          <w:p>
            <w:pPr>
              <w:jc w:val="center"/>
              <w:rPr>
                <w:sz w:val="20"/>
                <w:szCs w:val="20"/>
              </w:rPr>
            </w:pPr>
          </w:p>
        </w:tc>
        <w:tc>
          <w:tcPr>
            <w:tcW w:w="1717" w:type="dxa"/>
            <w:gridSpan w:val="2"/>
            <w:vAlign w:val="bottom"/>
          </w:tcPr>
          <w:p>
            <w:pPr>
              <w:jc w:val="center"/>
              <w:rPr>
                <w:sz w:val="20"/>
                <w:szCs w:val="20"/>
              </w:rPr>
            </w:pPr>
            <w:r>
              <w:rPr>
                <w:rFonts w:hint="eastAsia"/>
                <w:sz w:val="20"/>
                <w:szCs w:val="20"/>
              </w:rPr>
              <w:t>监理（建设）</w:t>
            </w:r>
          </w:p>
          <w:p>
            <w:pPr>
              <w:jc w:val="center"/>
              <w:rPr>
                <w:sz w:val="20"/>
                <w:szCs w:val="20"/>
              </w:rPr>
            </w:pPr>
            <w:r>
              <w:rPr>
                <w:rFonts w:hint="eastAsia"/>
                <w:sz w:val="20"/>
                <w:szCs w:val="20"/>
              </w:rPr>
              <w:t>单位</w:t>
            </w:r>
          </w:p>
        </w:tc>
        <w:tc>
          <w:tcPr>
            <w:tcW w:w="5800" w:type="dxa"/>
            <w:gridSpan w:val="7"/>
            <w:vAlign w:val="bottom"/>
          </w:tcPr>
          <w:p>
            <w:pPr>
              <w:jc w:val="center"/>
              <w:rPr>
                <w:sz w:val="20"/>
                <w:szCs w:val="20"/>
              </w:rPr>
            </w:pPr>
            <w:r>
              <w:rPr>
                <w:rFonts w:hint="eastAsia"/>
                <w:sz w:val="20"/>
                <w:szCs w:val="20"/>
              </w:rPr>
              <w:t>总监理工程师</w:t>
            </w:r>
          </w:p>
          <w:p>
            <w:pPr>
              <w:jc w:val="center"/>
              <w:rPr>
                <w:sz w:val="20"/>
                <w:szCs w:val="20"/>
              </w:rPr>
            </w:pPr>
            <w:r>
              <w:rPr>
                <w:rFonts w:hint="eastAsia"/>
                <w:sz w:val="20"/>
                <w:szCs w:val="20"/>
              </w:rPr>
              <w:t>（建设单位项目专业技术负责人）：</w:t>
            </w:r>
          </w:p>
          <w:p>
            <w:pPr>
              <w:jc w:val="center"/>
              <w:rPr>
                <w:sz w:val="20"/>
                <w:szCs w:val="20"/>
              </w:rPr>
            </w:pPr>
            <w:r>
              <w:rPr>
                <w:rFonts w:hint="eastAsia"/>
                <w:sz w:val="20"/>
                <w:szCs w:val="20"/>
              </w:rPr>
              <w:t>年  月  日</w:t>
            </w:r>
          </w:p>
        </w:tc>
      </w:tr>
    </w:tbl>
    <w:p>
      <w:pPr>
        <w:spacing w:before="156" w:beforeLines="50" w:after="156" w:afterLines="50"/>
        <w:jc w:val="center"/>
        <w:outlineLvl w:val="0"/>
        <w:rPr>
          <w:sz w:val="32"/>
          <w:szCs w:val="20"/>
        </w:rPr>
      </w:pPr>
      <w:r>
        <w:rPr>
          <w:rFonts w:hint="eastAsia"/>
          <w:sz w:val="32"/>
          <w:szCs w:val="20"/>
        </w:rPr>
        <w:br w:type="page"/>
      </w:r>
      <w:bookmarkStart w:id="171" w:name="_Toc11093"/>
      <w:bookmarkStart w:id="172" w:name="_Toc2667"/>
      <w:r>
        <w:rPr>
          <w:rFonts w:hint="eastAsia"/>
          <w:sz w:val="32"/>
          <w:szCs w:val="20"/>
        </w:rPr>
        <w:t>本规程用词说明</w:t>
      </w:r>
      <w:bookmarkEnd w:id="171"/>
      <w:bookmarkEnd w:id="172"/>
    </w:p>
    <w:p>
      <w:pPr>
        <w:spacing w:line="440" w:lineRule="exact"/>
        <w:ind w:firstLine="482" w:firstLineChars="200"/>
        <w:rPr>
          <w:sz w:val="24"/>
        </w:rPr>
      </w:pPr>
      <w:r>
        <w:rPr>
          <w:rFonts w:hint="eastAsia"/>
          <w:b/>
          <w:bCs/>
          <w:sz w:val="24"/>
        </w:rPr>
        <w:t>1</w:t>
      </w:r>
      <w:r>
        <w:rPr>
          <w:rFonts w:hint="eastAsia"/>
          <w:sz w:val="24"/>
        </w:rPr>
        <w:t xml:space="preserve">  为便于在执行本规程条文时区别对待，对于要求严格程度不同的用词说明如下：</w:t>
      </w:r>
    </w:p>
    <w:p>
      <w:pPr>
        <w:spacing w:line="440" w:lineRule="exact"/>
        <w:ind w:firstLine="482" w:firstLineChars="200"/>
        <w:rPr>
          <w:sz w:val="24"/>
        </w:rPr>
      </w:pPr>
      <w:r>
        <w:rPr>
          <w:rFonts w:hint="eastAsia"/>
          <w:b/>
          <w:bCs/>
          <w:sz w:val="24"/>
        </w:rPr>
        <w:t>1）</w:t>
      </w:r>
      <w:r>
        <w:rPr>
          <w:rFonts w:hint="eastAsia"/>
          <w:sz w:val="24"/>
        </w:rPr>
        <w:t>表示很严格，非这样做不可的：</w:t>
      </w:r>
    </w:p>
    <w:p>
      <w:pPr>
        <w:spacing w:line="440" w:lineRule="exact"/>
        <w:ind w:firstLine="480" w:firstLineChars="200"/>
        <w:rPr>
          <w:sz w:val="24"/>
        </w:rPr>
      </w:pPr>
      <w:r>
        <w:rPr>
          <w:rFonts w:hint="eastAsia"/>
          <w:sz w:val="24"/>
        </w:rPr>
        <w:t>正面词采用“必须”；反面词采用“严禁”。</w:t>
      </w:r>
    </w:p>
    <w:p>
      <w:pPr>
        <w:spacing w:line="440" w:lineRule="exact"/>
        <w:ind w:firstLine="482" w:firstLineChars="200"/>
        <w:rPr>
          <w:sz w:val="24"/>
        </w:rPr>
      </w:pPr>
      <w:r>
        <w:rPr>
          <w:rFonts w:hint="eastAsia"/>
          <w:b/>
          <w:bCs/>
          <w:sz w:val="24"/>
        </w:rPr>
        <w:t>2）</w:t>
      </w:r>
      <w:r>
        <w:rPr>
          <w:rFonts w:hint="eastAsia"/>
          <w:sz w:val="24"/>
        </w:rPr>
        <w:t>表示严格，在正常情况下均应这样做的：</w:t>
      </w:r>
    </w:p>
    <w:p>
      <w:pPr>
        <w:spacing w:line="440" w:lineRule="exact"/>
        <w:ind w:firstLine="480" w:firstLineChars="200"/>
        <w:rPr>
          <w:sz w:val="24"/>
        </w:rPr>
      </w:pPr>
      <w:r>
        <w:rPr>
          <w:rFonts w:hint="eastAsia"/>
          <w:sz w:val="24"/>
        </w:rPr>
        <w:t>正面词采用“应”；反面词采用“不应”或“不得”。</w:t>
      </w:r>
    </w:p>
    <w:p>
      <w:pPr>
        <w:spacing w:line="440" w:lineRule="exact"/>
        <w:ind w:firstLine="482" w:firstLineChars="200"/>
        <w:rPr>
          <w:sz w:val="24"/>
        </w:rPr>
      </w:pPr>
      <w:r>
        <w:rPr>
          <w:rFonts w:hint="eastAsia"/>
          <w:b/>
          <w:bCs/>
          <w:sz w:val="24"/>
        </w:rPr>
        <w:t>3）</w:t>
      </w:r>
      <w:r>
        <w:rPr>
          <w:rFonts w:hint="eastAsia"/>
          <w:sz w:val="24"/>
        </w:rPr>
        <w:t>表示允许稍有选择，在条件许可时首先应这样做的：</w:t>
      </w:r>
    </w:p>
    <w:p>
      <w:pPr>
        <w:spacing w:line="440" w:lineRule="exact"/>
        <w:ind w:firstLine="480" w:firstLineChars="200"/>
        <w:rPr>
          <w:sz w:val="24"/>
        </w:rPr>
      </w:pPr>
      <w:r>
        <w:rPr>
          <w:rFonts w:hint="eastAsia"/>
          <w:sz w:val="24"/>
        </w:rPr>
        <w:t>正面词采用“宜”；反面词采用“不宜”。</w:t>
      </w:r>
    </w:p>
    <w:p>
      <w:pPr>
        <w:spacing w:line="440" w:lineRule="exact"/>
        <w:ind w:firstLine="482" w:firstLineChars="200"/>
        <w:rPr>
          <w:sz w:val="24"/>
        </w:rPr>
      </w:pPr>
      <w:r>
        <w:rPr>
          <w:rFonts w:hint="eastAsia"/>
          <w:b/>
          <w:bCs/>
          <w:sz w:val="24"/>
        </w:rPr>
        <w:t>4）</w:t>
      </w:r>
      <w:r>
        <w:rPr>
          <w:rFonts w:hint="eastAsia"/>
          <w:sz w:val="24"/>
        </w:rPr>
        <w:t>表示有选择，在一定条件下可以这样做的，采用“可”。</w:t>
      </w:r>
    </w:p>
    <w:p>
      <w:pPr>
        <w:spacing w:line="440" w:lineRule="exact"/>
        <w:ind w:firstLine="482" w:firstLineChars="200"/>
        <w:rPr>
          <w:sz w:val="24"/>
        </w:rPr>
      </w:pPr>
      <w:r>
        <w:rPr>
          <w:rFonts w:hint="eastAsia"/>
          <w:b/>
          <w:bCs/>
          <w:sz w:val="24"/>
        </w:rPr>
        <w:t>2</w:t>
      </w:r>
      <w:r>
        <w:rPr>
          <w:rFonts w:hint="eastAsia"/>
          <w:sz w:val="24"/>
        </w:rPr>
        <w:t xml:space="preserve">  条文中指明应按其他有关标准、规范执行的写法为“应符合……的规定”或“应按……执行”。</w:t>
      </w:r>
    </w:p>
    <w:p>
      <w:r>
        <w:rPr>
          <w:rFonts w:hint="eastAsia"/>
        </w:rPr>
        <w:br w:type="page"/>
      </w:r>
    </w:p>
    <w:p>
      <w:pPr>
        <w:spacing w:before="156" w:beforeLines="50" w:after="156" w:afterLines="50"/>
        <w:jc w:val="center"/>
        <w:outlineLvl w:val="0"/>
        <w:rPr>
          <w:sz w:val="32"/>
          <w:szCs w:val="20"/>
        </w:rPr>
      </w:pPr>
      <w:bookmarkStart w:id="173" w:name="_Toc31638"/>
      <w:bookmarkStart w:id="174" w:name="_Toc30291"/>
      <w:r>
        <w:rPr>
          <w:rFonts w:hint="eastAsia"/>
          <w:sz w:val="32"/>
          <w:szCs w:val="20"/>
        </w:rPr>
        <w:t>引用标准目录</w:t>
      </w:r>
      <w:bookmarkEnd w:id="173"/>
      <w:bookmarkEnd w:id="174"/>
    </w:p>
    <w:p>
      <w:pPr>
        <w:pStyle w:val="2"/>
        <w:spacing w:after="0" w:line="360" w:lineRule="auto"/>
        <w:ind w:left="0" w:leftChars="0" w:firstLine="0" w:firstLineChars="0"/>
      </w:pPr>
      <w:r>
        <w:rPr>
          <w:rFonts w:hint="eastAsia"/>
          <w:sz w:val="24"/>
        </w:rPr>
        <w:t>1</w:t>
      </w:r>
      <w:r>
        <w:rPr>
          <w:sz w:val="24"/>
        </w:rPr>
        <w:t xml:space="preserve">  《钢结构设计规范》GB 50017</w:t>
      </w:r>
    </w:p>
    <w:p>
      <w:pPr>
        <w:spacing w:line="360" w:lineRule="auto"/>
        <w:rPr>
          <w:sz w:val="24"/>
        </w:rPr>
      </w:pPr>
      <w:r>
        <w:rPr>
          <w:rFonts w:hint="eastAsia"/>
          <w:sz w:val="24"/>
        </w:rPr>
        <w:t>2</w:t>
      </w:r>
      <w:r>
        <w:rPr>
          <w:sz w:val="24"/>
        </w:rPr>
        <w:t xml:space="preserve">  </w:t>
      </w:r>
      <w:r>
        <w:rPr>
          <w:rFonts w:hint="eastAsia"/>
          <w:sz w:val="24"/>
        </w:rPr>
        <w:t>《工程测量标准》GB50026</w:t>
      </w:r>
    </w:p>
    <w:p>
      <w:pPr>
        <w:spacing w:line="360" w:lineRule="auto"/>
        <w:rPr>
          <w:sz w:val="24"/>
        </w:rPr>
      </w:pPr>
      <w:r>
        <w:rPr>
          <w:sz w:val="24"/>
        </w:rPr>
        <w:t>3  《岩土锚杆与喷射混凝土支护工程技术规范》GB 50086</w:t>
      </w:r>
    </w:p>
    <w:p>
      <w:pPr>
        <w:spacing w:line="360" w:lineRule="auto"/>
        <w:rPr>
          <w:sz w:val="24"/>
        </w:rPr>
      </w:pPr>
      <w:r>
        <w:rPr>
          <w:sz w:val="24"/>
        </w:rPr>
        <w:t xml:space="preserve">4  </w:t>
      </w:r>
      <w:r>
        <w:rPr>
          <w:rFonts w:hint="eastAsia"/>
          <w:sz w:val="24"/>
        </w:rPr>
        <w:t>《建筑地基基础工程施工质量验收规范》 GB50202</w:t>
      </w:r>
    </w:p>
    <w:p>
      <w:pPr>
        <w:spacing w:line="360" w:lineRule="auto"/>
        <w:rPr>
          <w:sz w:val="24"/>
        </w:rPr>
      </w:pPr>
      <w:r>
        <w:rPr>
          <w:sz w:val="24"/>
        </w:rPr>
        <w:t xml:space="preserve">5  </w:t>
      </w:r>
      <w:r>
        <w:rPr>
          <w:rFonts w:hint="eastAsia"/>
          <w:sz w:val="24"/>
        </w:rPr>
        <w:t>《钢结构工程施工质量验收规范》 GB 50205</w:t>
      </w:r>
    </w:p>
    <w:p>
      <w:pPr>
        <w:pStyle w:val="2"/>
        <w:spacing w:after="0" w:line="360" w:lineRule="auto"/>
        <w:ind w:left="0" w:leftChars="0" w:firstLine="0" w:firstLineChars="0"/>
        <w:rPr>
          <w:sz w:val="24"/>
        </w:rPr>
      </w:pPr>
      <w:r>
        <w:rPr>
          <w:sz w:val="24"/>
        </w:rPr>
        <w:t xml:space="preserve">6  </w:t>
      </w:r>
      <w:r>
        <w:rPr>
          <w:rFonts w:hint="eastAsia"/>
          <w:sz w:val="24"/>
        </w:rPr>
        <w:t>《给水排水管道工程施工及验收规范》 GB 50268</w:t>
      </w:r>
    </w:p>
    <w:p>
      <w:pPr>
        <w:spacing w:line="360" w:lineRule="auto"/>
        <w:rPr>
          <w:sz w:val="24"/>
        </w:rPr>
      </w:pPr>
      <w:r>
        <w:rPr>
          <w:sz w:val="24"/>
        </w:rPr>
        <w:t xml:space="preserve">7  </w:t>
      </w:r>
      <w:r>
        <w:rPr>
          <w:rFonts w:hint="eastAsia"/>
          <w:sz w:val="24"/>
        </w:rPr>
        <w:t>《建筑工程施工质量验收统一标准》 GB 50300</w:t>
      </w:r>
    </w:p>
    <w:p>
      <w:pPr>
        <w:pStyle w:val="2"/>
        <w:spacing w:after="0" w:line="360" w:lineRule="auto"/>
        <w:ind w:left="0" w:leftChars="0" w:firstLine="0" w:firstLineChars="0"/>
        <w:rPr>
          <w:sz w:val="24"/>
        </w:rPr>
      </w:pPr>
      <w:r>
        <w:rPr>
          <w:sz w:val="24"/>
        </w:rPr>
        <w:t xml:space="preserve">8  </w:t>
      </w:r>
      <w:r>
        <w:rPr>
          <w:rFonts w:hint="eastAsia"/>
          <w:sz w:val="24"/>
        </w:rPr>
        <w:t>《城市轨道交通工程测量规范》GB/T 50308</w:t>
      </w:r>
    </w:p>
    <w:p>
      <w:pPr>
        <w:pStyle w:val="2"/>
        <w:spacing w:after="0" w:line="360" w:lineRule="auto"/>
        <w:ind w:left="0" w:leftChars="0" w:firstLine="0" w:firstLineChars="0"/>
        <w:rPr>
          <w:sz w:val="24"/>
        </w:rPr>
      </w:pPr>
      <w:r>
        <w:rPr>
          <w:sz w:val="24"/>
        </w:rPr>
        <w:t xml:space="preserve">9  </w:t>
      </w:r>
      <w:r>
        <w:rPr>
          <w:rFonts w:hint="eastAsia"/>
          <w:sz w:val="24"/>
        </w:rPr>
        <w:t>《建筑基坑工程监测技术规范》GB50497</w:t>
      </w:r>
    </w:p>
    <w:p>
      <w:pPr>
        <w:pStyle w:val="2"/>
        <w:spacing w:after="0" w:line="360" w:lineRule="auto"/>
        <w:ind w:left="0" w:leftChars="0" w:firstLine="0" w:firstLineChars="0"/>
        <w:rPr>
          <w:sz w:val="24"/>
        </w:rPr>
      </w:pPr>
      <w:r>
        <w:rPr>
          <w:sz w:val="24"/>
        </w:rPr>
        <w:t xml:space="preserve">10  </w:t>
      </w:r>
      <w:r>
        <w:rPr>
          <w:rFonts w:hint="eastAsia"/>
          <w:sz w:val="24"/>
        </w:rPr>
        <w:t>《钢结构焊接规范》GB50661</w:t>
      </w:r>
    </w:p>
    <w:p>
      <w:pPr>
        <w:pStyle w:val="2"/>
        <w:spacing w:after="0" w:line="360" w:lineRule="auto"/>
        <w:ind w:left="0" w:leftChars="0" w:firstLine="0" w:firstLineChars="0"/>
        <w:rPr>
          <w:sz w:val="24"/>
        </w:rPr>
      </w:pPr>
      <w:r>
        <w:rPr>
          <w:sz w:val="24"/>
        </w:rPr>
        <w:t xml:space="preserve">11  </w:t>
      </w:r>
      <w:r>
        <w:rPr>
          <w:rFonts w:hint="eastAsia"/>
          <w:sz w:val="24"/>
        </w:rPr>
        <w:t>《城市轨道交通工程监测技术规范》GB50911</w:t>
      </w:r>
    </w:p>
    <w:p>
      <w:pPr>
        <w:spacing w:line="360" w:lineRule="auto"/>
        <w:rPr>
          <w:sz w:val="24"/>
        </w:rPr>
      </w:pPr>
      <w:r>
        <w:rPr>
          <w:sz w:val="24"/>
        </w:rPr>
        <w:t xml:space="preserve">12  </w:t>
      </w:r>
      <w:r>
        <w:rPr>
          <w:rFonts w:hint="eastAsia"/>
          <w:sz w:val="24"/>
        </w:rPr>
        <w:t>《工程测量通用规范》GB 55018</w:t>
      </w:r>
    </w:p>
    <w:p>
      <w:pPr>
        <w:pStyle w:val="2"/>
        <w:spacing w:after="0" w:line="360" w:lineRule="auto"/>
        <w:ind w:left="0" w:leftChars="0" w:firstLine="0" w:firstLineChars="0"/>
      </w:pPr>
      <w:r>
        <w:rPr>
          <w:rFonts w:hint="eastAsia"/>
          <w:sz w:val="24"/>
        </w:rPr>
        <w:t>1</w:t>
      </w:r>
      <w:r>
        <w:rPr>
          <w:sz w:val="24"/>
        </w:rPr>
        <w:t>3  《碳素结构钢》GB/T700</w:t>
      </w:r>
    </w:p>
    <w:p>
      <w:pPr>
        <w:pStyle w:val="2"/>
        <w:spacing w:after="0" w:line="360" w:lineRule="auto"/>
        <w:ind w:left="0" w:leftChars="0" w:firstLine="0" w:firstLineChars="0"/>
        <w:rPr>
          <w:sz w:val="24"/>
        </w:rPr>
      </w:pPr>
      <w:r>
        <w:rPr>
          <w:sz w:val="24"/>
        </w:rPr>
        <w:t xml:space="preserve">14  </w:t>
      </w:r>
      <w:r>
        <w:rPr>
          <w:rFonts w:hint="eastAsia"/>
          <w:sz w:val="24"/>
        </w:rPr>
        <w:t>《热轧型钢》GB/T706</w:t>
      </w:r>
    </w:p>
    <w:p>
      <w:pPr>
        <w:pStyle w:val="2"/>
        <w:spacing w:after="0" w:line="360" w:lineRule="auto"/>
        <w:ind w:left="0" w:leftChars="0" w:firstLine="0" w:firstLineChars="0"/>
        <w:rPr>
          <w:sz w:val="24"/>
        </w:rPr>
      </w:pPr>
      <w:r>
        <w:rPr>
          <w:rFonts w:hint="eastAsia"/>
          <w:sz w:val="24"/>
        </w:rPr>
        <w:t>1</w:t>
      </w:r>
      <w:r>
        <w:rPr>
          <w:sz w:val="24"/>
        </w:rPr>
        <w:t xml:space="preserve">5  </w:t>
      </w:r>
      <w:r>
        <w:rPr>
          <w:rFonts w:hint="eastAsia"/>
          <w:sz w:val="24"/>
        </w:rPr>
        <w:t>《气焊、焊条电弧焊、气体保护焊和高能束焊的推荐坡口》GB/T985.1</w:t>
      </w:r>
    </w:p>
    <w:p>
      <w:pPr>
        <w:pStyle w:val="2"/>
        <w:spacing w:after="0" w:line="360" w:lineRule="auto"/>
        <w:ind w:left="0" w:leftChars="0" w:firstLine="0" w:firstLineChars="0"/>
        <w:rPr>
          <w:sz w:val="24"/>
        </w:rPr>
      </w:pPr>
      <w:r>
        <w:rPr>
          <w:sz w:val="24"/>
        </w:rPr>
        <w:t xml:space="preserve">16  </w:t>
      </w:r>
      <w:r>
        <w:rPr>
          <w:rFonts w:hint="eastAsia"/>
          <w:sz w:val="24"/>
        </w:rPr>
        <w:t>《钢筋混凝土用钢》GB1499</w:t>
      </w:r>
    </w:p>
    <w:p>
      <w:pPr>
        <w:spacing w:line="360" w:lineRule="auto"/>
        <w:rPr>
          <w:sz w:val="24"/>
        </w:rPr>
      </w:pPr>
      <w:r>
        <w:rPr>
          <w:sz w:val="24"/>
        </w:rPr>
        <w:t>17  《钢筋混凝土用钢</w:t>
      </w:r>
      <w:r>
        <w:rPr>
          <w:rFonts w:hint="eastAsia"/>
          <w:sz w:val="24"/>
        </w:rPr>
        <w:t xml:space="preserve"> 第2部分：热轧带肋钢筋</w:t>
      </w:r>
      <w:r>
        <w:rPr>
          <w:sz w:val="24"/>
        </w:rPr>
        <w:t>》GB/T1499.2</w:t>
      </w:r>
    </w:p>
    <w:p>
      <w:pPr>
        <w:pStyle w:val="2"/>
        <w:spacing w:after="0" w:line="360" w:lineRule="auto"/>
        <w:ind w:left="0" w:leftChars="0" w:firstLine="0" w:firstLineChars="0"/>
        <w:rPr>
          <w:sz w:val="24"/>
        </w:rPr>
      </w:pPr>
      <w:r>
        <w:rPr>
          <w:sz w:val="24"/>
        </w:rPr>
        <w:t>18  《碳钢焊条》GB/T5117</w:t>
      </w:r>
    </w:p>
    <w:p>
      <w:pPr>
        <w:pStyle w:val="2"/>
        <w:spacing w:after="0" w:line="360" w:lineRule="auto"/>
        <w:ind w:left="0" w:leftChars="0" w:firstLine="0" w:firstLineChars="0"/>
        <w:rPr>
          <w:sz w:val="24"/>
        </w:rPr>
      </w:pPr>
      <w:r>
        <w:rPr>
          <w:rFonts w:hint="eastAsia"/>
          <w:sz w:val="24"/>
        </w:rPr>
        <w:t>1</w:t>
      </w:r>
      <w:r>
        <w:rPr>
          <w:sz w:val="24"/>
        </w:rPr>
        <w:t xml:space="preserve">9  《低合金钢焊条》GB/T 5118 </w:t>
      </w:r>
    </w:p>
    <w:p>
      <w:pPr>
        <w:pStyle w:val="2"/>
        <w:spacing w:after="0" w:line="360" w:lineRule="auto"/>
        <w:ind w:left="0" w:leftChars="0" w:firstLine="0" w:firstLineChars="0"/>
        <w:rPr>
          <w:sz w:val="24"/>
        </w:rPr>
      </w:pPr>
      <w:r>
        <w:rPr>
          <w:sz w:val="24"/>
        </w:rPr>
        <w:t xml:space="preserve">20  《气体保护电弧焊用碳钢、低合金钢焊丝》GB/T 8110 </w:t>
      </w:r>
    </w:p>
    <w:p>
      <w:pPr>
        <w:pStyle w:val="2"/>
        <w:spacing w:after="0" w:line="360" w:lineRule="auto"/>
        <w:ind w:left="0" w:leftChars="0" w:firstLine="0" w:firstLineChars="0"/>
        <w:rPr>
          <w:sz w:val="24"/>
        </w:rPr>
      </w:pPr>
      <w:r>
        <w:rPr>
          <w:sz w:val="24"/>
        </w:rPr>
        <w:t xml:space="preserve">21  </w:t>
      </w:r>
      <w:r>
        <w:rPr>
          <w:rFonts w:hint="eastAsia"/>
          <w:sz w:val="24"/>
        </w:rPr>
        <w:t>《结构用无缝钢管》GB/T8162</w:t>
      </w:r>
    </w:p>
    <w:p>
      <w:pPr>
        <w:spacing w:line="360" w:lineRule="auto"/>
        <w:rPr>
          <w:sz w:val="24"/>
        </w:rPr>
      </w:pPr>
      <w:r>
        <w:rPr>
          <w:sz w:val="24"/>
        </w:rPr>
        <w:t xml:space="preserve">22  </w:t>
      </w:r>
      <w:r>
        <w:rPr>
          <w:rFonts w:hint="eastAsia"/>
          <w:sz w:val="24"/>
        </w:rPr>
        <w:t>《</w:t>
      </w:r>
      <w:r>
        <w:rPr>
          <w:rFonts w:hint="eastAsia" w:ascii="Arial" w:hAnsi="Arial" w:cs="Arial"/>
          <w:kern w:val="36"/>
          <w:sz w:val="24"/>
        </w:rPr>
        <w:t>无缝钢管尺寸、外形、重量及允许偏差</w:t>
      </w:r>
      <w:r>
        <w:rPr>
          <w:rFonts w:hint="eastAsia"/>
          <w:sz w:val="24"/>
        </w:rPr>
        <w:t>》GBT17395</w:t>
      </w:r>
    </w:p>
    <w:p>
      <w:pPr>
        <w:pStyle w:val="2"/>
        <w:spacing w:after="0" w:line="360" w:lineRule="auto"/>
        <w:ind w:left="0" w:leftChars="0" w:firstLine="0" w:firstLineChars="0"/>
      </w:pPr>
      <w:r>
        <w:rPr>
          <w:sz w:val="24"/>
        </w:rPr>
        <w:t xml:space="preserve">23  </w:t>
      </w:r>
      <w:r>
        <w:rPr>
          <w:rFonts w:hint="eastAsia"/>
          <w:sz w:val="24"/>
        </w:rPr>
        <w:t>《结构用直缝埋弧焊接钢管》GB/T30063</w:t>
      </w:r>
    </w:p>
    <w:p>
      <w:pPr>
        <w:pStyle w:val="2"/>
        <w:spacing w:after="0" w:line="360" w:lineRule="auto"/>
        <w:ind w:left="0" w:leftChars="0" w:firstLine="0" w:firstLineChars="0"/>
        <w:rPr>
          <w:sz w:val="24"/>
        </w:rPr>
      </w:pPr>
      <w:r>
        <w:rPr>
          <w:rFonts w:hint="eastAsia"/>
          <w:sz w:val="24"/>
        </w:rPr>
        <w:t>2</w:t>
      </w:r>
      <w:r>
        <w:rPr>
          <w:sz w:val="24"/>
        </w:rPr>
        <w:t xml:space="preserve">4  </w:t>
      </w:r>
      <w:r>
        <w:rPr>
          <w:rFonts w:hint="eastAsia"/>
          <w:sz w:val="24"/>
        </w:rPr>
        <w:t>《钢筋焊接及验收规程》JGJ18</w:t>
      </w:r>
    </w:p>
    <w:p>
      <w:pPr>
        <w:pStyle w:val="2"/>
        <w:spacing w:after="0" w:line="360" w:lineRule="auto"/>
        <w:ind w:left="0" w:leftChars="0" w:firstLine="0" w:firstLineChars="0"/>
        <w:rPr>
          <w:sz w:val="24"/>
        </w:rPr>
      </w:pPr>
      <w:r>
        <w:rPr>
          <w:sz w:val="24"/>
        </w:rPr>
        <w:t xml:space="preserve">25  </w:t>
      </w:r>
      <w:r>
        <w:rPr>
          <w:rFonts w:hint="eastAsia"/>
          <w:sz w:val="24"/>
        </w:rPr>
        <w:t>《钢筋机械连接技术规程》JGJ107</w:t>
      </w:r>
    </w:p>
    <w:p>
      <w:pPr>
        <w:pStyle w:val="2"/>
        <w:spacing w:after="0" w:line="360" w:lineRule="auto"/>
        <w:ind w:left="0" w:leftChars="0" w:firstLine="0" w:firstLineChars="0"/>
      </w:pPr>
      <w:r>
        <w:rPr>
          <w:sz w:val="24"/>
        </w:rPr>
        <w:t xml:space="preserve">26  </w:t>
      </w:r>
      <w:r>
        <w:rPr>
          <w:rFonts w:hint="eastAsia"/>
          <w:sz w:val="24"/>
        </w:rPr>
        <w:t>《建筑施工起重吊装工程安全技术规范》JGJ276</w:t>
      </w:r>
    </w:p>
    <w:p>
      <w:pPr>
        <w:pStyle w:val="2"/>
        <w:ind w:firstLine="480"/>
        <w:rPr>
          <w:sz w:val="24"/>
        </w:rPr>
      </w:pPr>
    </w:p>
    <w:p>
      <w:pPr>
        <w:rPr>
          <w:rFonts w:ascii="黑体" w:eastAsia="黑体"/>
          <w:sz w:val="44"/>
        </w:rPr>
      </w:pPr>
    </w:p>
    <w:p>
      <w:pPr>
        <w:pStyle w:val="2"/>
      </w:pPr>
    </w:p>
    <w:p>
      <w:pPr>
        <w:jc w:val="center"/>
        <w:rPr>
          <w:rFonts w:ascii="黑体" w:eastAsia="黑体"/>
          <w:sz w:val="44"/>
        </w:rPr>
      </w:pPr>
      <w:r>
        <w:rPr>
          <w:rFonts w:hint="eastAsia" w:ascii="黑体" w:eastAsia="黑体"/>
          <w:sz w:val="44"/>
        </w:rPr>
        <w:t>中国建筑业协会团体标准</w:t>
      </w:r>
    </w:p>
    <w:p>
      <w:pPr>
        <w:jc w:val="center"/>
        <w:rPr>
          <w:rFonts w:ascii="宋体" w:hAnsi="宋体"/>
        </w:rPr>
      </w:pPr>
    </w:p>
    <w:p>
      <w:pPr>
        <w:jc w:val="center"/>
        <w:rPr>
          <w:rFonts w:ascii="宋体" w:hAnsi="宋体"/>
        </w:rPr>
      </w:pPr>
    </w:p>
    <w:p>
      <w:pPr>
        <w:jc w:val="center"/>
        <w:rPr>
          <w:rFonts w:ascii="黑体" w:eastAsia="黑体"/>
          <w:sz w:val="48"/>
        </w:rPr>
      </w:pPr>
      <w:r>
        <w:rPr>
          <w:rFonts w:hint="eastAsia" w:ascii="黑体" w:eastAsia="黑体"/>
          <w:sz w:val="48"/>
        </w:rPr>
        <w:t>管幕法施工技术规程</w:t>
      </w:r>
    </w:p>
    <w:p>
      <w:pPr>
        <w:jc w:val="center"/>
        <w:rPr>
          <w:rFonts w:eastAsia="黑体"/>
          <w:sz w:val="28"/>
        </w:rPr>
      </w:pPr>
      <w:r>
        <w:rPr>
          <w:rFonts w:hint="eastAsia" w:eastAsia="黑体"/>
          <w:sz w:val="28"/>
        </w:rPr>
        <w:t>Technical code for construction of pipe-curtain method</w:t>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ascii="宋体"/>
          <w:sz w:val="32"/>
        </w:rPr>
      </w:pPr>
      <w:r>
        <w:rPr>
          <w:rFonts w:hint="eastAsia" w:ascii="宋体"/>
          <w:sz w:val="32"/>
        </w:rPr>
        <w:t>条文说明</w:t>
      </w:r>
    </w:p>
    <w:p>
      <w:pPr>
        <w:jc w:val="center"/>
        <w:rPr>
          <w:rFonts w:ascii="宋体" w:hAnsi="宋体"/>
          <w:b/>
          <w:bCs/>
        </w:rPr>
      </w:pPr>
    </w:p>
    <w:p>
      <w:pPr>
        <w:spacing w:line="360" w:lineRule="auto"/>
        <w:jc w:val="center"/>
        <w:rPr>
          <w:rFonts w:ascii="宋体" w:hAnsi="宋体"/>
          <w:b/>
          <w:bCs/>
        </w:rPr>
      </w:pPr>
      <w:r>
        <w:rPr>
          <w:rFonts w:ascii="宋体" w:hAnsi="宋体"/>
          <w:b/>
          <w:bCs/>
        </w:rPr>
        <w:br w:type="page"/>
      </w:r>
    </w:p>
    <w:p>
      <w:pPr>
        <w:spacing w:before="156" w:beforeLines="50" w:after="156" w:afterLines="50"/>
        <w:jc w:val="center"/>
        <w:outlineLvl w:val="0"/>
        <w:rPr>
          <w:rFonts w:ascii="宋体" w:hAnsi="宋体"/>
          <w:sz w:val="28"/>
        </w:rPr>
      </w:pPr>
      <w:bookmarkStart w:id="175" w:name="_Toc18189"/>
      <w:bookmarkStart w:id="176" w:name="_Toc20543"/>
      <w:r>
        <w:rPr>
          <w:rFonts w:hint="eastAsia"/>
          <w:sz w:val="32"/>
          <w:szCs w:val="20"/>
        </w:rPr>
        <w:t>目    次</w:t>
      </w:r>
      <w:bookmarkEnd w:id="175"/>
      <w:bookmarkEnd w:id="176"/>
    </w:p>
    <w:p>
      <w:pPr>
        <w:pStyle w:val="14"/>
        <w:tabs>
          <w:tab w:val="right" w:leader="dot" w:pos="8312"/>
        </w:tabs>
      </w:pPr>
      <w:r>
        <w:rPr>
          <w:rFonts w:hint="eastAsia" w:ascii="宋体" w:hAnsi="宋体"/>
        </w:rPr>
        <w:fldChar w:fldCharType="begin"/>
      </w:r>
      <w:r>
        <w:rPr>
          <w:rFonts w:hint="eastAsia" w:ascii="宋体" w:hAnsi="宋体"/>
        </w:rPr>
        <w:instrText xml:space="preserve">TOC \o "1-2" \u </w:instrText>
      </w:r>
      <w:r>
        <w:rPr>
          <w:rFonts w:hint="eastAsia" w:ascii="宋体" w:hAnsi="宋体"/>
        </w:rPr>
        <w:fldChar w:fldCharType="separate"/>
      </w:r>
      <w:r>
        <w:rPr>
          <w:rFonts w:hint="eastAsia"/>
          <w:szCs w:val="20"/>
        </w:rPr>
        <w:t>1</w:t>
      </w:r>
      <w:r>
        <w:rPr>
          <w:szCs w:val="20"/>
        </w:rPr>
        <w:t xml:space="preserve">  </w:t>
      </w:r>
      <w:r>
        <w:rPr>
          <w:rFonts w:hint="eastAsia"/>
          <w:szCs w:val="20"/>
        </w:rPr>
        <w:t>总</w:t>
      </w:r>
      <w:r>
        <w:rPr>
          <w:rFonts w:hint="eastAsia"/>
          <w:szCs w:val="20"/>
          <w:lang w:val="en-US" w:eastAsia="zh-CN"/>
        </w:rPr>
        <w:t xml:space="preserve">  </w:t>
      </w:r>
      <w:r>
        <w:rPr>
          <w:rFonts w:hint="eastAsia"/>
          <w:szCs w:val="20"/>
        </w:rPr>
        <w:t>则</w:t>
      </w:r>
      <w:r>
        <w:tab/>
      </w:r>
      <w:r>
        <w:fldChar w:fldCharType="begin"/>
      </w:r>
      <w:r>
        <w:instrText xml:space="preserve"> PAGEREF _Toc29179 \h </w:instrText>
      </w:r>
      <w:r>
        <w:fldChar w:fldCharType="separate"/>
      </w:r>
      <w:r>
        <w:t>61</w:t>
      </w:r>
      <w:r>
        <w:fldChar w:fldCharType="end"/>
      </w:r>
    </w:p>
    <w:p>
      <w:pPr>
        <w:pStyle w:val="14"/>
        <w:tabs>
          <w:tab w:val="right" w:leader="dot" w:pos="8312"/>
        </w:tabs>
      </w:pPr>
      <w:r>
        <w:rPr>
          <w:szCs w:val="20"/>
        </w:rPr>
        <w:t xml:space="preserve">2  </w:t>
      </w:r>
      <w:r>
        <w:rPr>
          <w:rFonts w:hint="eastAsia"/>
          <w:szCs w:val="20"/>
        </w:rPr>
        <w:t>术</w:t>
      </w:r>
      <w:r>
        <w:rPr>
          <w:rFonts w:hint="eastAsia"/>
          <w:szCs w:val="20"/>
          <w:lang w:val="en-US" w:eastAsia="zh-CN"/>
        </w:rPr>
        <w:t xml:space="preserve">  </w:t>
      </w:r>
      <w:r>
        <w:rPr>
          <w:rFonts w:hint="eastAsia"/>
          <w:szCs w:val="20"/>
        </w:rPr>
        <w:t>语</w:t>
      </w:r>
      <w:r>
        <w:tab/>
      </w:r>
      <w:r>
        <w:fldChar w:fldCharType="begin"/>
      </w:r>
      <w:r>
        <w:instrText xml:space="preserve"> PAGEREF _Toc9489 \h </w:instrText>
      </w:r>
      <w:r>
        <w:fldChar w:fldCharType="separate"/>
      </w:r>
      <w:r>
        <w:t>62</w:t>
      </w:r>
      <w:r>
        <w:fldChar w:fldCharType="end"/>
      </w:r>
    </w:p>
    <w:p>
      <w:pPr>
        <w:pStyle w:val="14"/>
        <w:tabs>
          <w:tab w:val="right" w:leader="dot" w:pos="8312"/>
        </w:tabs>
      </w:pPr>
      <w:r>
        <w:rPr>
          <w:rFonts w:hint="eastAsia"/>
          <w:szCs w:val="20"/>
        </w:rPr>
        <w:t>3</w:t>
      </w:r>
      <w:r>
        <w:rPr>
          <w:szCs w:val="20"/>
        </w:rPr>
        <w:t xml:space="preserve">  </w:t>
      </w:r>
      <w:r>
        <w:rPr>
          <w:rFonts w:hint="eastAsia"/>
          <w:szCs w:val="20"/>
        </w:rPr>
        <w:t>基</w:t>
      </w:r>
      <w:r>
        <w:rPr>
          <w:rFonts w:hint="eastAsia"/>
          <w:szCs w:val="20"/>
          <w:lang w:val="en-US" w:eastAsia="zh-CN"/>
        </w:rPr>
        <w:t xml:space="preserve"> </w:t>
      </w:r>
      <w:r>
        <w:rPr>
          <w:rFonts w:hint="eastAsia"/>
          <w:szCs w:val="20"/>
        </w:rPr>
        <w:t>本</w:t>
      </w:r>
      <w:r>
        <w:rPr>
          <w:rFonts w:hint="eastAsia"/>
          <w:szCs w:val="20"/>
          <w:lang w:val="en-US" w:eastAsia="zh-CN"/>
        </w:rPr>
        <w:t xml:space="preserve"> </w:t>
      </w:r>
      <w:r>
        <w:rPr>
          <w:rFonts w:hint="eastAsia"/>
          <w:szCs w:val="20"/>
        </w:rPr>
        <w:t>规</w:t>
      </w:r>
      <w:r>
        <w:rPr>
          <w:rFonts w:hint="eastAsia"/>
          <w:szCs w:val="20"/>
          <w:lang w:val="en-US" w:eastAsia="zh-CN"/>
        </w:rPr>
        <w:t xml:space="preserve"> </w:t>
      </w:r>
      <w:r>
        <w:rPr>
          <w:rFonts w:hint="eastAsia"/>
          <w:szCs w:val="20"/>
        </w:rPr>
        <w:t>定</w:t>
      </w:r>
      <w:r>
        <w:tab/>
      </w:r>
      <w:r>
        <w:fldChar w:fldCharType="begin"/>
      </w:r>
      <w:r>
        <w:instrText xml:space="preserve"> PAGEREF _Toc7328 \h </w:instrText>
      </w:r>
      <w:r>
        <w:fldChar w:fldCharType="separate"/>
      </w:r>
      <w:r>
        <w:t>63</w:t>
      </w:r>
      <w:r>
        <w:fldChar w:fldCharType="end"/>
      </w:r>
    </w:p>
    <w:p>
      <w:pPr>
        <w:pStyle w:val="14"/>
        <w:tabs>
          <w:tab w:val="right" w:leader="dot" w:pos="8312"/>
        </w:tabs>
      </w:pPr>
      <w:r>
        <w:rPr>
          <w:szCs w:val="20"/>
        </w:rPr>
        <w:t xml:space="preserve">4  </w:t>
      </w:r>
      <w:r>
        <w:rPr>
          <w:rFonts w:hint="eastAsia"/>
          <w:szCs w:val="20"/>
        </w:rPr>
        <w:t>管</w:t>
      </w:r>
      <w:r>
        <w:rPr>
          <w:rFonts w:hint="eastAsia"/>
          <w:szCs w:val="20"/>
          <w:lang w:val="en-US" w:eastAsia="zh-CN"/>
        </w:rPr>
        <w:t xml:space="preserve"> </w:t>
      </w:r>
      <w:r>
        <w:rPr>
          <w:rFonts w:hint="eastAsia"/>
          <w:szCs w:val="20"/>
        </w:rPr>
        <w:t>幕</w:t>
      </w:r>
      <w:r>
        <w:rPr>
          <w:rFonts w:hint="eastAsia"/>
          <w:szCs w:val="20"/>
          <w:lang w:val="en-US" w:eastAsia="zh-CN"/>
        </w:rPr>
        <w:t xml:space="preserve"> </w:t>
      </w:r>
      <w:r>
        <w:rPr>
          <w:rFonts w:hint="eastAsia"/>
          <w:szCs w:val="20"/>
        </w:rPr>
        <w:t>设</w:t>
      </w:r>
      <w:r>
        <w:rPr>
          <w:rFonts w:hint="eastAsia"/>
          <w:szCs w:val="20"/>
          <w:lang w:val="en-US" w:eastAsia="zh-CN"/>
        </w:rPr>
        <w:t xml:space="preserve"> </w:t>
      </w:r>
      <w:r>
        <w:rPr>
          <w:rFonts w:hint="eastAsia"/>
          <w:szCs w:val="20"/>
        </w:rPr>
        <w:t>计</w:t>
      </w:r>
      <w:r>
        <w:tab/>
      </w:r>
      <w:r>
        <w:fldChar w:fldCharType="begin"/>
      </w:r>
      <w:r>
        <w:instrText xml:space="preserve"> PAGEREF _Toc13938 \h </w:instrText>
      </w:r>
      <w:r>
        <w:fldChar w:fldCharType="separate"/>
      </w:r>
      <w:r>
        <w:t>64</w:t>
      </w:r>
      <w:r>
        <w:fldChar w:fldCharType="end"/>
      </w:r>
    </w:p>
    <w:p>
      <w:pPr>
        <w:pStyle w:val="15"/>
        <w:tabs>
          <w:tab w:val="right" w:leader="dot" w:pos="8312"/>
        </w:tabs>
      </w:pPr>
      <w:r>
        <w:rPr>
          <w:rFonts w:eastAsia="黑体"/>
        </w:rPr>
        <w:t>4.4  管幕布置与连接</w:t>
      </w:r>
      <w:r>
        <w:tab/>
      </w:r>
      <w:r>
        <w:fldChar w:fldCharType="begin"/>
      </w:r>
      <w:r>
        <w:instrText xml:space="preserve"> PAGEREF _Toc3755 \h </w:instrText>
      </w:r>
      <w:r>
        <w:fldChar w:fldCharType="separate"/>
      </w:r>
      <w:r>
        <w:t>64</w:t>
      </w:r>
      <w:r>
        <w:fldChar w:fldCharType="end"/>
      </w:r>
    </w:p>
    <w:p>
      <w:pPr>
        <w:pStyle w:val="15"/>
        <w:tabs>
          <w:tab w:val="right" w:leader="dot" w:pos="8312"/>
        </w:tabs>
      </w:pPr>
      <w:r>
        <w:rPr>
          <w:rFonts w:eastAsia="黑体"/>
        </w:rPr>
        <w:t>4.5  管内骨架与填充</w:t>
      </w:r>
      <w:r>
        <w:tab/>
      </w:r>
      <w:r>
        <w:fldChar w:fldCharType="begin"/>
      </w:r>
      <w:r>
        <w:instrText xml:space="preserve"> PAGEREF _Toc24419 \h </w:instrText>
      </w:r>
      <w:r>
        <w:fldChar w:fldCharType="separate"/>
      </w:r>
      <w:r>
        <w:t>64</w:t>
      </w:r>
      <w:r>
        <w:fldChar w:fldCharType="end"/>
      </w:r>
    </w:p>
    <w:p>
      <w:pPr>
        <w:pStyle w:val="15"/>
        <w:tabs>
          <w:tab w:val="right" w:leader="dot" w:pos="8312"/>
        </w:tabs>
      </w:pPr>
      <w:r>
        <w:rPr>
          <w:rFonts w:eastAsia="黑体"/>
        </w:rPr>
        <w:t>4.7  后背墙设计</w:t>
      </w:r>
      <w:r>
        <w:tab/>
      </w:r>
      <w:r>
        <w:fldChar w:fldCharType="begin"/>
      </w:r>
      <w:r>
        <w:instrText xml:space="preserve"> PAGEREF _Toc16841 \h </w:instrText>
      </w:r>
      <w:r>
        <w:fldChar w:fldCharType="separate"/>
      </w:r>
      <w:r>
        <w:t>64</w:t>
      </w:r>
      <w:r>
        <w:fldChar w:fldCharType="end"/>
      </w:r>
    </w:p>
    <w:p>
      <w:pPr>
        <w:pStyle w:val="14"/>
        <w:tabs>
          <w:tab w:val="right" w:leader="dot" w:pos="8312"/>
        </w:tabs>
      </w:pPr>
      <w:r>
        <w:rPr>
          <w:rFonts w:hint="eastAsia"/>
          <w:szCs w:val="20"/>
        </w:rPr>
        <w:t>5  施 工 准 备</w:t>
      </w:r>
      <w:r>
        <w:tab/>
      </w:r>
      <w:r>
        <w:fldChar w:fldCharType="begin"/>
      </w:r>
      <w:r>
        <w:instrText xml:space="preserve"> PAGEREF _Toc15065 \h </w:instrText>
      </w:r>
      <w:r>
        <w:fldChar w:fldCharType="separate"/>
      </w:r>
      <w:r>
        <w:t>65</w:t>
      </w:r>
      <w:r>
        <w:fldChar w:fldCharType="end"/>
      </w:r>
    </w:p>
    <w:p>
      <w:pPr>
        <w:pStyle w:val="15"/>
        <w:tabs>
          <w:tab w:val="right" w:leader="dot" w:pos="8312"/>
        </w:tabs>
      </w:pPr>
      <w:r>
        <w:rPr>
          <w:rFonts w:hint="eastAsia" w:eastAsia="黑体"/>
        </w:rPr>
        <w:t>5.1  一 般 规 定</w:t>
      </w:r>
      <w:r>
        <w:tab/>
      </w:r>
      <w:r>
        <w:fldChar w:fldCharType="begin"/>
      </w:r>
      <w:r>
        <w:instrText xml:space="preserve"> PAGEREF _Toc21775 \h </w:instrText>
      </w:r>
      <w:r>
        <w:fldChar w:fldCharType="separate"/>
      </w:r>
      <w:r>
        <w:t>65</w:t>
      </w:r>
      <w:r>
        <w:fldChar w:fldCharType="end"/>
      </w:r>
    </w:p>
    <w:p>
      <w:pPr>
        <w:pStyle w:val="15"/>
        <w:tabs>
          <w:tab w:val="right" w:leader="dot" w:pos="8312"/>
        </w:tabs>
      </w:pPr>
      <w:r>
        <w:rPr>
          <w:rFonts w:hint="eastAsia" w:eastAsia="黑体"/>
        </w:rPr>
        <w:t>5.</w:t>
      </w:r>
      <w:r>
        <w:rPr>
          <w:rFonts w:eastAsia="黑体"/>
        </w:rPr>
        <w:t>2</w:t>
      </w:r>
      <w:r>
        <w:rPr>
          <w:rFonts w:hint="eastAsia" w:eastAsia="黑体"/>
        </w:rPr>
        <w:t xml:space="preserve"> 技 术 准 备</w:t>
      </w:r>
      <w:r>
        <w:tab/>
      </w:r>
      <w:r>
        <w:fldChar w:fldCharType="begin"/>
      </w:r>
      <w:r>
        <w:instrText xml:space="preserve"> PAGEREF _Toc943 \h </w:instrText>
      </w:r>
      <w:r>
        <w:fldChar w:fldCharType="separate"/>
      </w:r>
      <w:r>
        <w:t>65</w:t>
      </w:r>
      <w:r>
        <w:fldChar w:fldCharType="end"/>
      </w:r>
    </w:p>
    <w:p>
      <w:pPr>
        <w:pStyle w:val="15"/>
        <w:tabs>
          <w:tab w:val="right" w:leader="dot" w:pos="8312"/>
        </w:tabs>
      </w:pPr>
      <w:r>
        <w:rPr>
          <w:rFonts w:hint="eastAsia" w:eastAsia="黑体"/>
        </w:rPr>
        <w:t>5.</w:t>
      </w:r>
      <w:r>
        <w:rPr>
          <w:rFonts w:eastAsia="黑体"/>
        </w:rPr>
        <w:t>3</w:t>
      </w:r>
      <w:r>
        <w:rPr>
          <w:rFonts w:hint="eastAsia" w:eastAsia="黑体"/>
        </w:rPr>
        <w:t xml:space="preserve">  设备选型与配置</w:t>
      </w:r>
      <w:r>
        <w:tab/>
      </w:r>
      <w:r>
        <w:fldChar w:fldCharType="begin"/>
      </w:r>
      <w:r>
        <w:instrText xml:space="preserve"> PAGEREF _Toc6073 \h </w:instrText>
      </w:r>
      <w:r>
        <w:fldChar w:fldCharType="separate"/>
      </w:r>
      <w:r>
        <w:t>66</w:t>
      </w:r>
      <w:r>
        <w:fldChar w:fldCharType="end"/>
      </w:r>
    </w:p>
    <w:p>
      <w:pPr>
        <w:pStyle w:val="15"/>
        <w:tabs>
          <w:tab w:val="right" w:leader="dot" w:pos="8312"/>
        </w:tabs>
      </w:pPr>
      <w:r>
        <w:rPr>
          <w:rFonts w:hint="eastAsia" w:eastAsia="黑体"/>
        </w:rPr>
        <w:t>5.</w:t>
      </w:r>
      <w:r>
        <w:rPr>
          <w:rFonts w:eastAsia="黑体"/>
        </w:rPr>
        <w:t>4</w:t>
      </w:r>
      <w:r>
        <w:rPr>
          <w:rFonts w:hint="eastAsia" w:eastAsia="黑体"/>
        </w:rPr>
        <w:t xml:space="preserve">  辅 助 设 施</w:t>
      </w:r>
      <w:r>
        <w:tab/>
      </w:r>
      <w:r>
        <w:fldChar w:fldCharType="begin"/>
      </w:r>
      <w:r>
        <w:instrText xml:space="preserve"> PAGEREF _Toc29901 \h </w:instrText>
      </w:r>
      <w:r>
        <w:fldChar w:fldCharType="separate"/>
      </w:r>
      <w:r>
        <w:t>67</w:t>
      </w:r>
      <w:r>
        <w:fldChar w:fldCharType="end"/>
      </w:r>
    </w:p>
    <w:p>
      <w:pPr>
        <w:pStyle w:val="15"/>
        <w:tabs>
          <w:tab w:val="right" w:leader="dot" w:pos="8312"/>
        </w:tabs>
      </w:pPr>
      <w:r>
        <w:rPr>
          <w:rFonts w:hint="eastAsia" w:eastAsia="黑体"/>
        </w:rPr>
        <w:t>5.</w:t>
      </w:r>
      <w:r>
        <w:rPr>
          <w:rFonts w:eastAsia="黑体"/>
        </w:rPr>
        <w:t>5</w:t>
      </w:r>
      <w:r>
        <w:rPr>
          <w:rFonts w:hint="eastAsia" w:eastAsia="黑体"/>
        </w:rPr>
        <w:t xml:space="preserve">  工作井与洞室施工</w:t>
      </w:r>
      <w:r>
        <w:tab/>
      </w:r>
      <w:r>
        <w:fldChar w:fldCharType="begin"/>
      </w:r>
      <w:r>
        <w:instrText xml:space="preserve"> PAGEREF _Toc26408 \h </w:instrText>
      </w:r>
      <w:r>
        <w:fldChar w:fldCharType="separate"/>
      </w:r>
      <w:r>
        <w:t>67</w:t>
      </w:r>
      <w:r>
        <w:fldChar w:fldCharType="end"/>
      </w:r>
    </w:p>
    <w:p>
      <w:pPr>
        <w:pStyle w:val="14"/>
        <w:tabs>
          <w:tab w:val="right" w:leader="dot" w:pos="8312"/>
        </w:tabs>
      </w:pPr>
      <w:r>
        <w:rPr>
          <w:rFonts w:hint="eastAsia"/>
          <w:szCs w:val="20"/>
        </w:rPr>
        <w:t>6  管幕钢管及附件制作</w:t>
      </w:r>
      <w:r>
        <w:tab/>
      </w:r>
      <w:r>
        <w:fldChar w:fldCharType="begin"/>
      </w:r>
      <w:r>
        <w:instrText xml:space="preserve"> PAGEREF _Toc13254 \h </w:instrText>
      </w:r>
      <w:r>
        <w:fldChar w:fldCharType="separate"/>
      </w:r>
      <w:r>
        <w:t>69</w:t>
      </w:r>
      <w:r>
        <w:fldChar w:fldCharType="end"/>
      </w:r>
    </w:p>
    <w:p>
      <w:pPr>
        <w:pStyle w:val="15"/>
        <w:tabs>
          <w:tab w:val="right" w:leader="dot" w:pos="8312"/>
        </w:tabs>
      </w:pPr>
      <w:r>
        <w:rPr>
          <w:rFonts w:hint="eastAsia" w:eastAsia="黑体"/>
        </w:rPr>
        <w:t>6.1  一 般 规 定</w:t>
      </w:r>
      <w:r>
        <w:tab/>
      </w:r>
      <w:r>
        <w:fldChar w:fldCharType="begin"/>
      </w:r>
      <w:r>
        <w:instrText xml:space="preserve"> PAGEREF _Toc24973 \h </w:instrText>
      </w:r>
      <w:r>
        <w:fldChar w:fldCharType="separate"/>
      </w:r>
      <w:r>
        <w:t>69</w:t>
      </w:r>
      <w:r>
        <w:fldChar w:fldCharType="end"/>
      </w:r>
    </w:p>
    <w:p>
      <w:pPr>
        <w:pStyle w:val="15"/>
        <w:tabs>
          <w:tab w:val="right" w:leader="dot" w:pos="8312"/>
        </w:tabs>
      </w:pPr>
      <w:r>
        <w:rPr>
          <w:rFonts w:hint="eastAsia" w:eastAsia="黑体"/>
        </w:rPr>
        <w:t>6.2  钢</w:t>
      </w:r>
      <w:r>
        <w:rPr>
          <w:rFonts w:hint="eastAsia" w:eastAsia="黑体"/>
          <w:lang w:val="en-US" w:eastAsia="zh-CN"/>
        </w:rPr>
        <w:t xml:space="preserve"> </w:t>
      </w:r>
      <w:r>
        <w:rPr>
          <w:rFonts w:hint="eastAsia" w:eastAsia="黑体"/>
        </w:rPr>
        <w:t>管</w:t>
      </w:r>
      <w:r>
        <w:rPr>
          <w:rFonts w:hint="eastAsia" w:eastAsia="黑体"/>
          <w:lang w:val="en-US" w:eastAsia="zh-CN"/>
        </w:rPr>
        <w:t xml:space="preserve"> </w:t>
      </w:r>
      <w:r>
        <w:rPr>
          <w:rFonts w:hint="eastAsia" w:eastAsia="黑体"/>
        </w:rPr>
        <w:t>制</w:t>
      </w:r>
      <w:r>
        <w:rPr>
          <w:rFonts w:hint="eastAsia" w:eastAsia="黑体"/>
          <w:lang w:val="en-US" w:eastAsia="zh-CN"/>
        </w:rPr>
        <w:t xml:space="preserve"> </w:t>
      </w:r>
      <w:r>
        <w:rPr>
          <w:rFonts w:hint="eastAsia" w:eastAsia="黑体"/>
        </w:rPr>
        <w:t>作</w:t>
      </w:r>
      <w:r>
        <w:tab/>
      </w:r>
      <w:r>
        <w:fldChar w:fldCharType="begin"/>
      </w:r>
      <w:r>
        <w:instrText xml:space="preserve"> PAGEREF _Toc24902 \h </w:instrText>
      </w:r>
      <w:r>
        <w:fldChar w:fldCharType="separate"/>
      </w:r>
      <w:r>
        <w:t>69</w:t>
      </w:r>
      <w:r>
        <w:fldChar w:fldCharType="end"/>
      </w:r>
    </w:p>
    <w:p>
      <w:pPr>
        <w:pStyle w:val="15"/>
        <w:tabs>
          <w:tab w:val="right" w:leader="dot" w:pos="8312"/>
        </w:tabs>
      </w:pPr>
      <w:r>
        <w:rPr>
          <w:rFonts w:hint="eastAsia" w:eastAsia="黑体"/>
        </w:rPr>
        <w:t>6.3  管幕钢管附件</w:t>
      </w:r>
      <w:r>
        <w:tab/>
      </w:r>
      <w:r>
        <w:fldChar w:fldCharType="begin"/>
      </w:r>
      <w:r>
        <w:instrText xml:space="preserve"> PAGEREF _Toc15134 \h </w:instrText>
      </w:r>
      <w:r>
        <w:fldChar w:fldCharType="separate"/>
      </w:r>
      <w:r>
        <w:t>69</w:t>
      </w:r>
      <w:r>
        <w:fldChar w:fldCharType="end"/>
      </w:r>
    </w:p>
    <w:p>
      <w:pPr>
        <w:pStyle w:val="15"/>
        <w:tabs>
          <w:tab w:val="right" w:leader="dot" w:pos="8312"/>
        </w:tabs>
      </w:pPr>
      <w:r>
        <w:rPr>
          <w:rFonts w:hint="eastAsia" w:eastAsia="黑体"/>
        </w:rPr>
        <w:t>6.4  管内骨架制作</w:t>
      </w:r>
      <w:r>
        <w:tab/>
      </w:r>
      <w:r>
        <w:fldChar w:fldCharType="begin"/>
      </w:r>
      <w:r>
        <w:instrText xml:space="preserve"> PAGEREF _Toc1536 \h </w:instrText>
      </w:r>
      <w:r>
        <w:fldChar w:fldCharType="separate"/>
      </w:r>
      <w:r>
        <w:t>69</w:t>
      </w:r>
      <w:r>
        <w:fldChar w:fldCharType="end"/>
      </w:r>
    </w:p>
    <w:p>
      <w:pPr>
        <w:pStyle w:val="14"/>
        <w:tabs>
          <w:tab w:val="right" w:leader="dot" w:pos="8312"/>
        </w:tabs>
      </w:pPr>
      <w:r>
        <w:rPr>
          <w:rFonts w:hint="eastAsia"/>
          <w:szCs w:val="20"/>
        </w:rPr>
        <w:t>7  管幕钢管顶进施工</w:t>
      </w:r>
      <w:r>
        <w:tab/>
      </w:r>
      <w:r>
        <w:fldChar w:fldCharType="begin"/>
      </w:r>
      <w:r>
        <w:instrText xml:space="preserve"> PAGEREF _Toc12748 \h </w:instrText>
      </w:r>
      <w:r>
        <w:fldChar w:fldCharType="separate"/>
      </w:r>
      <w:r>
        <w:t>70</w:t>
      </w:r>
      <w:r>
        <w:fldChar w:fldCharType="end"/>
      </w:r>
    </w:p>
    <w:p>
      <w:pPr>
        <w:pStyle w:val="15"/>
        <w:tabs>
          <w:tab w:val="right" w:leader="dot" w:pos="8312"/>
        </w:tabs>
      </w:pPr>
      <w:r>
        <w:rPr>
          <w:rFonts w:hint="eastAsia" w:eastAsia="黑体"/>
        </w:rPr>
        <w:t>7.1  一 般 规 定</w:t>
      </w:r>
      <w:r>
        <w:tab/>
      </w:r>
      <w:r>
        <w:fldChar w:fldCharType="begin"/>
      </w:r>
      <w:r>
        <w:instrText xml:space="preserve"> PAGEREF _Toc2046 \h </w:instrText>
      </w:r>
      <w:r>
        <w:fldChar w:fldCharType="separate"/>
      </w:r>
      <w:r>
        <w:t>70</w:t>
      </w:r>
      <w:r>
        <w:fldChar w:fldCharType="end"/>
      </w:r>
    </w:p>
    <w:p>
      <w:pPr>
        <w:pStyle w:val="15"/>
        <w:tabs>
          <w:tab w:val="right" w:leader="dot" w:pos="8312"/>
        </w:tabs>
      </w:pPr>
      <w:r>
        <w:rPr>
          <w:rFonts w:hint="eastAsia" w:eastAsia="黑体"/>
        </w:rPr>
        <w:t>7.2  拉管法施工</w:t>
      </w:r>
      <w:r>
        <w:tab/>
      </w:r>
      <w:r>
        <w:fldChar w:fldCharType="begin"/>
      </w:r>
      <w:r>
        <w:instrText xml:space="preserve"> PAGEREF _Toc15316 \h </w:instrText>
      </w:r>
      <w:r>
        <w:fldChar w:fldCharType="separate"/>
      </w:r>
      <w:r>
        <w:t>70</w:t>
      </w:r>
      <w:r>
        <w:fldChar w:fldCharType="end"/>
      </w:r>
    </w:p>
    <w:p>
      <w:pPr>
        <w:pStyle w:val="15"/>
        <w:tabs>
          <w:tab w:val="right" w:leader="dot" w:pos="8312"/>
        </w:tabs>
      </w:pPr>
      <w:r>
        <w:rPr>
          <w:rFonts w:hint="eastAsia" w:eastAsia="黑体"/>
        </w:rPr>
        <w:t>7.3  夯管法施工</w:t>
      </w:r>
      <w:r>
        <w:tab/>
      </w:r>
      <w:r>
        <w:fldChar w:fldCharType="begin"/>
      </w:r>
      <w:r>
        <w:instrText xml:space="preserve"> PAGEREF _Toc29569 \h </w:instrText>
      </w:r>
      <w:r>
        <w:fldChar w:fldCharType="separate"/>
      </w:r>
      <w:r>
        <w:t>71</w:t>
      </w:r>
      <w:r>
        <w:fldChar w:fldCharType="end"/>
      </w:r>
    </w:p>
    <w:p>
      <w:pPr>
        <w:pStyle w:val="15"/>
        <w:tabs>
          <w:tab w:val="right" w:leader="dot" w:pos="8312"/>
        </w:tabs>
      </w:pPr>
      <w:r>
        <w:rPr>
          <w:rFonts w:hint="eastAsia" w:eastAsia="黑体"/>
        </w:rPr>
        <w:t>7.4  钻进顶管法施工</w:t>
      </w:r>
      <w:r>
        <w:tab/>
      </w:r>
      <w:r>
        <w:fldChar w:fldCharType="begin"/>
      </w:r>
      <w:r>
        <w:instrText xml:space="preserve"> PAGEREF _Toc12189 \h </w:instrText>
      </w:r>
      <w:r>
        <w:fldChar w:fldCharType="separate"/>
      </w:r>
      <w:r>
        <w:t>71</w:t>
      </w:r>
      <w:r>
        <w:fldChar w:fldCharType="end"/>
      </w:r>
    </w:p>
    <w:p>
      <w:pPr>
        <w:pStyle w:val="15"/>
        <w:tabs>
          <w:tab w:val="right" w:leader="dot" w:pos="8312"/>
        </w:tabs>
      </w:pPr>
      <w:r>
        <w:rPr>
          <w:rFonts w:hint="eastAsia" w:eastAsia="黑体"/>
        </w:rPr>
        <w:t>7.5  机械顶管法施工</w:t>
      </w:r>
      <w:r>
        <w:tab/>
      </w:r>
      <w:r>
        <w:fldChar w:fldCharType="begin"/>
      </w:r>
      <w:r>
        <w:instrText xml:space="preserve"> PAGEREF _Toc31699 \h </w:instrText>
      </w:r>
      <w:r>
        <w:fldChar w:fldCharType="separate"/>
      </w:r>
      <w:r>
        <w:t>72</w:t>
      </w:r>
      <w:r>
        <w:fldChar w:fldCharType="end"/>
      </w:r>
    </w:p>
    <w:p>
      <w:pPr>
        <w:pStyle w:val="15"/>
        <w:tabs>
          <w:tab w:val="right" w:leader="dot" w:pos="8312"/>
        </w:tabs>
      </w:pPr>
      <w:r>
        <w:rPr>
          <w:rFonts w:hint="eastAsia" w:eastAsia="黑体"/>
        </w:rPr>
        <w:t>7.6  管幕钢管连接</w:t>
      </w:r>
      <w:r>
        <w:tab/>
      </w:r>
      <w:r>
        <w:fldChar w:fldCharType="begin"/>
      </w:r>
      <w:r>
        <w:instrText xml:space="preserve"> PAGEREF _Toc22464 \h </w:instrText>
      </w:r>
      <w:r>
        <w:fldChar w:fldCharType="separate"/>
      </w:r>
      <w:r>
        <w:t>72</w:t>
      </w:r>
      <w:r>
        <w:fldChar w:fldCharType="end"/>
      </w:r>
    </w:p>
    <w:p>
      <w:pPr>
        <w:pStyle w:val="15"/>
        <w:tabs>
          <w:tab w:val="right" w:leader="dot" w:pos="8312"/>
        </w:tabs>
      </w:pPr>
      <w:r>
        <w:rPr>
          <w:rFonts w:hint="eastAsia" w:eastAsia="黑体"/>
        </w:rPr>
        <w:t>7.</w:t>
      </w:r>
      <w:r>
        <w:rPr>
          <w:rFonts w:eastAsia="黑体"/>
        </w:rPr>
        <w:t>7</w:t>
      </w:r>
      <w:r>
        <w:rPr>
          <w:rFonts w:hint="eastAsia" w:eastAsia="黑体"/>
        </w:rPr>
        <w:t xml:space="preserve">  施</w:t>
      </w:r>
      <w:r>
        <w:rPr>
          <w:rFonts w:hint="eastAsia" w:eastAsia="黑体"/>
          <w:lang w:val="en-US" w:eastAsia="zh-CN"/>
        </w:rPr>
        <w:t xml:space="preserve"> </w:t>
      </w:r>
      <w:r>
        <w:rPr>
          <w:rFonts w:hint="eastAsia" w:eastAsia="黑体"/>
        </w:rPr>
        <w:t>工</w:t>
      </w:r>
      <w:r>
        <w:rPr>
          <w:rFonts w:hint="eastAsia" w:eastAsia="黑体"/>
          <w:lang w:val="en-US" w:eastAsia="zh-CN"/>
        </w:rPr>
        <w:t xml:space="preserve"> </w:t>
      </w:r>
      <w:r>
        <w:rPr>
          <w:rFonts w:hint="eastAsia" w:eastAsia="黑体"/>
        </w:rPr>
        <w:t>测</w:t>
      </w:r>
      <w:r>
        <w:rPr>
          <w:rFonts w:hint="eastAsia" w:eastAsia="黑体"/>
          <w:lang w:val="en-US" w:eastAsia="zh-CN"/>
        </w:rPr>
        <w:t xml:space="preserve"> </w:t>
      </w:r>
      <w:r>
        <w:rPr>
          <w:rFonts w:hint="eastAsia" w:eastAsia="黑体"/>
        </w:rPr>
        <w:t>量</w:t>
      </w:r>
      <w:r>
        <w:tab/>
      </w:r>
      <w:r>
        <w:fldChar w:fldCharType="begin"/>
      </w:r>
      <w:r>
        <w:instrText xml:space="preserve"> PAGEREF _Toc31675 \h </w:instrText>
      </w:r>
      <w:r>
        <w:fldChar w:fldCharType="separate"/>
      </w:r>
      <w:r>
        <w:t>73</w:t>
      </w:r>
      <w:r>
        <w:fldChar w:fldCharType="end"/>
      </w:r>
    </w:p>
    <w:p>
      <w:pPr>
        <w:pStyle w:val="15"/>
        <w:tabs>
          <w:tab w:val="right" w:leader="dot" w:pos="8312"/>
        </w:tabs>
      </w:pPr>
      <w:r>
        <w:rPr>
          <w:rFonts w:hint="eastAsia" w:eastAsia="黑体"/>
        </w:rPr>
        <w:t>7.8  导向控制与纠偏</w:t>
      </w:r>
      <w:r>
        <w:tab/>
      </w:r>
      <w:r>
        <w:fldChar w:fldCharType="begin"/>
      </w:r>
      <w:r>
        <w:instrText xml:space="preserve"> PAGEREF _Toc15415 \h </w:instrText>
      </w:r>
      <w:r>
        <w:fldChar w:fldCharType="separate"/>
      </w:r>
      <w:r>
        <w:t>73</w:t>
      </w:r>
      <w:r>
        <w:fldChar w:fldCharType="end"/>
      </w:r>
    </w:p>
    <w:p>
      <w:pPr>
        <w:pStyle w:val="14"/>
        <w:tabs>
          <w:tab w:val="right" w:leader="dot" w:pos="8312"/>
        </w:tabs>
      </w:pPr>
      <w:r>
        <w:rPr>
          <w:rFonts w:hint="eastAsia"/>
          <w:szCs w:val="20"/>
        </w:rPr>
        <w:t>8.  管幕钢管填充</w:t>
      </w:r>
      <w:r>
        <w:tab/>
      </w:r>
      <w:r>
        <w:fldChar w:fldCharType="begin"/>
      </w:r>
      <w:r>
        <w:instrText xml:space="preserve"> PAGEREF _Toc29178 \h </w:instrText>
      </w:r>
      <w:r>
        <w:fldChar w:fldCharType="separate"/>
      </w:r>
      <w:r>
        <w:t>74</w:t>
      </w:r>
      <w:r>
        <w:fldChar w:fldCharType="end"/>
      </w:r>
    </w:p>
    <w:p>
      <w:pPr>
        <w:pStyle w:val="15"/>
        <w:tabs>
          <w:tab w:val="right" w:leader="dot" w:pos="8312"/>
        </w:tabs>
      </w:pPr>
      <w:r>
        <w:rPr>
          <w:rFonts w:hint="eastAsia" w:eastAsia="黑体"/>
        </w:rPr>
        <w:t>8.1  一 般 规 定</w:t>
      </w:r>
      <w:r>
        <w:tab/>
      </w:r>
      <w:r>
        <w:fldChar w:fldCharType="begin"/>
      </w:r>
      <w:r>
        <w:instrText xml:space="preserve"> PAGEREF _Toc8500 \h </w:instrText>
      </w:r>
      <w:r>
        <w:fldChar w:fldCharType="separate"/>
      </w:r>
      <w:r>
        <w:t>74</w:t>
      </w:r>
      <w:r>
        <w:fldChar w:fldCharType="end"/>
      </w:r>
    </w:p>
    <w:p>
      <w:pPr>
        <w:pStyle w:val="15"/>
        <w:tabs>
          <w:tab w:val="right" w:leader="dot" w:pos="8312"/>
        </w:tabs>
      </w:pPr>
      <w:r>
        <w:rPr>
          <w:rFonts w:hint="eastAsia" w:eastAsia="黑体"/>
        </w:rPr>
        <w:t>8.2  钢管内骨架制作及安装</w:t>
      </w:r>
      <w:r>
        <w:tab/>
      </w:r>
      <w:r>
        <w:fldChar w:fldCharType="begin"/>
      </w:r>
      <w:r>
        <w:instrText xml:space="preserve"> PAGEREF _Toc3224 \h </w:instrText>
      </w:r>
      <w:r>
        <w:fldChar w:fldCharType="separate"/>
      </w:r>
      <w:r>
        <w:t>74</w:t>
      </w:r>
      <w:r>
        <w:fldChar w:fldCharType="end"/>
      </w:r>
    </w:p>
    <w:p>
      <w:pPr>
        <w:pStyle w:val="15"/>
        <w:tabs>
          <w:tab w:val="right" w:leader="dot" w:pos="8312"/>
        </w:tabs>
      </w:pPr>
      <w:r>
        <w:rPr>
          <w:rFonts w:hint="eastAsia" w:eastAsia="黑体"/>
        </w:rPr>
        <w:t>8.3  管幕钢管填充</w:t>
      </w:r>
      <w:r>
        <w:tab/>
      </w:r>
      <w:r>
        <w:fldChar w:fldCharType="begin"/>
      </w:r>
      <w:r>
        <w:instrText xml:space="preserve"> PAGEREF _Toc12066 \h </w:instrText>
      </w:r>
      <w:r>
        <w:fldChar w:fldCharType="separate"/>
      </w:r>
      <w:r>
        <w:t>74</w:t>
      </w:r>
      <w:r>
        <w:fldChar w:fldCharType="end"/>
      </w:r>
    </w:p>
    <w:p>
      <w:pPr>
        <w:pStyle w:val="15"/>
        <w:tabs>
          <w:tab w:val="right" w:leader="dot" w:pos="8312"/>
        </w:tabs>
      </w:pPr>
      <w:r>
        <w:rPr>
          <w:rFonts w:hint="eastAsia" w:eastAsia="黑体"/>
        </w:rPr>
        <w:t>8.4  管幕钢管壁后注浆</w:t>
      </w:r>
      <w:r>
        <w:tab/>
      </w:r>
      <w:r>
        <w:fldChar w:fldCharType="begin"/>
      </w:r>
      <w:r>
        <w:instrText xml:space="preserve"> PAGEREF _Toc27026 \h </w:instrText>
      </w:r>
      <w:r>
        <w:fldChar w:fldCharType="separate"/>
      </w:r>
      <w:r>
        <w:t>74</w:t>
      </w:r>
      <w:r>
        <w:fldChar w:fldCharType="end"/>
      </w:r>
    </w:p>
    <w:p>
      <w:pPr>
        <w:pStyle w:val="14"/>
        <w:tabs>
          <w:tab w:val="right" w:leader="dot" w:pos="8312"/>
        </w:tabs>
      </w:pPr>
      <w:r>
        <w:rPr>
          <w:rFonts w:hint="eastAsia"/>
          <w:szCs w:val="20"/>
        </w:rPr>
        <w:t>9  施 工 监 测</w:t>
      </w:r>
      <w:r>
        <w:tab/>
      </w:r>
      <w:r>
        <w:fldChar w:fldCharType="begin"/>
      </w:r>
      <w:r>
        <w:instrText xml:space="preserve"> PAGEREF _Toc9097 \h </w:instrText>
      </w:r>
      <w:r>
        <w:fldChar w:fldCharType="separate"/>
      </w:r>
      <w:r>
        <w:t>75</w:t>
      </w:r>
      <w:r>
        <w:fldChar w:fldCharType="end"/>
      </w:r>
    </w:p>
    <w:p>
      <w:pPr>
        <w:pStyle w:val="15"/>
        <w:tabs>
          <w:tab w:val="right" w:leader="dot" w:pos="8312"/>
        </w:tabs>
      </w:pPr>
      <w:r>
        <w:rPr>
          <w:rFonts w:eastAsia="黑体"/>
        </w:rPr>
        <w:t>9.</w:t>
      </w:r>
      <w:r>
        <w:rPr>
          <w:rFonts w:hint="eastAsia" w:eastAsia="黑体"/>
        </w:rPr>
        <w:t>1  一 般 规 定</w:t>
      </w:r>
      <w:r>
        <w:tab/>
      </w:r>
      <w:r>
        <w:fldChar w:fldCharType="begin"/>
      </w:r>
      <w:r>
        <w:instrText xml:space="preserve"> PAGEREF _Toc2938 \h </w:instrText>
      </w:r>
      <w:r>
        <w:fldChar w:fldCharType="separate"/>
      </w:r>
      <w:r>
        <w:t>75</w:t>
      </w:r>
      <w:r>
        <w:fldChar w:fldCharType="end"/>
      </w:r>
    </w:p>
    <w:p>
      <w:pPr>
        <w:pStyle w:val="15"/>
        <w:tabs>
          <w:tab w:val="right" w:leader="dot" w:pos="8312"/>
        </w:tabs>
      </w:pPr>
      <w:r>
        <w:rPr>
          <w:rFonts w:hint="eastAsia" w:eastAsia="黑体"/>
        </w:rPr>
        <w:t>9.</w:t>
      </w:r>
      <w:r>
        <w:rPr>
          <w:rFonts w:eastAsia="黑体"/>
        </w:rPr>
        <w:t>5</w:t>
      </w:r>
      <w:r>
        <w:rPr>
          <w:rFonts w:hint="eastAsia" w:eastAsia="黑体"/>
        </w:rPr>
        <w:t xml:space="preserve">  数据处理与信息反馈</w:t>
      </w:r>
      <w:r>
        <w:tab/>
      </w:r>
      <w:r>
        <w:fldChar w:fldCharType="begin"/>
      </w:r>
      <w:r>
        <w:instrText xml:space="preserve"> PAGEREF _Toc23830 \h </w:instrText>
      </w:r>
      <w:r>
        <w:fldChar w:fldCharType="separate"/>
      </w:r>
      <w:r>
        <w:t>75</w:t>
      </w:r>
      <w:r>
        <w:fldChar w:fldCharType="end"/>
      </w:r>
    </w:p>
    <w:p>
      <w:pPr>
        <w:pStyle w:val="14"/>
        <w:tabs>
          <w:tab w:val="right" w:leader="dot" w:pos="8312"/>
        </w:tabs>
      </w:pPr>
      <w:r>
        <w:rPr>
          <w:rFonts w:hint="eastAsia"/>
          <w:szCs w:val="20"/>
        </w:rPr>
        <w:t>10  质</w:t>
      </w:r>
      <w:r>
        <w:rPr>
          <w:rFonts w:hint="eastAsia"/>
          <w:szCs w:val="20"/>
          <w:lang w:val="en-US" w:eastAsia="zh-CN"/>
        </w:rPr>
        <w:t xml:space="preserve"> </w:t>
      </w:r>
      <w:r>
        <w:rPr>
          <w:rFonts w:hint="eastAsia"/>
          <w:szCs w:val="20"/>
        </w:rPr>
        <w:t>量</w:t>
      </w:r>
      <w:r>
        <w:rPr>
          <w:rFonts w:hint="eastAsia"/>
          <w:szCs w:val="20"/>
          <w:lang w:val="en-US" w:eastAsia="zh-CN"/>
        </w:rPr>
        <w:t xml:space="preserve"> </w:t>
      </w:r>
      <w:r>
        <w:rPr>
          <w:rFonts w:hint="eastAsia"/>
          <w:szCs w:val="20"/>
        </w:rPr>
        <w:t>验</w:t>
      </w:r>
      <w:r>
        <w:rPr>
          <w:rFonts w:hint="eastAsia"/>
          <w:szCs w:val="20"/>
          <w:lang w:val="en-US" w:eastAsia="zh-CN"/>
        </w:rPr>
        <w:t xml:space="preserve"> </w:t>
      </w:r>
      <w:r>
        <w:rPr>
          <w:rFonts w:hint="eastAsia"/>
          <w:szCs w:val="20"/>
        </w:rPr>
        <w:t>收</w:t>
      </w:r>
      <w:r>
        <w:tab/>
      </w:r>
      <w:r>
        <w:fldChar w:fldCharType="begin"/>
      </w:r>
      <w:r>
        <w:instrText xml:space="preserve"> PAGEREF _Toc11047 \h </w:instrText>
      </w:r>
      <w:r>
        <w:fldChar w:fldCharType="separate"/>
      </w:r>
      <w:r>
        <w:t>77</w:t>
      </w:r>
      <w:r>
        <w:fldChar w:fldCharType="end"/>
      </w:r>
    </w:p>
    <w:p>
      <w:pPr>
        <w:pStyle w:val="15"/>
        <w:tabs>
          <w:tab w:val="right" w:leader="dot" w:pos="8312"/>
        </w:tabs>
      </w:pPr>
      <w:r>
        <w:rPr>
          <w:rFonts w:hint="eastAsia" w:eastAsia="黑体"/>
        </w:rPr>
        <w:t>10.3  管幕拉管法施工</w:t>
      </w:r>
      <w:r>
        <w:tab/>
      </w:r>
      <w:r>
        <w:fldChar w:fldCharType="begin"/>
      </w:r>
      <w:r>
        <w:instrText xml:space="preserve"> PAGEREF _Toc6836 \h </w:instrText>
      </w:r>
      <w:r>
        <w:fldChar w:fldCharType="separate"/>
      </w:r>
      <w:r>
        <w:t>77</w:t>
      </w:r>
      <w:r>
        <w:fldChar w:fldCharType="end"/>
      </w:r>
    </w:p>
    <w:p>
      <w:pPr>
        <w:pStyle w:val="15"/>
        <w:tabs>
          <w:tab w:val="right" w:leader="dot" w:pos="8312"/>
        </w:tabs>
      </w:pPr>
      <w:r>
        <w:rPr>
          <w:rFonts w:hint="eastAsia" w:eastAsia="黑体"/>
        </w:rPr>
        <w:t>10.4  管幕钢管夯管法施工</w:t>
      </w:r>
      <w:r>
        <w:tab/>
      </w:r>
      <w:r>
        <w:fldChar w:fldCharType="begin"/>
      </w:r>
      <w:r>
        <w:instrText xml:space="preserve"> PAGEREF _Toc6019 \h </w:instrText>
      </w:r>
      <w:r>
        <w:fldChar w:fldCharType="separate"/>
      </w:r>
      <w:r>
        <w:t>77</w:t>
      </w:r>
      <w:r>
        <w:fldChar w:fldCharType="end"/>
      </w:r>
    </w:p>
    <w:p>
      <w:pPr>
        <w:pStyle w:val="15"/>
        <w:tabs>
          <w:tab w:val="right" w:leader="dot" w:pos="8312"/>
        </w:tabs>
      </w:pPr>
      <w:r>
        <w:rPr>
          <w:rFonts w:hint="eastAsia" w:eastAsia="黑体"/>
        </w:rPr>
        <w:t>10.5  管幕钢管钻进顶管法施工</w:t>
      </w:r>
      <w:r>
        <w:tab/>
      </w:r>
      <w:r>
        <w:fldChar w:fldCharType="begin"/>
      </w:r>
      <w:r>
        <w:instrText xml:space="preserve"> PAGEREF _Toc29863 \h </w:instrText>
      </w:r>
      <w:r>
        <w:fldChar w:fldCharType="separate"/>
      </w:r>
      <w:r>
        <w:t>77</w:t>
      </w:r>
      <w:r>
        <w:fldChar w:fldCharType="end"/>
      </w:r>
    </w:p>
    <w:p>
      <w:pPr>
        <w:pStyle w:val="15"/>
        <w:tabs>
          <w:tab w:val="right" w:leader="dot" w:pos="8312"/>
        </w:tabs>
      </w:pPr>
      <w:r>
        <w:rPr>
          <w:rFonts w:hint="eastAsia" w:eastAsia="黑体"/>
        </w:rPr>
        <w:t>10.8  管幕钢管壁后注浆</w:t>
      </w:r>
      <w:r>
        <w:tab/>
      </w:r>
      <w:r>
        <w:fldChar w:fldCharType="begin"/>
      </w:r>
      <w:r>
        <w:instrText xml:space="preserve"> PAGEREF _Toc181 \h </w:instrText>
      </w:r>
      <w:r>
        <w:fldChar w:fldCharType="separate"/>
      </w:r>
      <w:r>
        <w:t>77</w:t>
      </w:r>
      <w:r>
        <w:fldChar w:fldCharType="end"/>
      </w:r>
    </w:p>
    <w:p>
      <w:pPr>
        <w:pStyle w:val="2"/>
        <w:rPr>
          <w:rFonts w:ascii="宋体" w:hAnsi="宋体"/>
        </w:rPr>
      </w:pPr>
      <w:r>
        <w:rPr>
          <w:rFonts w:hint="eastAsia" w:ascii="宋体" w:hAnsi="宋体"/>
        </w:rPr>
        <w:fldChar w:fldCharType="end"/>
      </w:r>
      <w:r>
        <w:rPr>
          <w:rFonts w:hint="eastAsia" w:ascii="宋体" w:hAnsi="宋体"/>
        </w:rPr>
        <w:br w:type="page"/>
      </w:r>
    </w:p>
    <w:p>
      <w:pPr>
        <w:spacing w:before="156" w:beforeLines="50" w:after="156" w:afterLines="50"/>
        <w:jc w:val="center"/>
        <w:outlineLvl w:val="0"/>
        <w:rPr>
          <w:sz w:val="32"/>
          <w:szCs w:val="20"/>
        </w:rPr>
      </w:pPr>
      <w:bookmarkStart w:id="177" w:name="_Toc29179"/>
      <w:bookmarkStart w:id="178" w:name="_Toc6706"/>
      <w:bookmarkStart w:id="179" w:name="_Toc8193"/>
      <w:bookmarkStart w:id="180" w:name="_Toc103257214"/>
      <w:r>
        <w:rPr>
          <w:rFonts w:hint="eastAsia"/>
          <w:sz w:val="32"/>
          <w:szCs w:val="20"/>
        </w:rPr>
        <w:t>1</w:t>
      </w:r>
      <w:r>
        <w:rPr>
          <w:sz w:val="32"/>
          <w:szCs w:val="20"/>
        </w:rPr>
        <w:t xml:space="preserve">  </w:t>
      </w:r>
      <w:r>
        <w:rPr>
          <w:rFonts w:hint="eastAsia"/>
          <w:sz w:val="32"/>
          <w:szCs w:val="20"/>
        </w:rPr>
        <w:t>总</w:t>
      </w:r>
      <w:r>
        <w:rPr>
          <w:rFonts w:hint="eastAsia"/>
          <w:sz w:val="32"/>
          <w:szCs w:val="20"/>
          <w:lang w:val="en-US" w:eastAsia="zh-CN"/>
        </w:rPr>
        <w:t xml:space="preserve">  </w:t>
      </w:r>
      <w:r>
        <w:rPr>
          <w:rFonts w:hint="eastAsia"/>
          <w:sz w:val="32"/>
          <w:szCs w:val="20"/>
        </w:rPr>
        <w:t>则</w:t>
      </w:r>
      <w:bookmarkEnd w:id="177"/>
      <w:bookmarkEnd w:id="178"/>
      <w:bookmarkEnd w:id="179"/>
    </w:p>
    <w:p>
      <w:pPr>
        <w:spacing w:line="440" w:lineRule="exact"/>
        <w:rPr>
          <w:sz w:val="24"/>
        </w:rPr>
      </w:pPr>
      <w:r>
        <w:rPr>
          <w:rFonts w:hint="eastAsia"/>
          <w:b/>
          <w:bCs/>
          <w:sz w:val="24"/>
        </w:rPr>
        <w:t>1.0.</w:t>
      </w:r>
      <w:r>
        <w:rPr>
          <w:b/>
          <w:bCs/>
          <w:sz w:val="24"/>
        </w:rPr>
        <w:t>3</w:t>
      </w:r>
      <w:r>
        <w:rPr>
          <w:rFonts w:hint="eastAsia"/>
          <w:sz w:val="24"/>
        </w:rPr>
        <w:t xml:space="preserve">  本规程规定了管幕法设计、施工、监测和验收的基本技术要求。本条说明当本规程与现行国家法律、行政法规和有关标准规定相抵触时，按现行国家法律、行政法规和有关标准的规定执行。</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156" w:beforeLines="50" w:after="156" w:afterLines="50"/>
        <w:jc w:val="center"/>
        <w:outlineLvl w:val="0"/>
        <w:rPr>
          <w:sz w:val="32"/>
          <w:szCs w:val="20"/>
        </w:rPr>
      </w:pPr>
      <w:bookmarkStart w:id="181" w:name="_Toc374"/>
      <w:bookmarkStart w:id="182" w:name="_Toc9489"/>
      <w:bookmarkStart w:id="183" w:name="_Toc9685"/>
      <w:r>
        <w:rPr>
          <w:sz w:val="32"/>
          <w:szCs w:val="20"/>
        </w:rPr>
        <w:t xml:space="preserve">2  </w:t>
      </w:r>
      <w:r>
        <w:rPr>
          <w:rFonts w:hint="eastAsia"/>
          <w:sz w:val="32"/>
          <w:szCs w:val="20"/>
        </w:rPr>
        <w:t>术</w:t>
      </w:r>
      <w:r>
        <w:rPr>
          <w:rFonts w:hint="eastAsia"/>
          <w:sz w:val="32"/>
          <w:szCs w:val="20"/>
          <w:lang w:val="en-US" w:eastAsia="zh-CN"/>
        </w:rPr>
        <w:t xml:space="preserve">  </w:t>
      </w:r>
      <w:r>
        <w:rPr>
          <w:rFonts w:hint="eastAsia"/>
          <w:sz w:val="32"/>
          <w:szCs w:val="20"/>
        </w:rPr>
        <w:t>语</w:t>
      </w:r>
      <w:bookmarkEnd w:id="181"/>
      <w:bookmarkEnd w:id="182"/>
      <w:bookmarkEnd w:id="183"/>
    </w:p>
    <w:p>
      <w:pPr>
        <w:pStyle w:val="2"/>
        <w:spacing w:line="360" w:lineRule="auto"/>
        <w:ind w:firstLine="480"/>
        <w:rPr>
          <w:sz w:val="24"/>
        </w:rPr>
      </w:pPr>
      <w:r>
        <w:rPr>
          <w:rFonts w:hint="eastAsia"/>
          <w:sz w:val="24"/>
        </w:rPr>
        <w:t>本章仅列明了管幕法相关的术语，其他通用术语，以相关的国家标准、行业标准为准。</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156" w:beforeLines="50" w:after="156" w:afterLines="50"/>
        <w:jc w:val="center"/>
        <w:outlineLvl w:val="0"/>
        <w:rPr>
          <w:sz w:val="32"/>
          <w:szCs w:val="20"/>
        </w:rPr>
      </w:pPr>
      <w:bookmarkStart w:id="184" w:name="_Toc26962"/>
      <w:bookmarkStart w:id="185" w:name="_Toc22400"/>
      <w:bookmarkStart w:id="186" w:name="_Toc7328"/>
      <w:r>
        <w:rPr>
          <w:rFonts w:hint="eastAsia"/>
          <w:sz w:val="32"/>
          <w:szCs w:val="20"/>
        </w:rPr>
        <w:t>3</w:t>
      </w:r>
      <w:r>
        <w:rPr>
          <w:sz w:val="32"/>
          <w:szCs w:val="20"/>
        </w:rPr>
        <w:t xml:space="preserve">  </w:t>
      </w:r>
      <w:r>
        <w:rPr>
          <w:rFonts w:hint="eastAsia"/>
          <w:sz w:val="32"/>
          <w:szCs w:val="20"/>
        </w:rPr>
        <w:t>基</w:t>
      </w:r>
      <w:r>
        <w:rPr>
          <w:rFonts w:hint="eastAsia"/>
          <w:sz w:val="32"/>
          <w:szCs w:val="20"/>
          <w:lang w:val="en-US" w:eastAsia="zh-CN"/>
        </w:rPr>
        <w:t xml:space="preserve"> </w:t>
      </w:r>
      <w:r>
        <w:rPr>
          <w:rFonts w:hint="eastAsia"/>
          <w:sz w:val="32"/>
          <w:szCs w:val="20"/>
        </w:rPr>
        <w:t>本</w:t>
      </w:r>
      <w:r>
        <w:rPr>
          <w:rFonts w:hint="eastAsia"/>
          <w:sz w:val="32"/>
          <w:szCs w:val="20"/>
          <w:lang w:val="en-US" w:eastAsia="zh-CN"/>
        </w:rPr>
        <w:t xml:space="preserve"> </w:t>
      </w:r>
      <w:r>
        <w:rPr>
          <w:rFonts w:hint="eastAsia"/>
          <w:sz w:val="32"/>
          <w:szCs w:val="20"/>
        </w:rPr>
        <w:t>规</w:t>
      </w:r>
      <w:r>
        <w:rPr>
          <w:rFonts w:hint="eastAsia"/>
          <w:sz w:val="32"/>
          <w:szCs w:val="20"/>
          <w:lang w:val="en-US" w:eastAsia="zh-CN"/>
        </w:rPr>
        <w:t xml:space="preserve"> </w:t>
      </w:r>
      <w:r>
        <w:rPr>
          <w:rFonts w:hint="eastAsia"/>
          <w:sz w:val="32"/>
          <w:szCs w:val="20"/>
        </w:rPr>
        <w:t>定</w:t>
      </w:r>
      <w:bookmarkEnd w:id="184"/>
      <w:bookmarkEnd w:id="185"/>
      <w:bookmarkEnd w:id="186"/>
    </w:p>
    <w:p>
      <w:pPr>
        <w:spacing w:line="440" w:lineRule="exact"/>
        <w:rPr>
          <w:sz w:val="24"/>
        </w:rPr>
      </w:pPr>
      <w:r>
        <w:rPr>
          <w:b/>
          <w:bCs/>
          <w:sz w:val="24"/>
        </w:rPr>
        <w:t>3.0.7</w:t>
      </w:r>
      <w:r>
        <w:rPr>
          <w:rFonts w:hint="eastAsia"/>
          <w:sz w:val="24"/>
        </w:rPr>
        <w:t xml:space="preserve">  工程质量验收中使用的检验设备、仪器等的检定和精度按照《中华人民共和国计量法》中强检计量器具（A类）、周期管理计量器具（B类）、一般管理计量器具（C类）的规定执行，注意不要超期使用。</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156" w:beforeLines="50" w:after="156" w:afterLines="50"/>
        <w:jc w:val="center"/>
        <w:outlineLvl w:val="0"/>
        <w:rPr>
          <w:sz w:val="32"/>
          <w:szCs w:val="20"/>
        </w:rPr>
      </w:pPr>
      <w:bookmarkStart w:id="187" w:name="_Toc26635"/>
      <w:bookmarkStart w:id="188" w:name="_Toc5343"/>
      <w:bookmarkStart w:id="189" w:name="_Toc13938"/>
      <w:r>
        <w:rPr>
          <w:sz w:val="32"/>
          <w:szCs w:val="20"/>
        </w:rPr>
        <w:t xml:space="preserve">4  </w:t>
      </w:r>
      <w:r>
        <w:rPr>
          <w:rFonts w:hint="eastAsia"/>
          <w:sz w:val="32"/>
          <w:szCs w:val="20"/>
        </w:rPr>
        <w:t>管</w:t>
      </w:r>
      <w:r>
        <w:rPr>
          <w:rFonts w:hint="eastAsia"/>
          <w:sz w:val="32"/>
          <w:szCs w:val="20"/>
          <w:lang w:val="en-US" w:eastAsia="zh-CN"/>
        </w:rPr>
        <w:t xml:space="preserve"> </w:t>
      </w:r>
      <w:r>
        <w:rPr>
          <w:rFonts w:hint="eastAsia"/>
          <w:sz w:val="32"/>
          <w:szCs w:val="20"/>
        </w:rPr>
        <w:t>幕</w:t>
      </w:r>
      <w:r>
        <w:rPr>
          <w:rFonts w:hint="eastAsia"/>
          <w:sz w:val="32"/>
          <w:szCs w:val="20"/>
          <w:lang w:val="en-US" w:eastAsia="zh-CN"/>
        </w:rPr>
        <w:t xml:space="preserve"> </w:t>
      </w:r>
      <w:r>
        <w:rPr>
          <w:rFonts w:hint="eastAsia"/>
          <w:sz w:val="32"/>
          <w:szCs w:val="20"/>
        </w:rPr>
        <w:t>设</w:t>
      </w:r>
      <w:r>
        <w:rPr>
          <w:rFonts w:hint="eastAsia"/>
          <w:sz w:val="32"/>
          <w:szCs w:val="20"/>
          <w:lang w:val="en-US" w:eastAsia="zh-CN"/>
        </w:rPr>
        <w:t xml:space="preserve"> </w:t>
      </w:r>
      <w:r>
        <w:rPr>
          <w:rFonts w:hint="eastAsia"/>
          <w:sz w:val="32"/>
          <w:szCs w:val="20"/>
        </w:rPr>
        <w:t>计</w:t>
      </w:r>
      <w:bookmarkEnd w:id="187"/>
      <w:bookmarkEnd w:id="188"/>
      <w:bookmarkEnd w:id="189"/>
    </w:p>
    <w:p>
      <w:pPr>
        <w:spacing w:before="156" w:beforeLines="50" w:after="156" w:afterLines="50" w:line="440" w:lineRule="exact"/>
        <w:jc w:val="center"/>
        <w:outlineLvl w:val="1"/>
        <w:rPr>
          <w:rFonts w:eastAsia="黑体"/>
          <w:sz w:val="24"/>
        </w:rPr>
      </w:pPr>
      <w:bookmarkStart w:id="190" w:name="_Toc7137"/>
      <w:bookmarkStart w:id="191" w:name="_Toc3755"/>
      <w:bookmarkStart w:id="192" w:name="_Toc4437"/>
      <w:r>
        <w:rPr>
          <w:rFonts w:eastAsia="黑体"/>
          <w:sz w:val="24"/>
        </w:rPr>
        <w:t>4.4  管幕布置与连接</w:t>
      </w:r>
      <w:bookmarkEnd w:id="190"/>
      <w:bookmarkEnd w:id="191"/>
      <w:bookmarkEnd w:id="192"/>
    </w:p>
    <w:p>
      <w:pPr>
        <w:spacing w:line="440" w:lineRule="exact"/>
        <w:rPr>
          <w:sz w:val="24"/>
        </w:rPr>
      </w:pPr>
      <w:r>
        <w:rPr>
          <w:b/>
          <w:bCs/>
          <w:sz w:val="24"/>
        </w:rPr>
        <w:t>4.4.</w:t>
      </w:r>
      <w:r>
        <w:rPr>
          <w:rFonts w:hint="eastAsia"/>
          <w:b/>
          <w:bCs/>
          <w:sz w:val="24"/>
        </w:rPr>
        <w:t>3</w:t>
      </w:r>
      <w:r>
        <w:rPr>
          <w:sz w:val="24"/>
        </w:rPr>
        <w:t xml:space="preserve"> 管幕</w:t>
      </w:r>
      <w:r>
        <w:rPr>
          <w:rFonts w:hint="eastAsia"/>
          <w:sz w:val="24"/>
        </w:rPr>
        <w:t>钢管</w:t>
      </w:r>
      <w:r>
        <w:rPr>
          <w:sz w:val="24"/>
        </w:rPr>
        <w:t>连接应</w:t>
      </w:r>
      <w:r>
        <w:rPr>
          <w:rFonts w:hint="eastAsia"/>
          <w:sz w:val="24"/>
        </w:rPr>
        <w:t>符合下列规定</w:t>
      </w:r>
      <w:r>
        <w:rPr>
          <w:sz w:val="24"/>
        </w:rPr>
        <w:t>：</w:t>
      </w:r>
    </w:p>
    <w:p>
      <w:pPr>
        <w:spacing w:line="440" w:lineRule="exact"/>
        <w:ind w:firstLine="361" w:firstLineChars="150"/>
        <w:rPr>
          <w:sz w:val="24"/>
        </w:rPr>
      </w:pPr>
      <w:r>
        <w:rPr>
          <w:rFonts w:hint="eastAsia"/>
          <w:b/>
          <w:bCs/>
          <w:sz w:val="24"/>
        </w:rPr>
        <w:t>2</w:t>
      </w:r>
      <w:r>
        <w:rPr>
          <w:sz w:val="24"/>
        </w:rPr>
        <w:t xml:space="preserve">  </w:t>
      </w:r>
      <w:r>
        <w:rPr>
          <w:rFonts w:hint="eastAsia"/>
          <w:sz w:val="24"/>
        </w:rPr>
        <w:t>要求</w:t>
      </w:r>
      <w:r>
        <w:rPr>
          <w:sz w:val="24"/>
        </w:rPr>
        <w:t>顶进后的管节端部外露不小于0.3m，</w:t>
      </w:r>
      <w:r>
        <w:rPr>
          <w:rFonts w:hint="eastAsia"/>
          <w:sz w:val="24"/>
        </w:rPr>
        <w:t>目的是</w:t>
      </w:r>
      <w:r>
        <w:rPr>
          <w:sz w:val="24"/>
        </w:rPr>
        <w:t>便于后续接管施工。</w:t>
      </w:r>
    </w:p>
    <w:p>
      <w:pPr>
        <w:spacing w:line="440" w:lineRule="exact"/>
        <w:ind w:firstLine="361" w:firstLineChars="150"/>
        <w:rPr>
          <w:sz w:val="24"/>
        </w:rPr>
      </w:pPr>
      <w:r>
        <w:rPr>
          <w:rFonts w:hint="eastAsia"/>
          <w:b/>
          <w:bCs/>
          <w:sz w:val="24"/>
        </w:rPr>
        <w:t>3</w:t>
      </w:r>
      <w:r>
        <w:rPr>
          <w:sz w:val="24"/>
        </w:rPr>
        <w:t xml:space="preserve"> </w:t>
      </w:r>
      <w:r>
        <w:rPr>
          <w:rFonts w:hint="eastAsia"/>
          <w:sz w:val="24"/>
        </w:rPr>
        <w:t>焊接之后</w:t>
      </w:r>
      <w:r>
        <w:rPr>
          <w:sz w:val="24"/>
        </w:rPr>
        <w:t>，对管周下部135°范围焊缝</w:t>
      </w:r>
      <w:r>
        <w:rPr>
          <w:rFonts w:hint="eastAsia"/>
          <w:sz w:val="24"/>
        </w:rPr>
        <w:t>是</w:t>
      </w:r>
      <w:r>
        <w:rPr>
          <w:sz w:val="24"/>
        </w:rPr>
        <w:t>重点检查</w:t>
      </w:r>
      <w:r>
        <w:rPr>
          <w:rFonts w:hint="eastAsia"/>
          <w:sz w:val="24"/>
        </w:rPr>
        <w:t>的部位。</w:t>
      </w:r>
      <w:r>
        <w:rPr>
          <w:sz w:val="24"/>
        </w:rPr>
        <w:t xml:space="preserve"> </w:t>
      </w:r>
    </w:p>
    <w:p>
      <w:pPr>
        <w:spacing w:before="156" w:beforeLines="50" w:after="156" w:afterLines="50" w:line="440" w:lineRule="exact"/>
        <w:jc w:val="center"/>
        <w:outlineLvl w:val="1"/>
        <w:rPr>
          <w:rFonts w:eastAsia="黑体"/>
          <w:sz w:val="24"/>
        </w:rPr>
      </w:pPr>
      <w:bookmarkStart w:id="193" w:name="_Toc15120"/>
      <w:bookmarkStart w:id="194" w:name="_Toc14252"/>
      <w:bookmarkStart w:id="195" w:name="_Toc24419"/>
      <w:r>
        <w:rPr>
          <w:rFonts w:eastAsia="黑体"/>
          <w:sz w:val="24"/>
        </w:rPr>
        <w:t>4.5  管内骨架与填充</w:t>
      </w:r>
      <w:bookmarkEnd w:id="193"/>
      <w:bookmarkEnd w:id="194"/>
      <w:bookmarkEnd w:id="195"/>
    </w:p>
    <w:p>
      <w:pPr>
        <w:spacing w:line="440" w:lineRule="exact"/>
        <w:rPr>
          <w:b/>
          <w:bCs/>
          <w:sz w:val="24"/>
        </w:rPr>
      </w:pPr>
      <w:r>
        <w:rPr>
          <w:b/>
          <w:bCs/>
          <w:sz w:val="24"/>
        </w:rPr>
        <w:t xml:space="preserve">4.5.1 </w:t>
      </w:r>
      <w:r>
        <w:rPr>
          <w:sz w:val="24"/>
        </w:rPr>
        <w:t>在满足工程使用、受力和抵抗变形要求的前提下，管幕结构可采用钢管单层衬砌。对于抵抗变形能力要求较高的工程，管内可设置骨架或填充物。</w:t>
      </w:r>
    </w:p>
    <w:p>
      <w:pPr>
        <w:spacing w:before="156" w:beforeLines="50" w:after="156" w:afterLines="50" w:line="440" w:lineRule="exact"/>
        <w:jc w:val="center"/>
        <w:outlineLvl w:val="1"/>
        <w:rPr>
          <w:rFonts w:eastAsia="黑体"/>
          <w:sz w:val="24"/>
        </w:rPr>
      </w:pPr>
      <w:bookmarkStart w:id="196" w:name="_Toc18258"/>
      <w:bookmarkStart w:id="197" w:name="_Toc16841"/>
      <w:bookmarkStart w:id="198" w:name="_Toc19262"/>
      <w:r>
        <w:rPr>
          <w:rFonts w:eastAsia="黑体"/>
          <w:sz w:val="24"/>
        </w:rPr>
        <w:t>4.7  后背墙设计</w:t>
      </w:r>
      <w:bookmarkEnd w:id="196"/>
      <w:bookmarkEnd w:id="197"/>
      <w:bookmarkEnd w:id="198"/>
    </w:p>
    <w:p>
      <w:pPr>
        <w:spacing w:line="440" w:lineRule="exact"/>
        <w:rPr>
          <w:sz w:val="24"/>
        </w:rPr>
      </w:pPr>
      <w:r>
        <w:rPr>
          <w:rFonts w:hint="eastAsia"/>
          <w:b/>
          <w:sz w:val="24"/>
        </w:rPr>
        <w:t>4</w:t>
      </w:r>
      <w:r>
        <w:rPr>
          <w:b/>
          <w:sz w:val="24"/>
        </w:rPr>
        <w:t xml:space="preserve">.7.3  </w:t>
      </w:r>
      <w:r>
        <w:rPr>
          <w:rFonts w:hint="eastAsia"/>
          <w:b/>
          <w:sz w:val="24"/>
        </w:rPr>
        <w:t>一般</w:t>
      </w:r>
      <w:r>
        <w:rPr>
          <w:rFonts w:hint="eastAsia"/>
          <w:sz w:val="24"/>
        </w:rPr>
        <w:t>采用水泥土搅拌桩、高压喷射注浆、超高压喷射注浆等方式。</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156" w:beforeLines="50" w:after="156" w:afterLines="50"/>
        <w:jc w:val="center"/>
        <w:outlineLvl w:val="0"/>
        <w:rPr>
          <w:sz w:val="32"/>
          <w:szCs w:val="20"/>
        </w:rPr>
      </w:pPr>
      <w:bookmarkStart w:id="199" w:name="_Toc29317"/>
      <w:bookmarkStart w:id="200" w:name="_Toc15065"/>
      <w:bookmarkStart w:id="201" w:name="_Toc5241"/>
      <w:r>
        <w:rPr>
          <w:rFonts w:hint="eastAsia"/>
          <w:sz w:val="32"/>
          <w:szCs w:val="20"/>
        </w:rPr>
        <w:t>5  施 工 准 备</w:t>
      </w:r>
      <w:bookmarkEnd w:id="199"/>
      <w:bookmarkEnd w:id="200"/>
      <w:bookmarkEnd w:id="201"/>
    </w:p>
    <w:p>
      <w:pPr>
        <w:spacing w:before="156" w:beforeLines="50" w:after="156" w:afterLines="50" w:line="440" w:lineRule="exact"/>
        <w:jc w:val="center"/>
        <w:outlineLvl w:val="1"/>
        <w:rPr>
          <w:rFonts w:eastAsia="黑体"/>
          <w:sz w:val="24"/>
        </w:rPr>
      </w:pPr>
      <w:bookmarkStart w:id="202" w:name="_Toc2344"/>
      <w:bookmarkStart w:id="203" w:name="_Toc21775"/>
      <w:bookmarkStart w:id="204" w:name="_Toc13673"/>
      <w:r>
        <w:rPr>
          <w:rFonts w:hint="eastAsia" w:eastAsia="黑体"/>
          <w:sz w:val="24"/>
        </w:rPr>
        <w:t>5.1  一 般 规 定</w:t>
      </w:r>
      <w:bookmarkEnd w:id="202"/>
      <w:bookmarkEnd w:id="203"/>
      <w:bookmarkEnd w:id="204"/>
    </w:p>
    <w:p>
      <w:pPr>
        <w:spacing w:line="440" w:lineRule="exact"/>
        <w:rPr>
          <w:sz w:val="24"/>
        </w:rPr>
      </w:pPr>
      <w:r>
        <w:rPr>
          <w:rFonts w:hint="eastAsia"/>
          <w:b/>
          <w:bCs/>
          <w:sz w:val="24"/>
        </w:rPr>
        <w:t>5.1.</w:t>
      </w:r>
      <w:r>
        <w:rPr>
          <w:b/>
          <w:bCs/>
          <w:sz w:val="24"/>
        </w:rPr>
        <w:t>5</w:t>
      </w:r>
      <w:r>
        <w:rPr>
          <w:rFonts w:hint="eastAsia"/>
          <w:sz w:val="24"/>
        </w:rPr>
        <w:t xml:space="preserve">  管幕法施工主要应用于穿越重要建构物等风险较大特殊部位，施工前应对风险进行辨识和评估，制定专项方案及应急预案，并进行交底后实施。</w:t>
      </w:r>
    </w:p>
    <w:p>
      <w:pPr>
        <w:spacing w:line="440" w:lineRule="exact"/>
        <w:rPr>
          <w:sz w:val="24"/>
        </w:rPr>
      </w:pPr>
      <w:r>
        <w:rPr>
          <w:rFonts w:hint="eastAsia"/>
          <w:b/>
          <w:bCs/>
          <w:sz w:val="24"/>
        </w:rPr>
        <w:t>5.1.</w:t>
      </w:r>
      <w:r>
        <w:rPr>
          <w:b/>
          <w:bCs/>
          <w:sz w:val="24"/>
        </w:rPr>
        <w:t>6</w:t>
      </w:r>
      <w:r>
        <w:rPr>
          <w:rFonts w:hint="eastAsia"/>
          <w:sz w:val="24"/>
        </w:rPr>
        <w:t xml:space="preserve">  管幕法应用部位多对地面、地层沉降、建构筑物变形比较严格，因此施工过程中监测比较重要，施工前应编制施工监测专项方案，合理布置监测点，及时取得初始值。</w:t>
      </w:r>
    </w:p>
    <w:p>
      <w:pPr>
        <w:spacing w:line="440" w:lineRule="exact"/>
        <w:rPr>
          <w:sz w:val="24"/>
        </w:rPr>
      </w:pPr>
      <w:r>
        <w:rPr>
          <w:rFonts w:hint="eastAsia"/>
          <w:b/>
          <w:bCs/>
          <w:sz w:val="24"/>
        </w:rPr>
        <w:t>5.1.</w:t>
      </w:r>
      <w:r>
        <w:rPr>
          <w:b/>
          <w:bCs/>
          <w:sz w:val="24"/>
        </w:rPr>
        <w:t>7</w:t>
      </w:r>
      <w:r>
        <w:rPr>
          <w:rFonts w:hint="eastAsia"/>
          <w:sz w:val="24"/>
        </w:rPr>
        <w:t xml:space="preserve">  管幕法工作井及通道空间一般比较受限，管幕设备及作业平台尺寸受限，应在场外进行预安装调试并预验收合格后进场，包括设备及平台的规格尺寸、仪器仪表校验等。</w:t>
      </w:r>
    </w:p>
    <w:p>
      <w:pPr>
        <w:spacing w:line="440" w:lineRule="exact"/>
        <w:rPr>
          <w:sz w:val="24"/>
        </w:rPr>
      </w:pPr>
      <w:r>
        <w:rPr>
          <w:rFonts w:hint="eastAsia"/>
          <w:b/>
          <w:bCs/>
          <w:sz w:val="24"/>
        </w:rPr>
        <w:t>5.1.</w:t>
      </w:r>
      <w:r>
        <w:rPr>
          <w:b/>
          <w:bCs/>
          <w:sz w:val="24"/>
        </w:rPr>
        <w:t>8</w:t>
      </w:r>
      <w:r>
        <w:rPr>
          <w:rFonts w:hint="eastAsia"/>
          <w:sz w:val="24"/>
        </w:rPr>
        <w:t xml:space="preserve">  管幕往往需要长距离顶进大直径钢管，在复杂地下环境施工中，常有地下有害气体伤人的案例，施工过程中除应按相关规定做好常规安全及劳动防护措施外，管幕施工前、中、后均应进行有害气体检测，对可能遇到甲烷、沼气等有害气体的地段，施工人员应按要求佩戴安全防护装置，并应及时查明来源，经处置检测合格后方可继续施工。</w:t>
      </w:r>
    </w:p>
    <w:p>
      <w:pPr>
        <w:spacing w:before="156" w:beforeLines="50" w:after="156" w:afterLines="50" w:line="440" w:lineRule="exact"/>
        <w:jc w:val="center"/>
        <w:outlineLvl w:val="1"/>
        <w:rPr>
          <w:rFonts w:eastAsia="黑体"/>
          <w:sz w:val="24"/>
        </w:rPr>
      </w:pPr>
      <w:bookmarkStart w:id="205" w:name="_Toc25952"/>
      <w:bookmarkStart w:id="206" w:name="_Toc16899"/>
      <w:bookmarkStart w:id="207" w:name="_Toc943"/>
      <w:r>
        <w:rPr>
          <w:rFonts w:hint="eastAsia" w:eastAsia="黑体"/>
          <w:sz w:val="24"/>
        </w:rPr>
        <w:t>5.</w:t>
      </w:r>
      <w:r>
        <w:rPr>
          <w:rFonts w:eastAsia="黑体"/>
          <w:sz w:val="24"/>
        </w:rPr>
        <w:t>2</w:t>
      </w:r>
      <w:r>
        <w:rPr>
          <w:rFonts w:hint="eastAsia" w:eastAsia="黑体"/>
          <w:sz w:val="24"/>
        </w:rPr>
        <w:t xml:space="preserve"> 技 术 准 备</w:t>
      </w:r>
      <w:bookmarkEnd w:id="205"/>
      <w:bookmarkEnd w:id="206"/>
      <w:bookmarkEnd w:id="207"/>
    </w:p>
    <w:p>
      <w:pPr>
        <w:spacing w:line="440" w:lineRule="exact"/>
        <w:rPr>
          <w:sz w:val="24"/>
        </w:rPr>
      </w:pPr>
      <w:r>
        <w:rPr>
          <w:rFonts w:hint="eastAsia"/>
          <w:b/>
          <w:bCs/>
          <w:sz w:val="24"/>
        </w:rPr>
        <w:t>5.2.1</w:t>
      </w:r>
      <w:r>
        <w:rPr>
          <w:rFonts w:hint="eastAsia"/>
          <w:sz w:val="24"/>
        </w:rPr>
        <w:t xml:space="preserve">  地质条件及水文资料、周边环境、作业条件等对管幕方案起决定性作用，为防止前期勘察及周边环境等资料与现场不符，施工前，应对施工地段的进行详细勘察，为制定施工组织设计提供足够的依据，调查的主要内容主要有：</w:t>
      </w:r>
    </w:p>
    <w:p>
      <w:pPr>
        <w:spacing w:line="440" w:lineRule="exact"/>
        <w:ind w:firstLine="361" w:firstLineChars="150"/>
        <w:rPr>
          <w:sz w:val="24"/>
        </w:rPr>
      </w:pPr>
      <w:r>
        <w:rPr>
          <w:rFonts w:hint="eastAsia"/>
          <w:b/>
          <w:bCs/>
          <w:sz w:val="24"/>
        </w:rPr>
        <w:t>1</w:t>
      </w:r>
      <w:r>
        <w:rPr>
          <w:rFonts w:hint="eastAsia"/>
          <w:sz w:val="24"/>
        </w:rPr>
        <w:t xml:space="preserve">  实地勘察调查各种建构筑物的使用功能、结构型式、基础类型及其与隧道的相对位置等；</w:t>
      </w:r>
    </w:p>
    <w:p>
      <w:pPr>
        <w:spacing w:line="440" w:lineRule="exact"/>
        <w:ind w:firstLine="361" w:firstLineChars="150"/>
        <w:rPr>
          <w:sz w:val="24"/>
        </w:rPr>
      </w:pPr>
      <w:r>
        <w:rPr>
          <w:rFonts w:hint="eastAsia"/>
          <w:b/>
          <w:bCs/>
          <w:sz w:val="24"/>
        </w:rPr>
        <w:t>2</w:t>
      </w:r>
      <w:r>
        <w:rPr>
          <w:rFonts w:hint="eastAsia"/>
          <w:sz w:val="24"/>
        </w:rPr>
        <w:t xml:space="preserve">  道路种类和路面交通情况；</w:t>
      </w:r>
    </w:p>
    <w:p>
      <w:pPr>
        <w:spacing w:line="440" w:lineRule="exact"/>
        <w:ind w:firstLine="361" w:firstLineChars="150"/>
        <w:rPr>
          <w:sz w:val="24"/>
        </w:rPr>
      </w:pPr>
      <w:r>
        <w:rPr>
          <w:rFonts w:hint="eastAsia"/>
          <w:b/>
          <w:bCs/>
          <w:sz w:val="24"/>
        </w:rPr>
        <w:t>3</w:t>
      </w:r>
      <w:r>
        <w:rPr>
          <w:rFonts w:hint="eastAsia"/>
          <w:sz w:val="24"/>
        </w:rPr>
        <w:t xml:space="preserve">  工程用地情况，主要对施工场地及材料堆放场地、弃土场地、运输路线等做必要的调查；</w:t>
      </w:r>
    </w:p>
    <w:p>
      <w:pPr>
        <w:spacing w:line="440" w:lineRule="exact"/>
        <w:ind w:firstLine="361" w:firstLineChars="150"/>
        <w:rPr>
          <w:sz w:val="24"/>
        </w:rPr>
      </w:pPr>
      <w:r>
        <w:rPr>
          <w:rFonts w:hint="eastAsia"/>
          <w:b/>
          <w:bCs/>
          <w:sz w:val="24"/>
        </w:rPr>
        <w:t>4</w:t>
      </w:r>
      <w:r>
        <w:rPr>
          <w:rFonts w:hint="eastAsia"/>
          <w:sz w:val="24"/>
        </w:rPr>
        <w:t xml:space="preserve">  施工用电和给水排水设施条件；</w:t>
      </w:r>
    </w:p>
    <w:p>
      <w:pPr>
        <w:spacing w:line="440" w:lineRule="exact"/>
        <w:ind w:firstLine="361" w:firstLineChars="150"/>
        <w:rPr>
          <w:sz w:val="24"/>
        </w:rPr>
      </w:pPr>
      <w:r>
        <w:rPr>
          <w:rFonts w:hint="eastAsia"/>
          <w:b/>
          <w:bCs/>
          <w:sz w:val="24"/>
        </w:rPr>
        <w:t>5</w:t>
      </w:r>
      <w:r>
        <w:rPr>
          <w:rFonts w:hint="eastAsia"/>
          <w:sz w:val="24"/>
        </w:rPr>
        <w:t xml:space="preserve">  有关环境保护的法律法规。</w:t>
      </w:r>
    </w:p>
    <w:p>
      <w:pPr>
        <w:spacing w:line="440" w:lineRule="exact"/>
        <w:rPr>
          <w:sz w:val="24"/>
        </w:rPr>
      </w:pPr>
      <w:r>
        <w:rPr>
          <w:rFonts w:hint="eastAsia"/>
          <w:b/>
          <w:bCs/>
          <w:sz w:val="24"/>
        </w:rPr>
        <w:t>5.</w:t>
      </w:r>
      <w:r>
        <w:rPr>
          <w:b/>
          <w:bCs/>
          <w:sz w:val="24"/>
        </w:rPr>
        <w:t>2</w:t>
      </w:r>
      <w:r>
        <w:rPr>
          <w:rFonts w:hint="eastAsia"/>
          <w:b/>
          <w:bCs/>
          <w:sz w:val="24"/>
        </w:rPr>
        <w:t>.</w:t>
      </w:r>
      <w:r>
        <w:rPr>
          <w:b/>
          <w:bCs/>
          <w:sz w:val="24"/>
        </w:rPr>
        <w:t>2</w:t>
      </w:r>
      <w:r>
        <w:rPr>
          <w:rFonts w:hint="eastAsia"/>
          <w:sz w:val="24"/>
        </w:rPr>
        <w:t xml:space="preserve">  管幕是一种综合的施工技术，施工方法的确定关键在于全面掌握与工程有关的资料。施工前全面了解工程规模、要求、地质和环境条件，有利于正确采取经济合理的施工措施。</w:t>
      </w:r>
    </w:p>
    <w:p>
      <w:pPr>
        <w:spacing w:line="440" w:lineRule="exact"/>
        <w:rPr>
          <w:sz w:val="24"/>
        </w:rPr>
      </w:pPr>
      <w:r>
        <w:rPr>
          <w:rFonts w:hint="eastAsia"/>
          <w:b/>
          <w:bCs/>
          <w:sz w:val="24"/>
        </w:rPr>
        <w:t>5.</w:t>
      </w:r>
      <w:r>
        <w:rPr>
          <w:b/>
          <w:bCs/>
          <w:sz w:val="24"/>
        </w:rPr>
        <w:t>2.3</w:t>
      </w:r>
      <w:r>
        <w:rPr>
          <w:rFonts w:hint="eastAsia"/>
          <w:sz w:val="24"/>
        </w:rPr>
        <w:t xml:space="preserve">  管幕作为一种初支结构型式，其施工精度直接影响下步结构施工，施工前应建立施工测量控制网并完成联系测量工作同时应根据施工组织设计和地面建构筑物保护专项方案等预先布设地面监测网点。</w:t>
      </w:r>
    </w:p>
    <w:p>
      <w:pPr>
        <w:spacing w:before="156" w:beforeLines="50" w:after="156" w:afterLines="50" w:line="440" w:lineRule="exact"/>
        <w:jc w:val="center"/>
        <w:outlineLvl w:val="1"/>
        <w:rPr>
          <w:rFonts w:eastAsia="黑体"/>
          <w:sz w:val="24"/>
        </w:rPr>
      </w:pPr>
      <w:bookmarkStart w:id="208" w:name="_Toc24085"/>
      <w:bookmarkStart w:id="209" w:name="_Toc30173"/>
      <w:bookmarkStart w:id="210" w:name="_Toc6073"/>
      <w:r>
        <w:rPr>
          <w:rFonts w:hint="eastAsia" w:eastAsia="黑体"/>
          <w:sz w:val="24"/>
        </w:rPr>
        <w:t>5.</w:t>
      </w:r>
      <w:r>
        <w:rPr>
          <w:rFonts w:eastAsia="黑体"/>
          <w:sz w:val="24"/>
        </w:rPr>
        <w:t>3</w:t>
      </w:r>
      <w:r>
        <w:rPr>
          <w:rFonts w:hint="eastAsia" w:eastAsia="黑体"/>
          <w:sz w:val="24"/>
        </w:rPr>
        <w:t xml:space="preserve">  设备选型与配置</w:t>
      </w:r>
      <w:bookmarkEnd w:id="208"/>
      <w:bookmarkEnd w:id="209"/>
      <w:bookmarkEnd w:id="210"/>
    </w:p>
    <w:p>
      <w:pPr>
        <w:spacing w:line="440" w:lineRule="exact"/>
        <w:rPr>
          <w:sz w:val="24"/>
        </w:rPr>
      </w:pPr>
      <w:r>
        <w:rPr>
          <w:rFonts w:hint="eastAsia"/>
          <w:b/>
          <w:bCs/>
          <w:sz w:val="24"/>
        </w:rPr>
        <w:t>5.</w:t>
      </w:r>
      <w:r>
        <w:rPr>
          <w:b/>
          <w:bCs/>
          <w:sz w:val="24"/>
        </w:rPr>
        <w:t>3</w:t>
      </w:r>
      <w:r>
        <w:rPr>
          <w:rFonts w:hint="eastAsia"/>
          <w:b/>
          <w:bCs/>
          <w:sz w:val="24"/>
        </w:rPr>
        <w:t>.1</w:t>
      </w:r>
      <w:r>
        <w:rPr>
          <w:rFonts w:hint="eastAsia"/>
          <w:sz w:val="24"/>
        </w:rPr>
        <w:t xml:space="preserve">  拉管法施工设备选型与配置应符合下列规定：</w:t>
      </w:r>
    </w:p>
    <w:p>
      <w:pPr>
        <w:spacing w:line="440" w:lineRule="exact"/>
        <w:ind w:firstLine="482" w:firstLineChars="200"/>
        <w:rPr>
          <w:sz w:val="24"/>
        </w:rPr>
      </w:pPr>
      <w:r>
        <w:rPr>
          <w:rFonts w:hint="eastAsia"/>
          <w:b/>
          <w:bCs/>
          <w:sz w:val="24"/>
        </w:rPr>
        <w:t>1</w:t>
      </w:r>
      <w:r>
        <w:rPr>
          <w:rFonts w:hint="eastAsia"/>
          <w:sz w:val="24"/>
        </w:rPr>
        <w:t xml:space="preserve">  拉管法施工包括水平定向钻进、导向钻进、水平钻进等。</w:t>
      </w:r>
    </w:p>
    <w:p>
      <w:pPr>
        <w:spacing w:line="440" w:lineRule="exact"/>
        <w:ind w:firstLine="482" w:firstLineChars="200"/>
        <w:rPr>
          <w:sz w:val="24"/>
        </w:rPr>
      </w:pPr>
      <w:r>
        <w:rPr>
          <w:rFonts w:hint="eastAsia"/>
          <w:b/>
          <w:bCs/>
          <w:sz w:val="24"/>
        </w:rPr>
        <w:t>2</w:t>
      </w:r>
      <w:r>
        <w:rPr>
          <w:rFonts w:hint="eastAsia"/>
          <w:sz w:val="24"/>
        </w:rPr>
        <w:t xml:space="preserve">  拉管法施工配置是根据各施工案例经验总结得来，配置不固定可根据具体施工要求进行调整。</w:t>
      </w:r>
    </w:p>
    <w:p>
      <w:pPr>
        <w:spacing w:line="440" w:lineRule="exact"/>
        <w:ind w:firstLine="602" w:firstLineChars="250"/>
        <w:rPr>
          <w:sz w:val="24"/>
        </w:rPr>
      </w:pPr>
      <w:r>
        <w:rPr>
          <w:b/>
          <w:bCs/>
          <w:sz w:val="24"/>
        </w:rPr>
        <w:t>2</w:t>
      </w:r>
      <w:r>
        <w:rPr>
          <w:rFonts w:hint="eastAsia"/>
          <w:b/>
          <w:bCs/>
          <w:sz w:val="24"/>
        </w:rPr>
        <w:t>）</w:t>
      </w:r>
      <w:r>
        <w:rPr>
          <w:rFonts w:hint="eastAsia"/>
          <w:sz w:val="24"/>
        </w:rPr>
        <w:t xml:space="preserve"> 钻机回拖时的回拖力的计算公式，该方法来源于《油气输送管道穿越工程施工规范》 GB 50423-2007中5.2条款。</w:t>
      </w:r>
    </w:p>
    <w:p>
      <w:pPr>
        <w:pStyle w:val="2"/>
        <w:spacing w:after="0" w:line="440" w:lineRule="exact"/>
        <w:ind w:left="0" w:leftChars="0" w:firstLine="482"/>
        <w:rPr>
          <w:sz w:val="24"/>
        </w:rPr>
      </w:pPr>
      <w:r>
        <w:rPr>
          <w:b/>
          <w:bCs/>
          <w:sz w:val="24"/>
        </w:rPr>
        <w:t>3</w:t>
      </w:r>
      <w:r>
        <w:rPr>
          <w:rFonts w:hint="eastAsia"/>
          <w:sz w:val="24"/>
        </w:rPr>
        <w:t xml:space="preserve">  拉管法施工应配置应符合下列规定：</w:t>
      </w:r>
    </w:p>
    <w:p>
      <w:pPr>
        <w:spacing w:line="440" w:lineRule="exact"/>
        <w:ind w:firstLine="723" w:firstLineChars="300"/>
        <w:rPr>
          <w:sz w:val="24"/>
        </w:rPr>
      </w:pPr>
      <w:r>
        <w:rPr>
          <w:b/>
          <w:bCs/>
          <w:sz w:val="24"/>
        </w:rPr>
        <w:t>3</w:t>
      </w:r>
      <w:r>
        <w:rPr>
          <w:rFonts w:hint="eastAsia"/>
          <w:b/>
          <w:bCs/>
          <w:sz w:val="24"/>
        </w:rPr>
        <w:t>）</w:t>
      </w:r>
      <w:r>
        <w:rPr>
          <w:rFonts w:hint="eastAsia"/>
          <w:sz w:val="24"/>
        </w:rPr>
        <w:t>配套两个泥浆罐，其中一个用于配浆，另一个专门用于储存配置好的泥浆</w:t>
      </w:r>
      <w:r>
        <w:rPr>
          <w:sz w:val="24"/>
        </w:rPr>
        <w:t>。</w:t>
      </w:r>
      <w:r>
        <w:rPr>
          <w:rFonts w:hint="eastAsia"/>
          <w:sz w:val="24"/>
        </w:rPr>
        <w:t>；</w:t>
      </w:r>
    </w:p>
    <w:p>
      <w:pPr>
        <w:spacing w:line="440" w:lineRule="exact"/>
        <w:rPr>
          <w:b/>
          <w:bCs/>
          <w:sz w:val="24"/>
        </w:rPr>
      </w:pPr>
      <w:r>
        <w:rPr>
          <w:rFonts w:hint="eastAsia"/>
          <w:b/>
          <w:bCs/>
          <w:sz w:val="24"/>
        </w:rPr>
        <w:t>5.</w:t>
      </w:r>
      <w:r>
        <w:rPr>
          <w:b/>
          <w:bCs/>
          <w:sz w:val="24"/>
        </w:rPr>
        <w:t>3</w:t>
      </w:r>
      <w:r>
        <w:rPr>
          <w:rFonts w:hint="eastAsia"/>
          <w:b/>
          <w:bCs/>
          <w:sz w:val="24"/>
        </w:rPr>
        <w:t xml:space="preserve">.2  </w:t>
      </w:r>
      <w:r>
        <w:rPr>
          <w:rFonts w:hint="eastAsia"/>
          <w:sz w:val="24"/>
        </w:rPr>
        <w:t>夯管法施工设备选型与配置应符合下列规定：</w:t>
      </w:r>
    </w:p>
    <w:p>
      <w:pPr>
        <w:spacing w:line="440" w:lineRule="exact"/>
        <w:ind w:firstLine="361" w:firstLineChars="150"/>
        <w:rPr>
          <w:sz w:val="24"/>
        </w:rPr>
      </w:pPr>
      <w:r>
        <w:rPr>
          <w:rFonts w:hint="eastAsia"/>
          <w:b/>
          <w:bCs/>
          <w:sz w:val="24"/>
        </w:rPr>
        <w:t>2</w:t>
      </w:r>
      <w:r>
        <w:rPr>
          <w:rFonts w:hint="eastAsia"/>
          <w:sz w:val="24"/>
        </w:rPr>
        <w:t xml:space="preserve">  夯管施工配置是根据各施工案例经验总结得来，配置不固定可根据具体施工要求进行调整。</w:t>
      </w:r>
    </w:p>
    <w:p>
      <w:pPr>
        <w:spacing w:line="440" w:lineRule="exact"/>
        <w:ind w:firstLine="361" w:firstLineChars="150"/>
        <w:rPr>
          <w:sz w:val="24"/>
        </w:rPr>
      </w:pPr>
      <w:r>
        <w:rPr>
          <w:rFonts w:hint="eastAsia"/>
          <w:b/>
          <w:bCs/>
          <w:sz w:val="24"/>
        </w:rPr>
        <w:t>3</w:t>
      </w:r>
      <w:r>
        <w:rPr>
          <w:rFonts w:hint="eastAsia"/>
          <w:sz w:val="24"/>
        </w:rPr>
        <w:t xml:space="preserve">  当无当地经验时，钢管总阻力计算公式，该方法来源于《油气输送管道穿越工程施工规范》 GB 50423-2007中6.6.4条款。</w:t>
      </w:r>
    </w:p>
    <w:p>
      <w:pPr>
        <w:spacing w:line="440" w:lineRule="exact"/>
        <w:rPr>
          <w:sz w:val="24"/>
        </w:rPr>
      </w:pPr>
      <w:r>
        <w:rPr>
          <w:rFonts w:hint="eastAsia"/>
          <w:b/>
          <w:bCs/>
          <w:sz w:val="24"/>
        </w:rPr>
        <w:t>5.</w:t>
      </w:r>
      <w:r>
        <w:rPr>
          <w:b/>
          <w:bCs/>
          <w:sz w:val="24"/>
        </w:rPr>
        <w:t>3</w:t>
      </w:r>
      <w:r>
        <w:rPr>
          <w:rFonts w:hint="eastAsia"/>
          <w:b/>
          <w:bCs/>
          <w:sz w:val="24"/>
        </w:rPr>
        <w:t>.3</w:t>
      </w:r>
      <w:r>
        <w:rPr>
          <w:rFonts w:hint="eastAsia"/>
          <w:sz w:val="24"/>
        </w:rPr>
        <w:t xml:space="preserve">  </w:t>
      </w:r>
      <w:bookmarkStart w:id="211" w:name="_Hlk103460774"/>
      <w:r>
        <w:rPr>
          <w:rFonts w:hint="eastAsia"/>
          <w:sz w:val="24"/>
        </w:rPr>
        <w:t>钻进顶管法</w:t>
      </w:r>
      <w:bookmarkEnd w:id="211"/>
      <w:r>
        <w:rPr>
          <w:rFonts w:hint="eastAsia"/>
          <w:sz w:val="24"/>
        </w:rPr>
        <w:t>设备选型与配置应符合下列规定：</w:t>
      </w:r>
    </w:p>
    <w:p>
      <w:pPr>
        <w:spacing w:line="440" w:lineRule="exact"/>
        <w:ind w:firstLine="361" w:firstLineChars="150"/>
        <w:rPr>
          <w:sz w:val="24"/>
        </w:rPr>
      </w:pPr>
      <w:r>
        <w:rPr>
          <w:rFonts w:hint="eastAsia"/>
          <w:b/>
          <w:bCs/>
          <w:sz w:val="24"/>
        </w:rPr>
        <w:t xml:space="preserve">1 </w:t>
      </w:r>
      <w:r>
        <w:rPr>
          <w:rFonts w:hint="eastAsia"/>
          <w:sz w:val="24"/>
        </w:rPr>
        <w:t xml:space="preserve"> 钻进顶管法施工包括液压顶进管幕＋螺旋排土。</w:t>
      </w:r>
    </w:p>
    <w:p>
      <w:pPr>
        <w:spacing w:line="440" w:lineRule="exact"/>
        <w:ind w:firstLine="361" w:firstLineChars="150"/>
        <w:rPr>
          <w:sz w:val="24"/>
        </w:rPr>
      </w:pPr>
      <w:r>
        <w:rPr>
          <w:rFonts w:hint="eastAsia"/>
          <w:b/>
          <w:bCs/>
          <w:sz w:val="24"/>
        </w:rPr>
        <w:t>2</w:t>
      </w:r>
      <w:r>
        <w:rPr>
          <w:rFonts w:hint="eastAsia"/>
          <w:sz w:val="24"/>
        </w:rPr>
        <w:t xml:space="preserve">  钻进顶管法施工配置是根据各施工案例经验总结得来，配置不固定可根据具体施工要求进行调整。</w:t>
      </w:r>
    </w:p>
    <w:p>
      <w:pPr>
        <w:spacing w:line="440" w:lineRule="exact"/>
        <w:ind w:firstLine="361" w:firstLineChars="150"/>
        <w:rPr>
          <w:sz w:val="24"/>
        </w:rPr>
      </w:pPr>
      <w:r>
        <w:rPr>
          <w:rFonts w:hint="eastAsia"/>
          <w:b/>
          <w:bCs/>
          <w:sz w:val="24"/>
        </w:rPr>
        <w:t>3</w:t>
      </w:r>
      <w:r>
        <w:rPr>
          <w:rFonts w:hint="eastAsia"/>
          <w:sz w:val="24"/>
        </w:rPr>
        <w:t xml:space="preserve">  当无当地经验时，顶进管幕的总阻力计算公式，计算方法按（5.4.2）所列公式计算。</w:t>
      </w:r>
    </w:p>
    <w:p>
      <w:pPr>
        <w:spacing w:line="440" w:lineRule="exact"/>
        <w:rPr>
          <w:sz w:val="24"/>
        </w:rPr>
      </w:pPr>
      <w:r>
        <w:rPr>
          <w:rFonts w:hint="eastAsia"/>
          <w:b/>
          <w:bCs/>
          <w:sz w:val="24"/>
        </w:rPr>
        <w:t>5.</w:t>
      </w:r>
      <w:r>
        <w:rPr>
          <w:b/>
          <w:bCs/>
          <w:sz w:val="24"/>
        </w:rPr>
        <w:t>3</w:t>
      </w:r>
      <w:r>
        <w:rPr>
          <w:rFonts w:hint="eastAsia"/>
          <w:b/>
          <w:bCs/>
          <w:sz w:val="24"/>
        </w:rPr>
        <w:t>.4</w:t>
      </w:r>
      <w:r>
        <w:rPr>
          <w:rFonts w:hint="eastAsia"/>
          <w:sz w:val="24"/>
        </w:rPr>
        <w:t xml:space="preserve"> </w:t>
      </w:r>
      <w:r>
        <w:rPr>
          <w:sz w:val="24"/>
        </w:rPr>
        <w:t xml:space="preserve"> </w:t>
      </w:r>
      <w:r>
        <w:rPr>
          <w:rFonts w:hint="eastAsia"/>
          <w:sz w:val="24"/>
        </w:rPr>
        <w:t>机械顶管法施工设备选型及配置应符合下列规定：</w:t>
      </w:r>
    </w:p>
    <w:p>
      <w:pPr>
        <w:spacing w:line="440" w:lineRule="exact"/>
        <w:ind w:firstLine="361" w:firstLineChars="150"/>
        <w:rPr>
          <w:sz w:val="24"/>
        </w:rPr>
      </w:pPr>
      <w:r>
        <w:rPr>
          <w:rFonts w:hint="eastAsia"/>
          <w:b/>
          <w:bCs/>
          <w:sz w:val="24"/>
        </w:rPr>
        <w:t>1</w:t>
      </w:r>
      <w:r>
        <w:rPr>
          <w:rFonts w:hint="eastAsia"/>
          <w:sz w:val="24"/>
        </w:rPr>
        <w:t xml:space="preserve">  管道顶管机选型根据工程条件确定，多采用土压平衡是或泥水平衡式顶管机。土压平衡式顶管机通过调节出泥仓压力稳定开挖面，弃土从出泥仓排出，用于粘性土、粉土、淤泥质黏土，对地下障碍处理应急性能差；泥水平衡式顶管机通过调节出泥仓的泥水压力稳定开挖面，弃土以泥水的方式排出，用于黏性土、粉土和砂性土及地下水以下的土层，对地下障碍物处理应急性能差；气压平衡式顶管机通过调节出泥仓的气压力稳定开挖面，弃土以泥水的方式排出，适应地质为粘性土、粉土、粉细砂等渗透系数小于或等于</w:t>
      </w:r>
      <m:oMath>
        <m:sSup>
          <m:sSupPr>
            <m:ctrlPr>
              <w:rPr>
                <w:rFonts w:hint="eastAsia" w:ascii="Cambria Math" w:hAnsi="Cambria Math"/>
                <w:sz w:val="24"/>
              </w:rPr>
            </m:ctrlPr>
          </m:sSupPr>
          <m:e>
            <m:r>
              <m:rPr>
                <m:sty m:val="p"/>
              </m:rPr>
              <w:rPr>
                <w:rFonts w:hint="eastAsia" w:ascii="Cambria Math" w:hAnsi="Cambria Math"/>
                <w:sz w:val="24"/>
              </w:rPr>
              <m:t>10</m:t>
            </m:r>
            <m:ctrlPr>
              <w:rPr>
                <w:rFonts w:hint="eastAsia" w:ascii="Cambria Math" w:hAnsi="Cambria Math"/>
                <w:sz w:val="24"/>
              </w:rPr>
            </m:ctrlPr>
          </m:e>
          <m:sup>
            <m:r>
              <m:rPr>
                <m:sty m:val="p"/>
              </m:rPr>
              <w:rPr>
                <w:rFonts w:hint="eastAsia" w:ascii="Cambria Math" w:hAnsi="Cambria Math"/>
                <w:sz w:val="24"/>
              </w:rPr>
              <m:t>−4</m:t>
            </m:r>
            <m:ctrlPr>
              <w:rPr>
                <w:rFonts w:hint="eastAsia" w:ascii="Cambria Math" w:hAnsi="Cambria Math"/>
                <w:sz w:val="24"/>
              </w:rPr>
            </m:ctrlPr>
          </m:sup>
        </m:sSup>
      </m:oMath>
      <w:r>
        <w:rPr>
          <w:rFonts w:hint="eastAsia"/>
          <w:sz w:val="24"/>
        </w:rPr>
        <w:t>m/s的土层，不适用于沙砾、卵石等多孔隙、压缩空气容易冒顶冲出的土层，对地下障碍物处理应急性能好。</w:t>
      </w:r>
    </w:p>
    <w:p>
      <w:pPr>
        <w:spacing w:line="440" w:lineRule="exact"/>
        <w:ind w:firstLine="360" w:firstLineChars="150"/>
        <w:rPr>
          <w:sz w:val="24"/>
        </w:rPr>
      </w:pPr>
      <w:r>
        <w:rPr>
          <w:rFonts w:hint="eastAsia"/>
          <w:sz w:val="24"/>
        </w:rPr>
        <w:t>顶管机在卵、砾石顶进时，要求配置二次破碎功能，可降低卡机的风险。</w:t>
      </w:r>
    </w:p>
    <w:p>
      <w:pPr>
        <w:spacing w:line="440" w:lineRule="exact"/>
        <w:ind w:firstLine="361" w:firstLineChars="150"/>
        <w:rPr>
          <w:sz w:val="24"/>
        </w:rPr>
      </w:pPr>
      <w:r>
        <w:rPr>
          <w:b/>
          <w:bCs/>
          <w:sz w:val="24"/>
        </w:rPr>
        <w:t>2</w:t>
      </w:r>
      <w:r>
        <w:rPr>
          <w:rFonts w:hint="eastAsia"/>
          <w:sz w:val="24"/>
        </w:rPr>
        <w:t xml:space="preserve"> 顶管机顶力计算公式，该方法来源于《油气输送管道工程水域顶管法隧道穿越设计规范》SY/T 7022-2014。</w:t>
      </w:r>
    </w:p>
    <w:p>
      <w:pPr>
        <w:spacing w:before="156" w:beforeLines="50" w:after="156" w:afterLines="50" w:line="440" w:lineRule="exact"/>
        <w:jc w:val="center"/>
        <w:outlineLvl w:val="1"/>
        <w:rPr>
          <w:rFonts w:eastAsia="黑体"/>
          <w:sz w:val="24"/>
        </w:rPr>
      </w:pPr>
      <w:bookmarkStart w:id="212" w:name="_Toc16170"/>
      <w:bookmarkStart w:id="213" w:name="_Toc6444"/>
      <w:bookmarkStart w:id="214" w:name="_Toc29901"/>
      <w:r>
        <w:rPr>
          <w:rFonts w:hint="eastAsia" w:eastAsia="黑体"/>
          <w:sz w:val="24"/>
        </w:rPr>
        <w:t>5.</w:t>
      </w:r>
      <w:r>
        <w:rPr>
          <w:rFonts w:eastAsia="黑体"/>
          <w:sz w:val="24"/>
        </w:rPr>
        <w:t>4</w:t>
      </w:r>
      <w:r>
        <w:rPr>
          <w:rFonts w:hint="eastAsia" w:eastAsia="黑体"/>
          <w:sz w:val="24"/>
        </w:rPr>
        <w:t xml:space="preserve">  辅 助 设 施</w:t>
      </w:r>
      <w:bookmarkEnd w:id="212"/>
      <w:bookmarkEnd w:id="213"/>
      <w:bookmarkEnd w:id="214"/>
    </w:p>
    <w:p>
      <w:pPr>
        <w:spacing w:line="440" w:lineRule="exact"/>
        <w:rPr>
          <w:sz w:val="24"/>
        </w:rPr>
      </w:pPr>
      <w:r>
        <w:rPr>
          <w:rFonts w:hint="eastAsia"/>
          <w:b/>
          <w:bCs/>
          <w:sz w:val="24"/>
        </w:rPr>
        <w:t>5.</w:t>
      </w:r>
      <w:r>
        <w:rPr>
          <w:b/>
          <w:bCs/>
          <w:sz w:val="24"/>
        </w:rPr>
        <w:t>4</w:t>
      </w:r>
      <w:r>
        <w:rPr>
          <w:rFonts w:hint="eastAsia"/>
          <w:b/>
          <w:bCs/>
          <w:sz w:val="24"/>
        </w:rPr>
        <w:t>.1</w:t>
      </w:r>
      <w:r>
        <w:rPr>
          <w:rFonts w:hint="eastAsia"/>
          <w:sz w:val="24"/>
        </w:rPr>
        <w:t xml:space="preserve">  辅助设施应根据管幕类型、施工方法和工艺要求等配置，主要包括：</w:t>
      </w:r>
    </w:p>
    <w:p>
      <w:pPr>
        <w:spacing w:line="440" w:lineRule="exact"/>
        <w:ind w:firstLine="361" w:firstLineChars="150"/>
        <w:rPr>
          <w:sz w:val="24"/>
        </w:rPr>
      </w:pPr>
      <w:r>
        <w:rPr>
          <w:rFonts w:hint="eastAsia"/>
          <w:b/>
          <w:bCs/>
          <w:sz w:val="24"/>
        </w:rPr>
        <w:t>1</w:t>
      </w:r>
      <w:r>
        <w:rPr>
          <w:rFonts w:hint="eastAsia"/>
          <w:sz w:val="24"/>
        </w:rPr>
        <w:t xml:space="preserve">  管幕设备台架及基座；</w:t>
      </w:r>
    </w:p>
    <w:p>
      <w:pPr>
        <w:spacing w:line="440" w:lineRule="exact"/>
        <w:ind w:firstLine="361" w:firstLineChars="150"/>
        <w:rPr>
          <w:sz w:val="24"/>
        </w:rPr>
      </w:pPr>
      <w:r>
        <w:rPr>
          <w:rFonts w:hint="eastAsia"/>
          <w:b/>
          <w:bCs/>
          <w:sz w:val="24"/>
        </w:rPr>
        <w:t>2</w:t>
      </w:r>
      <w:r>
        <w:rPr>
          <w:rFonts w:hint="eastAsia"/>
          <w:sz w:val="24"/>
        </w:rPr>
        <w:t xml:space="preserve">  材料堆放场和仓库；</w:t>
      </w:r>
    </w:p>
    <w:p>
      <w:pPr>
        <w:spacing w:line="440" w:lineRule="exact"/>
        <w:ind w:firstLine="361" w:firstLineChars="150"/>
        <w:rPr>
          <w:sz w:val="24"/>
        </w:rPr>
      </w:pPr>
      <w:r>
        <w:rPr>
          <w:rFonts w:hint="eastAsia"/>
          <w:b/>
          <w:bCs/>
          <w:sz w:val="24"/>
        </w:rPr>
        <w:t>3</w:t>
      </w:r>
      <w:r>
        <w:rPr>
          <w:rFonts w:hint="eastAsia"/>
          <w:sz w:val="24"/>
        </w:rPr>
        <w:t xml:space="preserve">  联络通信设施；</w:t>
      </w:r>
    </w:p>
    <w:p>
      <w:pPr>
        <w:spacing w:line="440" w:lineRule="exact"/>
        <w:ind w:firstLine="361" w:firstLineChars="150"/>
        <w:rPr>
          <w:sz w:val="24"/>
        </w:rPr>
      </w:pPr>
      <w:r>
        <w:rPr>
          <w:rFonts w:hint="eastAsia"/>
          <w:b/>
          <w:bCs/>
          <w:sz w:val="24"/>
        </w:rPr>
        <w:t>4</w:t>
      </w:r>
      <w:r>
        <w:rPr>
          <w:rFonts w:hint="eastAsia"/>
          <w:sz w:val="24"/>
        </w:rPr>
        <w:t xml:space="preserve">  供电动力设备；</w:t>
      </w:r>
    </w:p>
    <w:p>
      <w:pPr>
        <w:spacing w:line="440" w:lineRule="exact"/>
        <w:ind w:firstLine="361" w:firstLineChars="150"/>
        <w:rPr>
          <w:sz w:val="24"/>
        </w:rPr>
      </w:pPr>
      <w:r>
        <w:rPr>
          <w:rFonts w:hint="eastAsia"/>
          <w:b/>
          <w:bCs/>
          <w:sz w:val="24"/>
        </w:rPr>
        <w:t>5</w:t>
      </w:r>
      <w:r>
        <w:rPr>
          <w:rFonts w:hint="eastAsia"/>
          <w:sz w:val="24"/>
        </w:rPr>
        <w:t xml:space="preserve">  施工通风设施；</w:t>
      </w:r>
    </w:p>
    <w:p>
      <w:pPr>
        <w:spacing w:line="440" w:lineRule="exact"/>
        <w:ind w:firstLine="361" w:firstLineChars="150"/>
        <w:rPr>
          <w:sz w:val="24"/>
        </w:rPr>
      </w:pPr>
      <w:r>
        <w:rPr>
          <w:rFonts w:hint="eastAsia"/>
          <w:b/>
          <w:bCs/>
          <w:sz w:val="24"/>
        </w:rPr>
        <w:t xml:space="preserve">6 </w:t>
      </w:r>
      <w:r>
        <w:rPr>
          <w:rFonts w:hint="eastAsia"/>
          <w:sz w:val="24"/>
        </w:rPr>
        <w:t xml:space="preserve"> 浆液搅拌站及相应管路和运输设备；</w:t>
      </w:r>
    </w:p>
    <w:p>
      <w:pPr>
        <w:spacing w:line="440" w:lineRule="exact"/>
        <w:ind w:firstLine="361" w:firstLineChars="150"/>
        <w:rPr>
          <w:sz w:val="24"/>
        </w:rPr>
      </w:pPr>
      <w:r>
        <w:rPr>
          <w:rFonts w:hint="eastAsia"/>
          <w:b/>
          <w:bCs/>
          <w:sz w:val="24"/>
        </w:rPr>
        <w:t>7</w:t>
      </w:r>
      <w:r>
        <w:rPr>
          <w:rFonts w:hint="eastAsia"/>
          <w:sz w:val="24"/>
        </w:rPr>
        <w:t xml:space="preserve">  渣土临时堆放场及洞内外运输设备；</w:t>
      </w:r>
    </w:p>
    <w:p>
      <w:pPr>
        <w:spacing w:line="440" w:lineRule="exact"/>
        <w:ind w:firstLine="361" w:firstLineChars="150"/>
        <w:rPr>
          <w:sz w:val="24"/>
        </w:rPr>
      </w:pPr>
      <w:r>
        <w:rPr>
          <w:rFonts w:hint="eastAsia"/>
          <w:b/>
          <w:bCs/>
          <w:sz w:val="24"/>
        </w:rPr>
        <w:t>8</w:t>
      </w:r>
      <w:r>
        <w:rPr>
          <w:rFonts w:hint="eastAsia"/>
          <w:sz w:val="24"/>
        </w:rPr>
        <w:t xml:space="preserve">  管幕连接焊接设备；</w:t>
      </w:r>
    </w:p>
    <w:p>
      <w:pPr>
        <w:spacing w:line="440" w:lineRule="exact"/>
        <w:ind w:firstLine="361" w:firstLineChars="150"/>
        <w:rPr>
          <w:sz w:val="24"/>
        </w:rPr>
      </w:pPr>
      <w:r>
        <w:rPr>
          <w:rFonts w:hint="eastAsia"/>
          <w:b/>
          <w:bCs/>
          <w:sz w:val="24"/>
        </w:rPr>
        <w:t>9</w:t>
      </w:r>
      <w:r>
        <w:rPr>
          <w:rFonts w:hint="eastAsia"/>
          <w:sz w:val="24"/>
        </w:rPr>
        <w:t xml:space="preserve">  工作井内临时降排水设施。</w:t>
      </w:r>
    </w:p>
    <w:p>
      <w:pPr>
        <w:spacing w:line="440" w:lineRule="exact"/>
        <w:rPr>
          <w:sz w:val="24"/>
        </w:rPr>
      </w:pPr>
      <w:r>
        <w:rPr>
          <w:rFonts w:hint="eastAsia"/>
          <w:b/>
          <w:bCs/>
          <w:sz w:val="24"/>
        </w:rPr>
        <w:t>5.</w:t>
      </w:r>
      <w:r>
        <w:rPr>
          <w:b/>
          <w:bCs/>
          <w:sz w:val="24"/>
        </w:rPr>
        <w:t>4.</w:t>
      </w:r>
      <w:r>
        <w:rPr>
          <w:rFonts w:hint="eastAsia"/>
          <w:b/>
          <w:bCs/>
          <w:sz w:val="24"/>
        </w:rPr>
        <w:t>3</w:t>
      </w:r>
      <w:r>
        <w:rPr>
          <w:rFonts w:hint="eastAsia"/>
          <w:sz w:val="24"/>
        </w:rPr>
        <w:t xml:space="preserve">  垂直与水平运输系统</w:t>
      </w:r>
    </w:p>
    <w:p>
      <w:pPr>
        <w:spacing w:line="440" w:lineRule="exact"/>
        <w:ind w:firstLine="361" w:firstLineChars="150"/>
        <w:rPr>
          <w:sz w:val="24"/>
        </w:rPr>
      </w:pPr>
      <w:r>
        <w:rPr>
          <w:rFonts w:hint="eastAsia"/>
          <w:b/>
          <w:bCs/>
          <w:sz w:val="24"/>
        </w:rPr>
        <w:t>1</w:t>
      </w:r>
      <w:r>
        <w:rPr>
          <w:rFonts w:hint="eastAsia"/>
          <w:sz w:val="24"/>
        </w:rPr>
        <w:t xml:space="preserve">  施工期间的运输系统主要包括工作井内垂直运输、洞室内水平运输、顶进钢管内水平运输等多个系统，可根据施工进度分段设置。</w:t>
      </w:r>
    </w:p>
    <w:p>
      <w:pPr>
        <w:spacing w:line="440" w:lineRule="exact"/>
        <w:ind w:firstLine="361" w:firstLineChars="150"/>
        <w:rPr>
          <w:sz w:val="24"/>
        </w:rPr>
      </w:pPr>
      <w:r>
        <w:rPr>
          <w:rFonts w:hint="eastAsia"/>
          <w:b/>
          <w:bCs/>
          <w:sz w:val="24"/>
        </w:rPr>
        <w:t>2</w:t>
      </w:r>
      <w:r>
        <w:rPr>
          <w:rFonts w:hint="eastAsia"/>
          <w:sz w:val="24"/>
        </w:rPr>
        <w:t xml:space="preserve">  渣土垂直运输可采用新型内立式皮带机垂直运输，安全性能号、运输效率高。</w:t>
      </w:r>
    </w:p>
    <w:p>
      <w:pPr>
        <w:spacing w:line="440" w:lineRule="exact"/>
        <w:rPr>
          <w:sz w:val="24"/>
        </w:rPr>
      </w:pPr>
      <w:r>
        <w:rPr>
          <w:rFonts w:hint="eastAsia"/>
          <w:sz w:val="24"/>
        </w:rPr>
        <w:t>5.</w:t>
      </w:r>
      <w:r>
        <w:rPr>
          <w:sz w:val="24"/>
        </w:rPr>
        <w:t>4</w:t>
      </w:r>
      <w:r>
        <w:rPr>
          <w:rFonts w:hint="eastAsia"/>
          <w:sz w:val="24"/>
        </w:rPr>
        <w:t>.4  施工通风系统</w:t>
      </w:r>
    </w:p>
    <w:p>
      <w:pPr>
        <w:spacing w:line="440" w:lineRule="exact"/>
        <w:ind w:firstLine="361" w:firstLineChars="150"/>
        <w:rPr>
          <w:sz w:val="24"/>
        </w:rPr>
      </w:pPr>
      <w:r>
        <w:rPr>
          <w:rFonts w:hint="eastAsia"/>
          <w:b/>
          <w:bCs/>
          <w:sz w:val="24"/>
        </w:rPr>
        <w:t>1</w:t>
      </w:r>
      <w:r>
        <w:rPr>
          <w:rFonts w:hint="eastAsia"/>
          <w:sz w:val="24"/>
        </w:rPr>
        <w:t xml:space="preserve">  管幕施工一般在工作井或洞室内施工，属暗挖初支结构，井下通风系统设置非常重要，应在施工组织设计中明确表述专门通风系统的设置及检测、维保要求。</w:t>
      </w:r>
    </w:p>
    <w:p>
      <w:pPr>
        <w:spacing w:line="440" w:lineRule="exact"/>
        <w:ind w:firstLine="361" w:firstLineChars="150"/>
        <w:rPr>
          <w:sz w:val="24"/>
        </w:rPr>
      </w:pPr>
      <w:r>
        <w:rPr>
          <w:rFonts w:hint="eastAsia"/>
          <w:b/>
          <w:bCs/>
          <w:sz w:val="24"/>
        </w:rPr>
        <w:t>3</w:t>
      </w:r>
      <w:r>
        <w:rPr>
          <w:rFonts w:hint="eastAsia"/>
          <w:sz w:val="24"/>
        </w:rPr>
        <w:t xml:space="preserve">  在进行钢管切割、焊接等作业产生大量烟尘，送风量应保证作业面烟尘及时排出，并需要计算确定。</w:t>
      </w:r>
    </w:p>
    <w:p>
      <w:pPr>
        <w:spacing w:before="156" w:beforeLines="50" w:after="156" w:afterLines="50" w:line="440" w:lineRule="exact"/>
        <w:jc w:val="center"/>
        <w:outlineLvl w:val="1"/>
        <w:rPr>
          <w:rFonts w:eastAsia="黑体"/>
          <w:sz w:val="24"/>
        </w:rPr>
      </w:pPr>
      <w:bookmarkStart w:id="215" w:name="_Toc26408"/>
      <w:bookmarkStart w:id="216" w:name="_Toc27516"/>
      <w:bookmarkStart w:id="217" w:name="_Toc9308"/>
      <w:r>
        <w:rPr>
          <w:rFonts w:hint="eastAsia" w:eastAsia="黑体"/>
          <w:sz w:val="24"/>
        </w:rPr>
        <w:t>5.</w:t>
      </w:r>
      <w:r>
        <w:rPr>
          <w:rFonts w:eastAsia="黑体"/>
          <w:sz w:val="24"/>
        </w:rPr>
        <w:t>5</w:t>
      </w:r>
      <w:r>
        <w:rPr>
          <w:rFonts w:hint="eastAsia" w:eastAsia="黑体"/>
          <w:sz w:val="24"/>
        </w:rPr>
        <w:t xml:space="preserve">  工作井与洞室施工</w:t>
      </w:r>
      <w:bookmarkEnd w:id="215"/>
      <w:bookmarkEnd w:id="216"/>
      <w:bookmarkEnd w:id="217"/>
    </w:p>
    <w:p>
      <w:pPr>
        <w:spacing w:line="440" w:lineRule="exact"/>
        <w:rPr>
          <w:sz w:val="24"/>
        </w:rPr>
      </w:pPr>
      <w:r>
        <w:rPr>
          <w:rFonts w:hint="eastAsia"/>
          <w:b/>
          <w:bCs/>
          <w:sz w:val="24"/>
        </w:rPr>
        <w:t>5.</w:t>
      </w:r>
      <w:r>
        <w:rPr>
          <w:b/>
          <w:bCs/>
          <w:sz w:val="24"/>
        </w:rPr>
        <w:t>5</w:t>
      </w:r>
      <w:r>
        <w:rPr>
          <w:rFonts w:hint="eastAsia"/>
          <w:b/>
          <w:bCs/>
          <w:sz w:val="24"/>
        </w:rPr>
        <w:t>.1</w:t>
      </w:r>
      <w:r>
        <w:rPr>
          <w:rFonts w:hint="eastAsia"/>
          <w:sz w:val="24"/>
        </w:rPr>
        <w:t xml:space="preserve">  根据管幕施工工艺不同，工作井及洞室需求尺寸、功能不同，拉管法、夯管法工作井与洞室仅需要提供作业空间即可，而顶进法及顶管法工作井与洞室还需要提供推进反力；同时为便于下步结构施工，尚应为结构施工提供空间。工作井的深度和大小应大于地下工程结构轮廓，并应满足钢管的吊装、顶进作业要求；工作井的宽度宜大于结构轮廓线1.5m，深度宜大于结构底标高1.0m。</w:t>
      </w:r>
    </w:p>
    <w:p>
      <w:pPr>
        <w:spacing w:line="440" w:lineRule="exact"/>
        <w:rPr>
          <w:sz w:val="24"/>
        </w:rPr>
      </w:pPr>
      <w:r>
        <w:rPr>
          <w:rFonts w:hint="eastAsia"/>
          <w:b/>
          <w:bCs/>
          <w:sz w:val="24"/>
        </w:rPr>
        <w:t>5.</w:t>
      </w:r>
      <w:r>
        <w:rPr>
          <w:b/>
          <w:bCs/>
          <w:sz w:val="24"/>
        </w:rPr>
        <w:t>5</w:t>
      </w:r>
      <w:r>
        <w:rPr>
          <w:rFonts w:hint="eastAsia"/>
          <w:b/>
          <w:bCs/>
          <w:sz w:val="24"/>
        </w:rPr>
        <w:t>.4</w:t>
      </w:r>
      <w:r>
        <w:rPr>
          <w:rFonts w:hint="eastAsia"/>
          <w:sz w:val="24"/>
        </w:rPr>
        <w:t xml:space="preserve">  工作井施工应根据考虑工程环境、作业条件、地质及水文条件、施工安全因素等，并经技术经济必选后确定桩锚结构、桩撑结构或倒挂井壁法、暗挖法等结构形式。</w:t>
      </w:r>
    </w:p>
    <w:p>
      <w:pPr>
        <w:spacing w:line="440" w:lineRule="exact"/>
        <w:rPr>
          <w:sz w:val="28"/>
          <w:szCs w:val="28"/>
        </w:rPr>
      </w:pPr>
      <w:r>
        <w:rPr>
          <w:rFonts w:hint="eastAsia"/>
          <w:b/>
          <w:bCs/>
          <w:sz w:val="24"/>
        </w:rPr>
        <w:t>5.</w:t>
      </w:r>
      <w:r>
        <w:rPr>
          <w:b/>
          <w:bCs/>
          <w:sz w:val="24"/>
        </w:rPr>
        <w:t>5</w:t>
      </w:r>
      <w:r>
        <w:rPr>
          <w:rFonts w:hint="eastAsia"/>
          <w:b/>
          <w:bCs/>
          <w:sz w:val="24"/>
        </w:rPr>
        <w:t>.5</w:t>
      </w:r>
      <w:r>
        <w:rPr>
          <w:rFonts w:hint="eastAsia"/>
          <w:sz w:val="24"/>
        </w:rPr>
        <w:t xml:space="preserve">  根据有关规定超过3m深的或采用暗挖法的工作井均应制定专项施工方案，并根据受力条件和便于施工等因素设计</w:t>
      </w:r>
      <w:r>
        <w:rPr>
          <w:rFonts w:hint="eastAsia"/>
          <w:sz w:val="28"/>
          <w:szCs w:val="28"/>
        </w:rPr>
        <w:t>。</w:t>
      </w:r>
    </w:p>
    <w:p>
      <w:pPr>
        <w:rPr>
          <w:rFonts w:ascii="宋体" w:hAnsi="宋体"/>
        </w:rPr>
      </w:pPr>
      <w:r>
        <w:rPr>
          <w:rFonts w:hint="eastAsia" w:ascii="宋体" w:hAnsi="宋体"/>
        </w:rPr>
        <w:br w:type="page"/>
      </w:r>
    </w:p>
    <w:p>
      <w:pPr>
        <w:spacing w:before="156" w:beforeLines="50" w:after="156" w:afterLines="50"/>
        <w:jc w:val="center"/>
        <w:outlineLvl w:val="0"/>
        <w:rPr>
          <w:sz w:val="32"/>
          <w:szCs w:val="20"/>
        </w:rPr>
      </w:pPr>
      <w:bookmarkStart w:id="218" w:name="_Toc13254"/>
      <w:bookmarkStart w:id="219" w:name="_Toc2341"/>
      <w:bookmarkStart w:id="220" w:name="_Toc1539"/>
      <w:r>
        <w:rPr>
          <w:rFonts w:hint="eastAsia"/>
          <w:sz w:val="32"/>
          <w:szCs w:val="20"/>
        </w:rPr>
        <w:t>6  管幕钢管及附件制作</w:t>
      </w:r>
      <w:bookmarkEnd w:id="218"/>
      <w:bookmarkEnd w:id="219"/>
      <w:bookmarkEnd w:id="220"/>
    </w:p>
    <w:p>
      <w:pPr>
        <w:spacing w:before="156" w:beforeLines="50" w:after="156" w:afterLines="50" w:line="440" w:lineRule="exact"/>
        <w:jc w:val="center"/>
        <w:outlineLvl w:val="1"/>
        <w:rPr>
          <w:rFonts w:eastAsia="黑体"/>
          <w:sz w:val="24"/>
        </w:rPr>
      </w:pPr>
      <w:bookmarkStart w:id="221" w:name="_Toc10908"/>
      <w:bookmarkStart w:id="222" w:name="_Toc22196"/>
      <w:bookmarkStart w:id="223" w:name="_Toc24973"/>
      <w:r>
        <w:rPr>
          <w:rFonts w:hint="eastAsia" w:eastAsia="黑体"/>
          <w:sz w:val="24"/>
        </w:rPr>
        <w:t>6.1  一 般 规 定</w:t>
      </w:r>
      <w:bookmarkEnd w:id="221"/>
      <w:bookmarkEnd w:id="222"/>
      <w:bookmarkEnd w:id="223"/>
    </w:p>
    <w:p>
      <w:pPr>
        <w:spacing w:line="440" w:lineRule="exact"/>
        <w:rPr>
          <w:sz w:val="24"/>
        </w:rPr>
      </w:pPr>
      <w:r>
        <w:rPr>
          <w:rFonts w:hint="eastAsia"/>
          <w:b/>
          <w:bCs/>
          <w:sz w:val="24"/>
        </w:rPr>
        <w:t>6.1.1</w:t>
      </w:r>
      <w:r>
        <w:rPr>
          <w:rFonts w:hint="eastAsia"/>
          <w:sz w:val="24"/>
        </w:rPr>
        <w:t xml:space="preserve">  管幕制作包括了钢管及其常用附件的制作，附件的型式种类按照设计及实际情况会有所不同。</w:t>
      </w:r>
    </w:p>
    <w:p>
      <w:pPr>
        <w:spacing w:line="440" w:lineRule="exact"/>
        <w:rPr>
          <w:sz w:val="24"/>
        </w:rPr>
      </w:pPr>
      <w:r>
        <w:rPr>
          <w:rFonts w:hint="eastAsia"/>
          <w:b/>
          <w:bCs/>
          <w:sz w:val="24"/>
        </w:rPr>
        <w:t>6.</w:t>
      </w:r>
      <w:r>
        <w:rPr>
          <w:b/>
          <w:bCs/>
          <w:sz w:val="24"/>
        </w:rPr>
        <w:t>1.2</w:t>
      </w:r>
      <w:r>
        <w:rPr>
          <w:rFonts w:hint="eastAsia"/>
          <w:sz w:val="24"/>
        </w:rPr>
        <w:t xml:space="preserve">  管幕钢管及附件加工制作要求与采用的施工方法相对应，满足拉管法、夯管法、钻进顶管法、机械顶管法等施工规范要求。</w:t>
      </w:r>
    </w:p>
    <w:p>
      <w:pPr>
        <w:spacing w:before="156" w:beforeLines="50" w:after="156" w:afterLines="50" w:line="440" w:lineRule="exact"/>
        <w:jc w:val="center"/>
        <w:outlineLvl w:val="1"/>
        <w:rPr>
          <w:rFonts w:eastAsia="黑体"/>
          <w:sz w:val="24"/>
        </w:rPr>
      </w:pPr>
      <w:bookmarkStart w:id="224" w:name="_Toc3443"/>
      <w:bookmarkStart w:id="225" w:name="_Toc28278"/>
      <w:bookmarkStart w:id="226" w:name="_Toc24902"/>
      <w:r>
        <w:rPr>
          <w:rFonts w:hint="eastAsia" w:eastAsia="黑体"/>
          <w:sz w:val="24"/>
        </w:rPr>
        <w:t>6.2  钢</w:t>
      </w:r>
      <w:r>
        <w:rPr>
          <w:rFonts w:hint="eastAsia" w:eastAsia="黑体"/>
          <w:sz w:val="24"/>
          <w:lang w:val="en-US" w:eastAsia="zh-CN"/>
        </w:rPr>
        <w:t xml:space="preserve"> </w:t>
      </w:r>
      <w:r>
        <w:rPr>
          <w:rFonts w:hint="eastAsia" w:eastAsia="黑体"/>
          <w:sz w:val="24"/>
        </w:rPr>
        <w:t>管</w:t>
      </w:r>
      <w:r>
        <w:rPr>
          <w:rFonts w:hint="eastAsia" w:eastAsia="黑体"/>
          <w:sz w:val="24"/>
          <w:lang w:val="en-US" w:eastAsia="zh-CN"/>
        </w:rPr>
        <w:t xml:space="preserve"> </w:t>
      </w:r>
      <w:r>
        <w:rPr>
          <w:rFonts w:hint="eastAsia" w:eastAsia="黑体"/>
          <w:sz w:val="24"/>
        </w:rPr>
        <w:t>制</w:t>
      </w:r>
      <w:r>
        <w:rPr>
          <w:rFonts w:hint="eastAsia" w:eastAsia="黑体"/>
          <w:sz w:val="24"/>
          <w:lang w:val="en-US" w:eastAsia="zh-CN"/>
        </w:rPr>
        <w:t xml:space="preserve"> </w:t>
      </w:r>
      <w:r>
        <w:rPr>
          <w:rFonts w:hint="eastAsia" w:eastAsia="黑体"/>
          <w:sz w:val="24"/>
        </w:rPr>
        <w:t>作</w:t>
      </w:r>
      <w:bookmarkEnd w:id="224"/>
      <w:bookmarkEnd w:id="225"/>
      <w:bookmarkEnd w:id="226"/>
    </w:p>
    <w:p>
      <w:pPr>
        <w:spacing w:line="440" w:lineRule="exact"/>
        <w:rPr>
          <w:sz w:val="24"/>
        </w:rPr>
      </w:pPr>
      <w:r>
        <w:rPr>
          <w:rFonts w:hint="eastAsia"/>
          <w:b/>
          <w:bCs/>
          <w:sz w:val="24"/>
        </w:rPr>
        <w:t>6.2.2</w:t>
      </w:r>
      <w:r>
        <w:rPr>
          <w:rFonts w:hint="eastAsia"/>
          <w:sz w:val="24"/>
        </w:rPr>
        <w:t xml:space="preserve">  《结构用无缝钢管》GB/T8162适用于无缝钢管、《结构用直缝埋弧焊接钢管》GB/T30063适用于直缝焊管。</w:t>
      </w:r>
    </w:p>
    <w:p>
      <w:pPr>
        <w:spacing w:line="440" w:lineRule="exact"/>
        <w:rPr>
          <w:sz w:val="24"/>
        </w:rPr>
      </w:pPr>
      <w:r>
        <w:rPr>
          <w:rFonts w:hint="eastAsia"/>
          <w:b/>
          <w:bCs/>
          <w:sz w:val="24"/>
        </w:rPr>
        <w:t>6.2.3</w:t>
      </w:r>
      <w:r>
        <w:rPr>
          <w:rFonts w:hint="eastAsia"/>
          <w:sz w:val="24"/>
        </w:rPr>
        <w:t xml:space="preserve">  尽可能减少现场焊接，接头错开的距离根据管节长度模数方便施工来确定。</w:t>
      </w:r>
    </w:p>
    <w:p>
      <w:pPr>
        <w:spacing w:line="440" w:lineRule="exact"/>
        <w:rPr>
          <w:sz w:val="24"/>
        </w:rPr>
      </w:pPr>
      <w:r>
        <w:rPr>
          <w:rFonts w:hint="eastAsia"/>
          <w:b/>
          <w:bCs/>
          <w:sz w:val="24"/>
        </w:rPr>
        <w:t>6.2.4</w:t>
      </w:r>
      <w:r>
        <w:rPr>
          <w:rFonts w:hint="eastAsia"/>
          <w:sz w:val="24"/>
        </w:rPr>
        <w:t xml:space="preserve">  管材壁厚大于12mm的应采用气割。</w:t>
      </w:r>
    </w:p>
    <w:p>
      <w:pPr>
        <w:spacing w:line="440" w:lineRule="exact"/>
        <w:rPr>
          <w:sz w:val="24"/>
        </w:rPr>
      </w:pPr>
      <w:r>
        <w:rPr>
          <w:rFonts w:hint="eastAsia"/>
          <w:b/>
          <w:bCs/>
          <w:sz w:val="24"/>
        </w:rPr>
        <w:t xml:space="preserve">6.2.7  </w:t>
      </w:r>
      <w:r>
        <w:rPr>
          <w:rFonts w:hint="eastAsia"/>
          <w:sz w:val="24"/>
        </w:rPr>
        <w:t>顶进端接触顶进设备为满足受力要求，顶进端不应设置坡口。</w:t>
      </w:r>
    </w:p>
    <w:p>
      <w:pPr>
        <w:spacing w:line="440" w:lineRule="exact"/>
        <w:rPr>
          <w:sz w:val="24"/>
        </w:rPr>
      </w:pPr>
      <w:r>
        <w:rPr>
          <w:rFonts w:hint="eastAsia"/>
          <w:b/>
          <w:bCs/>
          <w:sz w:val="24"/>
        </w:rPr>
        <w:t>6.2.9</w:t>
      </w:r>
      <w:r>
        <w:rPr>
          <w:rFonts w:hint="eastAsia"/>
          <w:sz w:val="24"/>
        </w:rPr>
        <w:t xml:space="preserve">  尤其针对大直径钢管、吊装运输过程易产生变形，管节端部应设置临时内撑。</w:t>
      </w:r>
    </w:p>
    <w:p>
      <w:pPr>
        <w:spacing w:before="156" w:beforeLines="50" w:after="156" w:afterLines="50" w:line="440" w:lineRule="exact"/>
        <w:jc w:val="center"/>
        <w:outlineLvl w:val="1"/>
        <w:rPr>
          <w:rFonts w:eastAsia="黑体"/>
          <w:sz w:val="24"/>
        </w:rPr>
      </w:pPr>
      <w:bookmarkStart w:id="227" w:name="_Toc4442"/>
      <w:bookmarkStart w:id="228" w:name="_Toc9061"/>
      <w:bookmarkStart w:id="229" w:name="_Toc15134"/>
      <w:r>
        <w:rPr>
          <w:rFonts w:hint="eastAsia" w:eastAsia="黑体"/>
          <w:sz w:val="24"/>
        </w:rPr>
        <w:t>6.3  管幕钢管附件</w:t>
      </w:r>
      <w:bookmarkEnd w:id="227"/>
      <w:bookmarkEnd w:id="228"/>
      <w:bookmarkEnd w:id="229"/>
    </w:p>
    <w:p>
      <w:pPr>
        <w:spacing w:line="440" w:lineRule="exact"/>
        <w:rPr>
          <w:sz w:val="24"/>
        </w:rPr>
      </w:pPr>
      <w:r>
        <w:rPr>
          <w:rFonts w:hint="eastAsia"/>
          <w:b/>
          <w:bCs/>
          <w:sz w:val="24"/>
        </w:rPr>
        <w:t>6.3.1</w:t>
      </w:r>
      <w:r>
        <w:rPr>
          <w:rFonts w:hint="eastAsia"/>
          <w:sz w:val="24"/>
        </w:rPr>
        <w:t xml:space="preserve">  本条所列附件为常用型式、实际情况或有增减。</w:t>
      </w:r>
    </w:p>
    <w:p>
      <w:pPr>
        <w:spacing w:line="440" w:lineRule="exact"/>
        <w:rPr>
          <w:sz w:val="24"/>
        </w:rPr>
      </w:pPr>
      <w:r>
        <w:rPr>
          <w:rFonts w:hint="eastAsia"/>
          <w:b/>
          <w:bCs/>
          <w:sz w:val="24"/>
        </w:rPr>
        <w:t>6.3.2</w:t>
      </w:r>
      <w:r>
        <w:rPr>
          <w:rFonts w:hint="eastAsia"/>
          <w:sz w:val="24"/>
        </w:rPr>
        <w:t xml:space="preserve">  规格尺寸、力学性能除满足设计要求外还应满足其材料现行国家标准。</w:t>
      </w:r>
    </w:p>
    <w:p>
      <w:pPr>
        <w:spacing w:line="440" w:lineRule="exact"/>
        <w:rPr>
          <w:sz w:val="24"/>
        </w:rPr>
      </w:pPr>
      <w:r>
        <w:rPr>
          <w:rFonts w:hint="eastAsia"/>
          <w:b/>
          <w:bCs/>
          <w:sz w:val="24"/>
        </w:rPr>
        <w:t xml:space="preserve">6.3.3 </w:t>
      </w:r>
      <w:r>
        <w:rPr>
          <w:rFonts w:hint="eastAsia"/>
          <w:sz w:val="24"/>
        </w:rPr>
        <w:t xml:space="preserve"> 本条所列锁扣型式为常用型式，实际或有所不同，锁扣端口与钢管端口的距离主要是便于管幕顶进过程中管节焊接。</w:t>
      </w:r>
    </w:p>
    <w:p>
      <w:pPr>
        <w:spacing w:line="440" w:lineRule="exact"/>
        <w:rPr>
          <w:sz w:val="24"/>
        </w:rPr>
      </w:pPr>
      <w:r>
        <w:rPr>
          <w:rFonts w:hint="eastAsia"/>
          <w:b/>
          <w:bCs/>
          <w:sz w:val="24"/>
        </w:rPr>
        <w:t>6.3.4</w:t>
      </w:r>
      <w:r>
        <w:rPr>
          <w:rFonts w:hint="eastAsia"/>
          <w:sz w:val="24"/>
        </w:rPr>
        <w:t xml:space="preserve">  一般采用气割、机械切割、等离子切割等方法；切割后的毛边、毛刺应清理干净，切割面应无裂纹、夹渣、分层等缺陷和大于1mm的缺棱。</w:t>
      </w:r>
    </w:p>
    <w:p>
      <w:pPr>
        <w:spacing w:line="440" w:lineRule="exact"/>
        <w:rPr>
          <w:sz w:val="24"/>
        </w:rPr>
      </w:pPr>
      <w:r>
        <w:rPr>
          <w:rFonts w:hint="eastAsia"/>
          <w:b/>
          <w:bCs/>
          <w:sz w:val="24"/>
        </w:rPr>
        <w:t>6.3.6</w:t>
      </w:r>
      <w:r>
        <w:rPr>
          <w:rFonts w:hint="eastAsia"/>
          <w:sz w:val="24"/>
        </w:rPr>
        <w:t xml:space="preserve">  专用焊接操作平台也称为工装平台，工装平台尺寸偏差一般为±2mm。</w:t>
      </w:r>
    </w:p>
    <w:p>
      <w:pPr>
        <w:spacing w:line="440" w:lineRule="exact"/>
        <w:rPr>
          <w:sz w:val="24"/>
        </w:rPr>
      </w:pPr>
      <w:r>
        <w:rPr>
          <w:rFonts w:hint="eastAsia"/>
          <w:b/>
          <w:bCs/>
          <w:sz w:val="24"/>
        </w:rPr>
        <w:t>6.3.</w:t>
      </w:r>
      <w:r>
        <w:rPr>
          <w:b/>
          <w:bCs/>
          <w:sz w:val="24"/>
        </w:rPr>
        <w:t>7</w:t>
      </w:r>
      <w:r>
        <w:rPr>
          <w:rFonts w:hint="eastAsia"/>
          <w:sz w:val="24"/>
        </w:rPr>
        <w:t xml:space="preserve">  采用单面角焊缝是因为达不到双面焊操作条件。</w:t>
      </w:r>
    </w:p>
    <w:p>
      <w:pPr>
        <w:spacing w:line="440" w:lineRule="exact"/>
        <w:rPr>
          <w:sz w:val="24"/>
        </w:rPr>
      </w:pPr>
      <w:r>
        <w:rPr>
          <w:rFonts w:hint="eastAsia"/>
          <w:b/>
          <w:bCs/>
          <w:sz w:val="24"/>
        </w:rPr>
        <w:t>6.3.9</w:t>
      </w:r>
      <w:r>
        <w:rPr>
          <w:rFonts w:hint="eastAsia"/>
          <w:sz w:val="24"/>
        </w:rPr>
        <w:t xml:space="preserve">  推荐现场采用数控自动焊主要是为了提高焊接工效尤其针对锁扣与钢管间的焊接。</w:t>
      </w:r>
    </w:p>
    <w:p>
      <w:pPr>
        <w:spacing w:before="156" w:beforeLines="50" w:after="156" w:afterLines="50" w:line="440" w:lineRule="exact"/>
        <w:jc w:val="center"/>
        <w:outlineLvl w:val="1"/>
        <w:rPr>
          <w:rFonts w:eastAsia="黑体"/>
          <w:sz w:val="24"/>
        </w:rPr>
      </w:pPr>
      <w:bookmarkStart w:id="230" w:name="_Toc14828"/>
      <w:bookmarkStart w:id="231" w:name="_Toc723"/>
      <w:bookmarkStart w:id="232" w:name="_Toc1536"/>
      <w:r>
        <w:rPr>
          <w:rFonts w:hint="eastAsia" w:eastAsia="黑体"/>
          <w:sz w:val="24"/>
        </w:rPr>
        <w:t>6.4  管内骨架制作</w:t>
      </w:r>
      <w:bookmarkEnd w:id="230"/>
      <w:bookmarkEnd w:id="231"/>
      <w:bookmarkEnd w:id="232"/>
    </w:p>
    <w:p>
      <w:pPr>
        <w:spacing w:line="440" w:lineRule="exact"/>
        <w:rPr>
          <w:sz w:val="24"/>
        </w:rPr>
      </w:pPr>
      <w:r>
        <w:rPr>
          <w:rFonts w:hint="eastAsia"/>
          <w:b/>
          <w:bCs/>
          <w:sz w:val="24"/>
        </w:rPr>
        <w:t>6.4.1</w:t>
      </w:r>
      <w:r>
        <w:rPr>
          <w:rFonts w:hint="eastAsia"/>
          <w:sz w:val="24"/>
        </w:rPr>
        <w:t xml:space="preserve">  管幕内骨架型式按照设计要求。</w:t>
      </w:r>
    </w:p>
    <w:p>
      <w:pPr>
        <w:spacing w:line="440" w:lineRule="exact"/>
        <w:rPr>
          <w:rFonts w:ascii="宋体" w:hAnsi="宋体"/>
        </w:rPr>
      </w:pPr>
      <w:r>
        <w:rPr>
          <w:rFonts w:hint="eastAsia"/>
          <w:b/>
          <w:bCs/>
          <w:sz w:val="24"/>
        </w:rPr>
        <w:t>6.4.2</w:t>
      </w:r>
      <w:r>
        <w:rPr>
          <w:rFonts w:hint="eastAsia"/>
          <w:sz w:val="24"/>
        </w:rPr>
        <w:t xml:space="preserve">  再满足运输和吊装条件下钢筋笼节段尽可能长，减少对接接头。</w:t>
      </w:r>
      <w:r>
        <w:rPr>
          <w:rFonts w:hint="eastAsia" w:ascii="宋体" w:hAnsi="宋体"/>
        </w:rPr>
        <w:br w:type="page"/>
      </w:r>
    </w:p>
    <w:p>
      <w:pPr>
        <w:spacing w:before="156" w:beforeLines="50" w:after="156" w:afterLines="50"/>
        <w:jc w:val="center"/>
        <w:outlineLvl w:val="0"/>
        <w:rPr>
          <w:sz w:val="32"/>
          <w:szCs w:val="20"/>
        </w:rPr>
      </w:pPr>
      <w:bookmarkStart w:id="233" w:name="_Toc12748"/>
      <w:bookmarkStart w:id="234" w:name="_Toc23892"/>
      <w:bookmarkStart w:id="235" w:name="_Toc10950"/>
      <w:r>
        <w:rPr>
          <w:rFonts w:hint="eastAsia"/>
          <w:sz w:val="32"/>
          <w:szCs w:val="20"/>
        </w:rPr>
        <w:t>7  管幕钢管顶进施工</w:t>
      </w:r>
      <w:bookmarkEnd w:id="233"/>
      <w:bookmarkEnd w:id="234"/>
      <w:bookmarkEnd w:id="235"/>
    </w:p>
    <w:p>
      <w:pPr>
        <w:spacing w:before="156" w:beforeLines="50" w:after="156" w:afterLines="50" w:line="440" w:lineRule="exact"/>
        <w:jc w:val="center"/>
        <w:outlineLvl w:val="1"/>
        <w:rPr>
          <w:rFonts w:eastAsia="黑体"/>
          <w:sz w:val="24"/>
        </w:rPr>
      </w:pPr>
      <w:bookmarkStart w:id="236" w:name="_Toc23911"/>
      <w:bookmarkStart w:id="237" w:name="_Toc11760"/>
      <w:bookmarkStart w:id="238" w:name="_Toc2046"/>
      <w:r>
        <w:rPr>
          <w:rFonts w:hint="eastAsia" w:eastAsia="黑体"/>
          <w:sz w:val="24"/>
        </w:rPr>
        <w:t>7.1  一 般 规 定</w:t>
      </w:r>
      <w:bookmarkEnd w:id="236"/>
      <w:bookmarkEnd w:id="237"/>
      <w:bookmarkEnd w:id="238"/>
    </w:p>
    <w:p>
      <w:pPr>
        <w:spacing w:line="440" w:lineRule="exact"/>
        <w:rPr>
          <w:sz w:val="24"/>
        </w:rPr>
      </w:pPr>
      <w:r>
        <w:rPr>
          <w:rFonts w:hint="eastAsia"/>
          <w:b/>
          <w:bCs/>
          <w:sz w:val="24"/>
        </w:rPr>
        <w:t>7.1.</w:t>
      </w:r>
      <w:r>
        <w:rPr>
          <w:b/>
          <w:bCs/>
          <w:sz w:val="24"/>
        </w:rPr>
        <w:t>1</w:t>
      </w:r>
      <w:r>
        <w:rPr>
          <w:rFonts w:hint="eastAsia"/>
          <w:sz w:val="24"/>
        </w:rPr>
        <w:t xml:space="preserve">  应根据工程地质和水文地质条件、施工条件及周边环境、顶进距离、顶推力、管幕规格及材料等，经技术、经济比选确定；并应重视当地经验，因地制宜，合理选择辅助工法、设备及地下水控制措施。</w:t>
      </w:r>
    </w:p>
    <w:p>
      <w:pPr>
        <w:spacing w:line="440" w:lineRule="exact"/>
        <w:rPr>
          <w:sz w:val="24"/>
        </w:rPr>
      </w:pPr>
      <w:r>
        <w:rPr>
          <w:rFonts w:hint="eastAsia"/>
          <w:b/>
          <w:bCs/>
          <w:sz w:val="24"/>
        </w:rPr>
        <w:t>7.1.</w:t>
      </w:r>
      <w:r>
        <w:rPr>
          <w:b/>
          <w:bCs/>
          <w:sz w:val="24"/>
        </w:rPr>
        <w:t>3</w:t>
      </w:r>
      <w:r>
        <w:rPr>
          <w:rFonts w:hint="eastAsia"/>
          <w:sz w:val="24"/>
        </w:rPr>
        <w:t xml:space="preserve">  管幕钢管顶进施工设试验段，目的是验证设计参数与地质条件及施工环境的适应性。在管幕正式施工前，一般现场选择类似地层及环境施做3根试验管幕，是为了掌握、摸索、了解、验证管幕设备适应性能、施工规律以及施工参数等。</w:t>
      </w:r>
    </w:p>
    <w:p>
      <w:pPr>
        <w:spacing w:line="440" w:lineRule="exact"/>
        <w:rPr>
          <w:sz w:val="24"/>
        </w:rPr>
      </w:pPr>
      <w:r>
        <w:rPr>
          <w:rFonts w:hint="eastAsia"/>
          <w:b/>
          <w:bCs/>
          <w:sz w:val="24"/>
        </w:rPr>
        <w:t>7.1.</w:t>
      </w:r>
      <w:r>
        <w:rPr>
          <w:b/>
          <w:bCs/>
          <w:sz w:val="24"/>
        </w:rPr>
        <w:t>4</w:t>
      </w:r>
      <w:r>
        <w:rPr>
          <w:rFonts w:hint="eastAsia"/>
          <w:sz w:val="24"/>
        </w:rPr>
        <w:t xml:space="preserve">  排土方式根据工艺、管径、地层条件、顶进距离等确定，主要有螺旋钻杆排土、泥浆排土、皮带机排土等。</w:t>
      </w:r>
    </w:p>
    <w:p>
      <w:pPr>
        <w:spacing w:line="440" w:lineRule="exact"/>
        <w:rPr>
          <w:sz w:val="24"/>
        </w:rPr>
      </w:pPr>
      <w:r>
        <w:rPr>
          <w:rFonts w:hint="eastAsia"/>
          <w:b/>
          <w:bCs/>
          <w:sz w:val="24"/>
        </w:rPr>
        <w:t>7.1.</w:t>
      </w:r>
      <w:r>
        <w:rPr>
          <w:b/>
          <w:bCs/>
          <w:sz w:val="24"/>
        </w:rPr>
        <w:t>6</w:t>
      </w:r>
      <w:r>
        <w:rPr>
          <w:rFonts w:hint="eastAsia"/>
          <w:sz w:val="24"/>
        </w:rPr>
        <w:t xml:space="preserve">  管幕作为初支结构的一种形式，在保证下部结构施工受力安全的同时，应确保下部结构施工时不侵限，可综合结合测量误差、施工工艺、施工误差、施工及工后沉降等因素，以及下部结构的功能性，沿拟建结构位置适当外放。</w:t>
      </w:r>
    </w:p>
    <w:p>
      <w:pPr>
        <w:spacing w:line="440" w:lineRule="exact"/>
        <w:rPr>
          <w:sz w:val="24"/>
        </w:rPr>
      </w:pPr>
      <w:r>
        <w:rPr>
          <w:rFonts w:hint="eastAsia"/>
          <w:b/>
          <w:bCs/>
          <w:sz w:val="24"/>
        </w:rPr>
        <w:t>7.1.</w:t>
      </w:r>
      <w:r>
        <w:rPr>
          <w:b/>
          <w:bCs/>
          <w:sz w:val="24"/>
        </w:rPr>
        <w:t xml:space="preserve">7 </w:t>
      </w:r>
      <w:r>
        <w:rPr>
          <w:rFonts w:hint="eastAsia"/>
          <w:sz w:val="24"/>
        </w:rPr>
        <w:t xml:space="preserve"> 在管幕施工过程中应采用各种措施实时监测管幕钢管的方向，可能受地层不均等因素影响，出现管幕姿态偏差，应采取措施及时纠偏。</w:t>
      </w:r>
    </w:p>
    <w:p>
      <w:pPr>
        <w:spacing w:before="156" w:beforeLines="50" w:after="156" w:afterLines="50" w:line="440" w:lineRule="exact"/>
        <w:jc w:val="center"/>
        <w:outlineLvl w:val="1"/>
        <w:rPr>
          <w:rFonts w:eastAsia="黑体"/>
          <w:sz w:val="24"/>
        </w:rPr>
      </w:pPr>
      <w:bookmarkStart w:id="239" w:name="_Toc15316"/>
      <w:bookmarkStart w:id="240" w:name="_Toc5394"/>
      <w:bookmarkStart w:id="241" w:name="_Toc3725"/>
      <w:r>
        <w:rPr>
          <w:rFonts w:hint="eastAsia" w:eastAsia="黑体"/>
          <w:sz w:val="24"/>
        </w:rPr>
        <w:t>7.2  拉管法施工</w:t>
      </w:r>
      <w:bookmarkEnd w:id="239"/>
      <w:bookmarkEnd w:id="240"/>
      <w:bookmarkEnd w:id="241"/>
    </w:p>
    <w:p>
      <w:pPr>
        <w:spacing w:line="440" w:lineRule="exact"/>
        <w:rPr>
          <w:sz w:val="24"/>
        </w:rPr>
      </w:pPr>
      <w:r>
        <w:rPr>
          <w:rFonts w:hint="eastAsia"/>
          <w:b/>
          <w:bCs/>
          <w:sz w:val="24"/>
        </w:rPr>
        <w:t>7.2.1</w:t>
      </w:r>
      <w:r>
        <w:rPr>
          <w:rFonts w:hint="eastAsia"/>
          <w:sz w:val="24"/>
        </w:rPr>
        <w:t xml:space="preserve">  本规范的定向钻系指地表式定向钻，包括水平定向钻进、导向钻进、水平钻进等，通常用于均质黏性土地层，不适用于杂填土、自稳能力差的砂性土层、砾石层、岩石或坚硬夹层中钻进。</w:t>
      </w:r>
    </w:p>
    <w:p>
      <w:pPr>
        <w:spacing w:line="440" w:lineRule="exact"/>
        <w:rPr>
          <w:sz w:val="24"/>
        </w:rPr>
      </w:pPr>
      <w:bookmarkStart w:id="242" w:name="_Hlk103461877"/>
      <w:r>
        <w:rPr>
          <w:rFonts w:hint="eastAsia"/>
          <w:b/>
          <w:bCs/>
          <w:sz w:val="24"/>
        </w:rPr>
        <w:t>7.2.</w:t>
      </w:r>
      <w:r>
        <w:rPr>
          <w:b/>
          <w:bCs/>
          <w:sz w:val="24"/>
        </w:rPr>
        <w:t>4</w:t>
      </w:r>
      <w:r>
        <w:rPr>
          <w:rFonts w:hint="eastAsia"/>
          <w:sz w:val="24"/>
        </w:rPr>
        <w:t xml:space="preserve">  </w:t>
      </w:r>
      <w:bookmarkEnd w:id="242"/>
      <w:r>
        <w:rPr>
          <w:rFonts w:hint="eastAsia"/>
          <w:sz w:val="24"/>
        </w:rPr>
        <w:t>本条具体规定了定向钻施工前应做好各项准备工作，包括设备、人员、施工技术参数、管道的地面布置，确认条件具备时方可开始钻进。应根据工程具体情况选择导向探测系统，包括无缆式地表定位导向系统或有缆式地表定位导向系统，在计算机辅助下随钻随测，以指导施工。</w:t>
      </w:r>
    </w:p>
    <w:p>
      <w:pPr>
        <w:spacing w:line="440" w:lineRule="exact"/>
        <w:rPr>
          <w:sz w:val="24"/>
        </w:rPr>
      </w:pPr>
      <w:r>
        <w:rPr>
          <w:rFonts w:hint="eastAsia"/>
          <w:b/>
          <w:bCs/>
          <w:sz w:val="24"/>
        </w:rPr>
        <w:t>7.2.</w:t>
      </w:r>
      <w:r>
        <w:rPr>
          <w:b/>
          <w:bCs/>
          <w:sz w:val="24"/>
        </w:rPr>
        <w:t>5</w:t>
      </w:r>
      <w:r>
        <w:rPr>
          <w:rFonts w:hint="eastAsia"/>
          <w:sz w:val="24"/>
        </w:rPr>
        <w:t xml:space="preserve">  表7.2.2-1钻杆折角表来源于《油气输送管道穿越工程施工规范》 GB 50424-2007中7.3.1条款。</w:t>
      </w:r>
    </w:p>
    <w:p>
      <w:pPr>
        <w:spacing w:line="440" w:lineRule="exact"/>
        <w:rPr>
          <w:sz w:val="24"/>
        </w:rPr>
      </w:pPr>
      <w:r>
        <w:rPr>
          <w:rFonts w:hint="eastAsia"/>
          <w:b/>
          <w:bCs/>
          <w:sz w:val="24"/>
        </w:rPr>
        <w:t>7.2.</w:t>
      </w:r>
      <w:r>
        <w:rPr>
          <w:b/>
          <w:bCs/>
          <w:sz w:val="24"/>
        </w:rPr>
        <w:t>6</w:t>
      </w:r>
      <w:r>
        <w:rPr>
          <w:rFonts w:hint="eastAsia"/>
          <w:sz w:val="24"/>
        </w:rPr>
        <w:t xml:space="preserve">  扩孔应符合下列规定：</w:t>
      </w:r>
    </w:p>
    <w:p>
      <w:pPr>
        <w:spacing w:line="440" w:lineRule="exact"/>
        <w:ind w:firstLine="361" w:firstLineChars="150"/>
        <w:rPr>
          <w:sz w:val="24"/>
        </w:rPr>
      </w:pPr>
      <w:r>
        <w:rPr>
          <w:rFonts w:hint="eastAsia"/>
          <w:b/>
          <w:bCs/>
          <w:sz w:val="24"/>
        </w:rPr>
        <w:t>3</w:t>
      </w:r>
      <w:r>
        <w:rPr>
          <w:rFonts w:hint="eastAsia"/>
          <w:sz w:val="24"/>
        </w:rPr>
        <w:t xml:space="preserve">  扩孔时配合扶正器，目的是防止因地层松软等原因导致的扩孔器下沉等钻孔轨迹偏离导向轨迹的问题；</w:t>
      </w:r>
    </w:p>
    <w:p>
      <w:pPr>
        <w:spacing w:line="440" w:lineRule="exact"/>
        <w:ind w:firstLine="361" w:firstLineChars="150"/>
        <w:rPr>
          <w:sz w:val="24"/>
        </w:rPr>
      </w:pPr>
      <w:r>
        <w:rPr>
          <w:rFonts w:hint="eastAsia"/>
          <w:b/>
          <w:bCs/>
          <w:sz w:val="24"/>
        </w:rPr>
        <w:t>4</w:t>
      </w:r>
      <w:r>
        <w:rPr>
          <w:rFonts w:hint="eastAsia"/>
          <w:sz w:val="24"/>
        </w:rPr>
        <w:t xml:space="preserve">  严格控制回拉力、转速、泥浆流量等技术参数，以确保成孔稳定和线形要求，无坍孔、缩孔等现象；</w:t>
      </w:r>
    </w:p>
    <w:p>
      <w:pPr>
        <w:spacing w:line="440" w:lineRule="exact"/>
        <w:rPr>
          <w:sz w:val="24"/>
        </w:rPr>
      </w:pPr>
      <w:bookmarkStart w:id="243" w:name="_Hlk103462170"/>
      <w:r>
        <w:rPr>
          <w:rFonts w:hint="eastAsia"/>
          <w:b/>
          <w:bCs/>
          <w:sz w:val="24"/>
        </w:rPr>
        <w:t>7.2.</w:t>
      </w:r>
      <w:r>
        <w:rPr>
          <w:b/>
          <w:bCs/>
          <w:sz w:val="24"/>
        </w:rPr>
        <w:t>9</w:t>
      </w:r>
      <w:bookmarkEnd w:id="243"/>
      <w:r>
        <w:rPr>
          <w:rFonts w:hint="eastAsia"/>
          <w:sz w:val="24"/>
        </w:rPr>
        <w:t xml:space="preserve">  回拖应符合下列规定：</w:t>
      </w:r>
    </w:p>
    <w:p>
      <w:pPr>
        <w:spacing w:line="440" w:lineRule="exact"/>
        <w:ind w:firstLine="482" w:firstLineChars="200"/>
        <w:rPr>
          <w:sz w:val="24"/>
        </w:rPr>
      </w:pPr>
      <w:r>
        <w:rPr>
          <w:rFonts w:hint="eastAsia"/>
          <w:b/>
          <w:bCs/>
          <w:sz w:val="24"/>
        </w:rPr>
        <w:t>4</w:t>
      </w:r>
      <w:r>
        <w:rPr>
          <w:rFonts w:hint="eastAsia"/>
          <w:sz w:val="24"/>
        </w:rPr>
        <w:t xml:space="preserve">  回拖过程中的发送装置，可避免管段与地面直接接触和减小摩擦力。</w:t>
      </w:r>
      <w:r>
        <w:rPr>
          <w:sz w:val="24"/>
        </w:rPr>
        <w:t xml:space="preserve"> </w:t>
      </w:r>
    </w:p>
    <w:p>
      <w:pPr>
        <w:spacing w:before="156" w:beforeLines="50" w:after="156" w:afterLines="50" w:line="440" w:lineRule="exact"/>
        <w:jc w:val="center"/>
        <w:outlineLvl w:val="1"/>
        <w:rPr>
          <w:rFonts w:eastAsia="黑体"/>
          <w:sz w:val="24"/>
        </w:rPr>
      </w:pPr>
      <w:bookmarkStart w:id="244" w:name="_Toc30843"/>
      <w:bookmarkStart w:id="245" w:name="_Toc29569"/>
      <w:bookmarkStart w:id="246" w:name="_Toc1707"/>
      <w:r>
        <w:rPr>
          <w:rFonts w:hint="eastAsia" w:eastAsia="黑体"/>
          <w:sz w:val="24"/>
        </w:rPr>
        <w:t>7.3  夯管法施工</w:t>
      </w:r>
      <w:bookmarkEnd w:id="244"/>
      <w:bookmarkEnd w:id="245"/>
      <w:bookmarkEnd w:id="246"/>
    </w:p>
    <w:p>
      <w:pPr>
        <w:spacing w:line="440" w:lineRule="exact"/>
        <w:rPr>
          <w:sz w:val="24"/>
        </w:rPr>
      </w:pPr>
      <w:r>
        <w:rPr>
          <w:rFonts w:hint="eastAsia"/>
          <w:b/>
          <w:bCs/>
          <w:sz w:val="24"/>
        </w:rPr>
        <w:t>7.</w:t>
      </w:r>
      <w:r>
        <w:rPr>
          <w:b/>
          <w:bCs/>
          <w:sz w:val="24"/>
        </w:rPr>
        <w:t>3</w:t>
      </w:r>
      <w:r>
        <w:rPr>
          <w:rFonts w:hint="eastAsia"/>
          <w:b/>
          <w:bCs/>
          <w:sz w:val="24"/>
        </w:rPr>
        <w:t>.</w:t>
      </w:r>
      <w:r>
        <w:rPr>
          <w:b/>
          <w:bCs/>
          <w:sz w:val="24"/>
        </w:rPr>
        <w:t>1</w:t>
      </w:r>
      <w:r>
        <w:rPr>
          <w:rFonts w:hint="eastAsia"/>
          <w:sz w:val="24"/>
        </w:rPr>
        <w:t>本规范的夯管法指在不开挖沟槽的条件下，在工作井中利用夯管锤（气动夯锤）将钢管按管道设计轴线直接夯入地层中（通过撞击管道传力托架直接把管道顶进地下，不需要设置反作用力墙），实现不开挖铺管。夯进过程中，土体进入管内，待管道贯通后将管内土体清出。夯管法施工一般采用钢管，接口为焊接连接方式；通常用于短距离（小于70m）的中、小口径管道的铺设。该方法对土层的适应性较强，当周围施工环境许可时也用于大口径管道铺设。</w:t>
      </w:r>
    </w:p>
    <w:p>
      <w:pPr>
        <w:spacing w:line="440" w:lineRule="exact"/>
        <w:rPr>
          <w:sz w:val="24"/>
        </w:rPr>
      </w:pPr>
      <w:r>
        <w:rPr>
          <w:rFonts w:hint="eastAsia"/>
          <w:b/>
          <w:bCs/>
          <w:sz w:val="24"/>
        </w:rPr>
        <w:t>7.3.</w:t>
      </w:r>
      <w:r>
        <w:rPr>
          <w:b/>
          <w:bCs/>
          <w:sz w:val="24"/>
        </w:rPr>
        <w:t>4</w:t>
      </w:r>
      <w:r>
        <w:rPr>
          <w:rFonts w:hint="eastAsia"/>
          <w:sz w:val="24"/>
        </w:rPr>
        <w:t xml:space="preserve">  夯管施工应符合下列规定：</w:t>
      </w:r>
    </w:p>
    <w:p>
      <w:pPr>
        <w:spacing w:line="440" w:lineRule="exact"/>
        <w:ind w:firstLine="361" w:firstLineChars="150"/>
        <w:rPr>
          <w:sz w:val="24"/>
        </w:rPr>
      </w:pPr>
      <w:r>
        <w:rPr>
          <w:rFonts w:hint="eastAsia"/>
          <w:b/>
          <w:bCs/>
          <w:sz w:val="24"/>
        </w:rPr>
        <w:t>4</w:t>
      </w:r>
      <w:r>
        <w:rPr>
          <w:rFonts w:hint="eastAsia"/>
          <w:sz w:val="24"/>
        </w:rPr>
        <w:t xml:space="preserve">  关于夯管排土的具体要求如下：</w:t>
      </w:r>
    </w:p>
    <w:p>
      <w:pPr>
        <w:spacing w:line="440" w:lineRule="exact"/>
        <w:ind w:firstLine="360" w:firstLineChars="150"/>
        <w:rPr>
          <w:sz w:val="24"/>
        </w:rPr>
      </w:pPr>
      <w:r>
        <w:rPr>
          <w:rFonts w:hint="eastAsia"/>
          <w:sz w:val="24"/>
        </w:rPr>
        <w:t>1）排土过程中应设专人指挥，禁止非作业人员在工作井附近逗留；</w:t>
      </w:r>
    </w:p>
    <w:p>
      <w:pPr>
        <w:spacing w:line="440" w:lineRule="exact"/>
        <w:ind w:firstLine="360" w:firstLineChars="150"/>
        <w:rPr>
          <w:sz w:val="24"/>
        </w:rPr>
      </w:pPr>
      <w:r>
        <w:rPr>
          <w:rFonts w:hint="eastAsia"/>
          <w:sz w:val="24"/>
        </w:rPr>
        <w:t>2）采用人工排土时应保证管内通风有效；</w:t>
      </w:r>
    </w:p>
    <w:p>
      <w:pPr>
        <w:spacing w:line="440" w:lineRule="exact"/>
        <w:ind w:firstLine="360" w:firstLineChars="150"/>
        <w:rPr>
          <w:sz w:val="24"/>
        </w:rPr>
      </w:pPr>
      <w:r>
        <w:rPr>
          <w:rFonts w:hint="eastAsia"/>
          <w:sz w:val="24"/>
        </w:rPr>
        <w:t>3）采用气压、水压排土时，在安全影响区范围内应进行全封闭作业；作业中无漏气、漏水现象，严禁管内土喷溅排出；</w:t>
      </w:r>
    </w:p>
    <w:p>
      <w:pPr>
        <w:spacing w:line="440" w:lineRule="exact"/>
        <w:ind w:firstLine="360" w:firstLineChars="150"/>
        <w:rPr>
          <w:sz w:val="24"/>
        </w:rPr>
      </w:pPr>
      <w:r>
        <w:rPr>
          <w:rFonts w:hint="eastAsia"/>
          <w:sz w:val="24"/>
        </w:rPr>
        <w:t>4）采用气压、水压排土时，加压处的管口必须加固和密闭；严禁采用加压排出剩余土。</w:t>
      </w:r>
    </w:p>
    <w:p>
      <w:pPr>
        <w:spacing w:before="156" w:beforeLines="50" w:after="156" w:afterLines="50" w:line="440" w:lineRule="exact"/>
        <w:jc w:val="center"/>
        <w:outlineLvl w:val="1"/>
        <w:rPr>
          <w:rFonts w:eastAsia="黑体"/>
          <w:sz w:val="24"/>
        </w:rPr>
      </w:pPr>
      <w:bookmarkStart w:id="247" w:name="_Toc12189"/>
      <w:bookmarkStart w:id="248" w:name="_Toc22720"/>
      <w:bookmarkStart w:id="249" w:name="_Toc1932"/>
      <w:r>
        <w:rPr>
          <w:rFonts w:hint="eastAsia" w:eastAsia="黑体"/>
          <w:sz w:val="24"/>
        </w:rPr>
        <w:t>7.4  钻进顶管法施工</w:t>
      </w:r>
      <w:bookmarkEnd w:id="247"/>
      <w:bookmarkEnd w:id="248"/>
      <w:bookmarkEnd w:id="249"/>
    </w:p>
    <w:p>
      <w:pPr>
        <w:spacing w:line="440" w:lineRule="exact"/>
        <w:rPr>
          <w:sz w:val="24"/>
        </w:rPr>
      </w:pPr>
      <w:r>
        <w:rPr>
          <w:rFonts w:hint="eastAsia"/>
          <w:b/>
          <w:bCs/>
          <w:sz w:val="24"/>
        </w:rPr>
        <w:t>7.4.1</w:t>
      </w:r>
      <w:r>
        <w:rPr>
          <w:rFonts w:hint="eastAsia"/>
          <w:sz w:val="24"/>
        </w:rPr>
        <w:t xml:space="preserve">  遇到下列条件时，可采用钻进顶管法施工：</w:t>
      </w:r>
    </w:p>
    <w:p>
      <w:pPr>
        <w:spacing w:line="440" w:lineRule="exact"/>
        <w:ind w:firstLine="361" w:firstLineChars="150"/>
        <w:rPr>
          <w:sz w:val="24"/>
        </w:rPr>
      </w:pPr>
      <w:r>
        <w:rPr>
          <w:rFonts w:hint="eastAsia"/>
          <w:b/>
          <w:bCs/>
          <w:sz w:val="24"/>
        </w:rPr>
        <w:t>1～3</w:t>
      </w:r>
      <w:r>
        <w:rPr>
          <w:rFonts w:hint="eastAsia"/>
          <w:sz w:val="24"/>
        </w:rPr>
        <w:t xml:space="preserve">  管幕顶进法为液压千斤顶顶进，螺旋杆排土，为“欠土”顶进，一般超过100mm卵石层螺旋杆排土困难，在富水地层中排土困难、作业环境差；同时考虑机械设备的顶推力、扭矩及经济合理性，对超过600mm大型钢管顶进不经济。</w:t>
      </w:r>
    </w:p>
    <w:p>
      <w:pPr>
        <w:spacing w:line="440" w:lineRule="exact"/>
        <w:rPr>
          <w:sz w:val="24"/>
        </w:rPr>
      </w:pPr>
      <w:r>
        <w:rPr>
          <w:rFonts w:hint="eastAsia"/>
          <w:b/>
          <w:bCs/>
          <w:sz w:val="24"/>
        </w:rPr>
        <w:t>7.4.2</w:t>
      </w:r>
      <w:r>
        <w:rPr>
          <w:rFonts w:hint="eastAsia"/>
          <w:sz w:val="24"/>
        </w:rPr>
        <w:t xml:space="preserve">  施工设备应符合下列规定：</w:t>
      </w:r>
    </w:p>
    <w:p>
      <w:pPr>
        <w:spacing w:line="440" w:lineRule="exact"/>
        <w:ind w:firstLine="480" w:firstLineChars="200"/>
        <w:rPr>
          <w:strike/>
          <w:sz w:val="18"/>
          <w:szCs w:val="18"/>
        </w:rPr>
      </w:pPr>
      <w:r>
        <w:rPr>
          <w:sz w:val="24"/>
        </w:rPr>
        <w:t xml:space="preserve">5  </w:t>
      </w:r>
      <w:r>
        <w:rPr>
          <w:rFonts w:hint="eastAsia"/>
          <w:sz w:val="24"/>
        </w:rPr>
        <w:t>总的来说，较软地层用片状的、较锐利的切削具；较硬地层采用柱状的、较耐磨的切削具；而钻进硬黏土和卵砾石层则采用镶有子弹形圆柱硬质合金的钻头。</w:t>
      </w:r>
    </w:p>
    <w:p>
      <w:pPr>
        <w:spacing w:line="440" w:lineRule="exact"/>
        <w:rPr>
          <w:sz w:val="24"/>
        </w:rPr>
      </w:pPr>
      <w:r>
        <w:rPr>
          <w:rFonts w:hint="eastAsia"/>
          <w:b/>
          <w:bCs/>
          <w:sz w:val="24"/>
        </w:rPr>
        <w:t>7.4.3</w:t>
      </w:r>
      <w:r>
        <w:rPr>
          <w:rFonts w:hint="eastAsia"/>
          <w:sz w:val="24"/>
        </w:rPr>
        <w:t xml:space="preserve">  顶进设备安装应符合下列规定：</w:t>
      </w:r>
    </w:p>
    <w:p>
      <w:pPr>
        <w:spacing w:line="440" w:lineRule="exact"/>
        <w:ind w:firstLine="361" w:firstLineChars="150"/>
        <w:rPr>
          <w:sz w:val="24"/>
        </w:rPr>
      </w:pPr>
      <w:r>
        <w:rPr>
          <w:rFonts w:hint="eastAsia"/>
          <w:b/>
          <w:bCs/>
          <w:sz w:val="24"/>
        </w:rPr>
        <w:t>2</w:t>
      </w:r>
      <w:r>
        <w:rPr>
          <w:rFonts w:hint="eastAsia"/>
          <w:sz w:val="24"/>
        </w:rPr>
        <w:t xml:space="preserve">  可避免管幕在施工过程中，平台倾斜或发生位移；</w:t>
      </w:r>
    </w:p>
    <w:p>
      <w:pPr>
        <w:spacing w:line="440" w:lineRule="exact"/>
        <w:ind w:firstLine="361" w:firstLineChars="150"/>
        <w:rPr>
          <w:sz w:val="24"/>
        </w:rPr>
      </w:pPr>
      <w:r>
        <w:rPr>
          <w:rFonts w:hint="eastAsia"/>
          <w:b/>
          <w:bCs/>
          <w:sz w:val="24"/>
        </w:rPr>
        <w:t>4</w:t>
      </w:r>
      <w:r>
        <w:rPr>
          <w:rFonts w:hint="eastAsia"/>
          <w:sz w:val="24"/>
        </w:rPr>
        <w:t xml:space="preserve">  顶进系统千斤顶与后背墙之间设置的后座垫铁，用于扩大钻机承力面积。</w:t>
      </w:r>
    </w:p>
    <w:p>
      <w:pPr>
        <w:spacing w:line="440" w:lineRule="exact"/>
        <w:rPr>
          <w:sz w:val="24"/>
        </w:rPr>
      </w:pPr>
      <w:r>
        <w:rPr>
          <w:rFonts w:hint="eastAsia"/>
          <w:b/>
          <w:bCs/>
          <w:sz w:val="24"/>
        </w:rPr>
        <w:t>7.4.4</w:t>
      </w:r>
      <w:r>
        <w:rPr>
          <w:rFonts w:hint="eastAsia"/>
          <w:sz w:val="24"/>
        </w:rPr>
        <w:t xml:space="preserve">  管口定位应符合下列规定：</w:t>
      </w:r>
    </w:p>
    <w:p>
      <w:pPr>
        <w:spacing w:line="440" w:lineRule="exact"/>
        <w:ind w:firstLine="361" w:firstLineChars="150"/>
        <w:rPr>
          <w:sz w:val="24"/>
        </w:rPr>
      </w:pPr>
      <w:r>
        <w:rPr>
          <w:rFonts w:hint="eastAsia"/>
          <w:b/>
          <w:bCs/>
          <w:sz w:val="24"/>
        </w:rPr>
        <w:t xml:space="preserve">3  </w:t>
      </w:r>
      <w:r>
        <w:rPr>
          <w:rFonts w:hint="eastAsia"/>
          <w:sz w:val="24"/>
        </w:rPr>
        <w:t>洞口破除范围应比管幕外径略大，使管幕能顺利进洞。</w:t>
      </w:r>
    </w:p>
    <w:p>
      <w:pPr>
        <w:spacing w:line="440" w:lineRule="exact"/>
        <w:rPr>
          <w:sz w:val="24"/>
        </w:rPr>
      </w:pPr>
      <w:r>
        <w:rPr>
          <w:rFonts w:hint="eastAsia"/>
          <w:b/>
          <w:bCs/>
          <w:sz w:val="24"/>
        </w:rPr>
        <w:t>7.4.5</w:t>
      </w:r>
      <w:r>
        <w:rPr>
          <w:rFonts w:hint="eastAsia"/>
          <w:sz w:val="24"/>
        </w:rPr>
        <w:t xml:space="preserve">  钢管顶进施工应符合下列规定：</w:t>
      </w:r>
    </w:p>
    <w:p>
      <w:pPr>
        <w:spacing w:line="440" w:lineRule="exact"/>
        <w:ind w:firstLine="361" w:firstLineChars="150"/>
        <w:rPr>
          <w:sz w:val="24"/>
        </w:rPr>
      </w:pPr>
      <w:r>
        <w:rPr>
          <w:rFonts w:hint="eastAsia"/>
          <w:b/>
          <w:bCs/>
          <w:sz w:val="24"/>
        </w:rPr>
        <w:t>2</w:t>
      </w:r>
      <w:r>
        <w:rPr>
          <w:rFonts w:hint="eastAsia"/>
          <w:sz w:val="24"/>
        </w:rPr>
        <w:t xml:space="preserve">  实际出土量控制在理论出土量的98%～100%，以有效减少对地层的扰动、控制地层沉降变形；</w:t>
      </w:r>
    </w:p>
    <w:p>
      <w:pPr>
        <w:spacing w:line="440" w:lineRule="exact"/>
        <w:ind w:firstLine="361" w:firstLineChars="150"/>
        <w:rPr>
          <w:sz w:val="24"/>
        </w:rPr>
      </w:pPr>
      <w:r>
        <w:rPr>
          <w:rFonts w:hint="eastAsia"/>
          <w:b/>
          <w:bCs/>
          <w:sz w:val="24"/>
        </w:rPr>
        <w:t>3</w:t>
      </w:r>
      <w:r>
        <w:rPr>
          <w:rFonts w:hint="eastAsia"/>
          <w:sz w:val="24"/>
        </w:rPr>
        <w:t xml:space="preserve">  钢管顶进顺序根据锁扣型式确定，确保锁扣有效互锁；</w:t>
      </w:r>
    </w:p>
    <w:p>
      <w:pPr>
        <w:spacing w:line="440" w:lineRule="exact"/>
        <w:ind w:firstLine="361" w:firstLineChars="150"/>
        <w:rPr>
          <w:sz w:val="24"/>
        </w:rPr>
      </w:pPr>
      <w:r>
        <w:rPr>
          <w:rFonts w:hint="eastAsia"/>
          <w:b/>
          <w:bCs/>
          <w:sz w:val="24"/>
        </w:rPr>
        <w:t>5</w:t>
      </w:r>
      <w:r>
        <w:rPr>
          <w:rFonts w:hint="eastAsia"/>
          <w:sz w:val="24"/>
        </w:rPr>
        <w:t xml:space="preserve">  由于停止顶管时间过长出现“抱管”现象，造成再次启动顶进时的顶推力过大。</w:t>
      </w:r>
    </w:p>
    <w:p>
      <w:pPr>
        <w:spacing w:line="440" w:lineRule="exact"/>
        <w:rPr>
          <w:sz w:val="24"/>
        </w:rPr>
      </w:pPr>
      <w:r>
        <w:rPr>
          <w:rFonts w:hint="eastAsia"/>
          <w:b/>
          <w:bCs/>
          <w:sz w:val="24"/>
        </w:rPr>
        <w:t>7.4.5</w:t>
      </w:r>
      <w:r>
        <w:rPr>
          <w:rFonts w:hint="eastAsia"/>
          <w:sz w:val="24"/>
        </w:rPr>
        <w:t xml:space="preserve">  为控制管幕顶进施工对地层扰动，顶进法采用“欠土”顶进，保持螺旋杆出土器前端落后钢管前端两倍管径以上距离，即管幕钢管超前螺旋钻头，实现顶进过程中的挤土效应；过程中计算出土量与顶进速度关系，并与理论出土量对比；若有异常（出土量大于理论出土量，可能出现塌孔）及时分析并采取措施。</w:t>
      </w:r>
    </w:p>
    <w:p>
      <w:pPr>
        <w:spacing w:line="440" w:lineRule="exact"/>
        <w:rPr>
          <w:sz w:val="24"/>
        </w:rPr>
      </w:pPr>
      <w:r>
        <w:rPr>
          <w:rFonts w:hint="eastAsia"/>
          <w:b/>
          <w:bCs/>
          <w:sz w:val="24"/>
        </w:rPr>
        <w:t>7.4.</w:t>
      </w:r>
      <w:r>
        <w:rPr>
          <w:b/>
          <w:bCs/>
          <w:sz w:val="24"/>
        </w:rPr>
        <w:t>6</w:t>
      </w:r>
      <w:r>
        <w:rPr>
          <w:rFonts w:hint="eastAsia"/>
          <w:sz w:val="24"/>
        </w:rPr>
        <w:t xml:space="preserve">  顶管方向控制应符合下列规定：</w:t>
      </w:r>
    </w:p>
    <w:p>
      <w:pPr>
        <w:spacing w:line="440" w:lineRule="exact"/>
        <w:ind w:firstLine="361" w:firstLineChars="150"/>
        <w:rPr>
          <w:sz w:val="24"/>
        </w:rPr>
      </w:pPr>
      <w:r>
        <w:rPr>
          <w:rFonts w:hint="eastAsia"/>
          <w:b/>
          <w:bCs/>
          <w:sz w:val="24"/>
        </w:rPr>
        <w:t>1</w:t>
      </w:r>
      <w:r>
        <w:rPr>
          <w:rFonts w:hint="eastAsia"/>
          <w:sz w:val="24"/>
        </w:rPr>
        <w:t xml:space="preserve">  定期对油缸进行校核、对平台进行检查，避免两侧油缸行程不同步或平台不稳定而导致管幕发生偏向；</w:t>
      </w:r>
    </w:p>
    <w:p>
      <w:pPr>
        <w:spacing w:line="440" w:lineRule="exact"/>
        <w:rPr>
          <w:sz w:val="24"/>
        </w:rPr>
      </w:pPr>
      <w:r>
        <w:rPr>
          <w:rFonts w:hint="eastAsia"/>
          <w:b/>
          <w:bCs/>
          <w:sz w:val="24"/>
        </w:rPr>
        <w:t>7.4.8</w:t>
      </w:r>
      <w:r>
        <w:rPr>
          <w:rFonts w:hint="eastAsia"/>
          <w:sz w:val="24"/>
        </w:rPr>
        <w:t xml:space="preserve">  施工中发现管幕钢管顶进偏差较大，需进行纠偏。宜采用辅助油缸和楔形钻头进行纠偏， 即采用水平螺旋顶管钻机辅助油缸实现双系统纠偏，通过设备辅助油缸调整钻头的相对位置，使楔形板钻头伸出钢管前段，调整楔形板位置后采取光顶不转，利用土体对楔形板的反作用力来改变钻进轨迹实现纠偏。同时纠偏要做到“勤纠偏、微纠偏”，过量纠偏回事钢管与地层之间查收较大空隙，加大对底层扰动。</w:t>
      </w:r>
    </w:p>
    <w:p>
      <w:pPr>
        <w:spacing w:before="156" w:beforeLines="50" w:after="156" w:afterLines="50" w:line="440" w:lineRule="exact"/>
        <w:jc w:val="center"/>
        <w:outlineLvl w:val="1"/>
        <w:rPr>
          <w:rFonts w:eastAsia="黑体"/>
          <w:sz w:val="24"/>
        </w:rPr>
      </w:pPr>
      <w:bookmarkStart w:id="250" w:name="_Toc25966"/>
      <w:bookmarkStart w:id="251" w:name="_Toc31699"/>
      <w:bookmarkStart w:id="252" w:name="_Toc22950"/>
      <w:r>
        <w:rPr>
          <w:rFonts w:hint="eastAsia" w:eastAsia="黑体"/>
          <w:sz w:val="24"/>
        </w:rPr>
        <w:t>7.5  机械顶管法施工</w:t>
      </w:r>
      <w:bookmarkEnd w:id="250"/>
      <w:bookmarkEnd w:id="251"/>
      <w:bookmarkEnd w:id="252"/>
    </w:p>
    <w:p>
      <w:pPr>
        <w:spacing w:line="440" w:lineRule="exact"/>
        <w:rPr>
          <w:sz w:val="24"/>
        </w:rPr>
      </w:pPr>
      <w:r>
        <w:rPr>
          <w:rFonts w:hint="eastAsia"/>
          <w:b/>
          <w:bCs/>
          <w:sz w:val="24"/>
        </w:rPr>
        <w:t>7.5.5</w:t>
      </w:r>
      <w:r>
        <w:rPr>
          <w:rFonts w:hint="eastAsia"/>
          <w:sz w:val="24"/>
        </w:rPr>
        <w:t xml:space="preserve"> </w:t>
      </w:r>
      <w:r>
        <w:rPr>
          <w:sz w:val="24"/>
        </w:rPr>
        <w:t xml:space="preserve"> </w:t>
      </w:r>
      <w:r>
        <w:rPr>
          <w:rFonts w:hint="eastAsia"/>
          <w:sz w:val="24"/>
        </w:rPr>
        <w:t>机械顶管法钢管施工应符合下列规定：</w:t>
      </w:r>
    </w:p>
    <w:p>
      <w:pPr>
        <w:spacing w:line="440" w:lineRule="exact"/>
        <w:ind w:firstLine="361" w:firstLineChars="150"/>
        <w:rPr>
          <w:sz w:val="24"/>
        </w:rPr>
      </w:pPr>
      <w:r>
        <w:rPr>
          <w:rFonts w:hint="eastAsia"/>
          <w:b/>
          <w:bCs/>
          <w:sz w:val="24"/>
        </w:rPr>
        <w:t>3</w:t>
      </w:r>
      <w:r>
        <w:rPr>
          <w:rFonts w:hint="eastAsia"/>
          <w:sz w:val="24"/>
        </w:rPr>
        <w:t xml:space="preserve">  超挖或者欠挖，容易造成地面沉降或隆起。</w:t>
      </w:r>
    </w:p>
    <w:p>
      <w:pPr>
        <w:spacing w:line="440" w:lineRule="exact"/>
        <w:ind w:firstLine="361" w:firstLineChars="150"/>
        <w:rPr>
          <w:sz w:val="24"/>
        </w:rPr>
      </w:pPr>
      <w:r>
        <w:rPr>
          <w:rFonts w:hint="eastAsia"/>
          <w:b/>
          <w:bCs/>
          <w:sz w:val="24"/>
        </w:rPr>
        <w:t>4</w:t>
      </w:r>
      <w:r>
        <w:rPr>
          <w:rFonts w:hint="eastAsia"/>
          <w:sz w:val="24"/>
        </w:rPr>
        <w:t xml:space="preserve">  触变泥浆可有效减小顶进阻力，利于顶进施工顺利完成。触变泥浆宜采用钠基或钠化膨润土配置，相应技术指标及要求可参考顶管相关规范执行。</w:t>
      </w:r>
    </w:p>
    <w:p>
      <w:pPr>
        <w:spacing w:before="156" w:beforeLines="50" w:after="156" w:afterLines="50" w:line="440" w:lineRule="exact"/>
        <w:jc w:val="center"/>
        <w:outlineLvl w:val="1"/>
        <w:rPr>
          <w:rFonts w:eastAsia="黑体"/>
          <w:sz w:val="24"/>
        </w:rPr>
      </w:pPr>
      <w:bookmarkStart w:id="253" w:name="_Toc28231"/>
      <w:bookmarkStart w:id="254" w:name="_Toc5548"/>
      <w:bookmarkStart w:id="255" w:name="_Toc22464"/>
      <w:r>
        <w:rPr>
          <w:rFonts w:hint="eastAsia" w:eastAsia="黑体"/>
          <w:sz w:val="24"/>
        </w:rPr>
        <w:t>7.6  管幕钢管连接</w:t>
      </w:r>
      <w:bookmarkEnd w:id="253"/>
      <w:bookmarkEnd w:id="254"/>
      <w:bookmarkEnd w:id="255"/>
    </w:p>
    <w:p>
      <w:pPr>
        <w:spacing w:line="440" w:lineRule="exact"/>
        <w:rPr>
          <w:sz w:val="24"/>
        </w:rPr>
      </w:pPr>
      <w:r>
        <w:rPr>
          <w:rFonts w:hint="eastAsia"/>
          <w:b/>
          <w:bCs/>
          <w:sz w:val="24"/>
        </w:rPr>
        <w:t>7.6.1</w:t>
      </w:r>
      <w:r>
        <w:rPr>
          <w:rFonts w:hint="eastAsia"/>
          <w:sz w:val="24"/>
        </w:rPr>
        <w:t xml:space="preserve">  管幕作为初支整体受力体系，且在工作井及洞室内施工时分节长度较短，管幕接头较多，必须确保管幕连接质量，达到接头强度与钢管原材等强，宜采用V形坡口（带钝边）单面对接焊，其参数及质量要求应符合现行国家标准《气焊、焊条电弧焊、气体保护焊和高能束焊的推荐坡口》GB/T 985.1、《钢结构焊接规范》GB 50661和《钢结构工程施工质量验收规范》GB 50205的有关规定。</w:t>
      </w:r>
    </w:p>
    <w:p>
      <w:pPr>
        <w:spacing w:line="440" w:lineRule="exact"/>
        <w:rPr>
          <w:sz w:val="24"/>
        </w:rPr>
      </w:pPr>
      <w:r>
        <w:rPr>
          <w:rFonts w:hint="eastAsia"/>
          <w:b/>
          <w:bCs/>
          <w:sz w:val="24"/>
        </w:rPr>
        <w:t>7.6.</w:t>
      </w:r>
      <w:r>
        <w:rPr>
          <w:b/>
          <w:bCs/>
          <w:sz w:val="24"/>
        </w:rPr>
        <w:t>4</w:t>
      </w:r>
      <w:r>
        <w:rPr>
          <w:rFonts w:hint="eastAsia"/>
          <w:sz w:val="24"/>
        </w:rPr>
        <w:t xml:space="preserve">  管幕钢管连接还应符合下列规定：</w:t>
      </w:r>
    </w:p>
    <w:p>
      <w:pPr>
        <w:spacing w:line="440" w:lineRule="exact"/>
        <w:ind w:firstLine="361" w:firstLineChars="150"/>
        <w:rPr>
          <w:sz w:val="24"/>
        </w:rPr>
      </w:pPr>
      <w:r>
        <w:rPr>
          <w:rFonts w:hint="eastAsia"/>
          <w:b/>
          <w:bCs/>
          <w:sz w:val="24"/>
        </w:rPr>
        <w:t>3</w:t>
      </w:r>
      <w:r>
        <w:rPr>
          <w:rFonts w:hint="eastAsia"/>
          <w:sz w:val="24"/>
        </w:rPr>
        <w:t xml:space="preserve">  设置钢管固定托架，并控制相邻钢管的错边量不大于</w:t>
      </w:r>
      <w:r>
        <w:rPr>
          <w:sz w:val="24"/>
        </w:rPr>
        <w:t>2</w:t>
      </w:r>
      <w:r>
        <w:rPr>
          <w:rFonts w:hint="eastAsia"/>
          <w:sz w:val="24"/>
        </w:rPr>
        <w:t>.0mm，以保证钢管密贴平顺，提高钢管对接精度；</w:t>
      </w:r>
    </w:p>
    <w:p>
      <w:pPr>
        <w:spacing w:line="440" w:lineRule="exact"/>
        <w:ind w:firstLine="361" w:firstLineChars="150"/>
        <w:rPr>
          <w:sz w:val="24"/>
        </w:rPr>
      </w:pPr>
      <w:r>
        <w:rPr>
          <w:rFonts w:hint="eastAsia"/>
          <w:b/>
          <w:bCs/>
          <w:sz w:val="24"/>
        </w:rPr>
        <w:t>4</w:t>
      </w:r>
      <w:r>
        <w:rPr>
          <w:rFonts w:hint="eastAsia"/>
          <w:sz w:val="24"/>
        </w:rPr>
        <w:t xml:space="preserve">  顶进后的管节端部外露不应小于0.3m，便于后续接管施工；</w:t>
      </w:r>
    </w:p>
    <w:p>
      <w:pPr>
        <w:spacing w:before="156" w:beforeLines="50" w:after="156" w:afterLines="50" w:line="440" w:lineRule="exact"/>
        <w:jc w:val="center"/>
        <w:outlineLvl w:val="1"/>
        <w:rPr>
          <w:rFonts w:eastAsia="黑体"/>
          <w:sz w:val="24"/>
        </w:rPr>
      </w:pPr>
      <w:bookmarkStart w:id="256" w:name="_Toc9463"/>
      <w:bookmarkStart w:id="257" w:name="_Toc13595"/>
      <w:bookmarkStart w:id="258" w:name="_Toc31675"/>
      <w:r>
        <w:rPr>
          <w:rFonts w:hint="eastAsia" w:eastAsia="黑体"/>
          <w:sz w:val="24"/>
        </w:rPr>
        <w:t>7.</w:t>
      </w:r>
      <w:r>
        <w:rPr>
          <w:rFonts w:eastAsia="黑体"/>
          <w:sz w:val="24"/>
        </w:rPr>
        <w:t>7</w:t>
      </w:r>
      <w:r>
        <w:rPr>
          <w:rFonts w:hint="eastAsia" w:eastAsia="黑体"/>
          <w:sz w:val="24"/>
        </w:rPr>
        <w:t xml:space="preserve">  施</w:t>
      </w:r>
      <w:r>
        <w:rPr>
          <w:rFonts w:hint="eastAsia" w:eastAsia="黑体"/>
          <w:sz w:val="24"/>
          <w:lang w:val="en-US" w:eastAsia="zh-CN"/>
        </w:rPr>
        <w:t xml:space="preserve"> </w:t>
      </w:r>
      <w:r>
        <w:rPr>
          <w:rFonts w:hint="eastAsia" w:eastAsia="黑体"/>
          <w:sz w:val="24"/>
        </w:rPr>
        <w:t>工</w:t>
      </w:r>
      <w:r>
        <w:rPr>
          <w:rFonts w:hint="eastAsia" w:eastAsia="黑体"/>
          <w:sz w:val="24"/>
          <w:lang w:val="en-US" w:eastAsia="zh-CN"/>
        </w:rPr>
        <w:t xml:space="preserve"> </w:t>
      </w:r>
      <w:r>
        <w:rPr>
          <w:rFonts w:hint="eastAsia" w:eastAsia="黑体"/>
          <w:sz w:val="24"/>
        </w:rPr>
        <w:t>测</w:t>
      </w:r>
      <w:r>
        <w:rPr>
          <w:rFonts w:hint="eastAsia" w:eastAsia="黑体"/>
          <w:sz w:val="24"/>
          <w:lang w:val="en-US" w:eastAsia="zh-CN"/>
        </w:rPr>
        <w:t xml:space="preserve"> </w:t>
      </w:r>
      <w:r>
        <w:rPr>
          <w:rFonts w:hint="eastAsia" w:eastAsia="黑体"/>
          <w:sz w:val="24"/>
        </w:rPr>
        <w:t>量</w:t>
      </w:r>
      <w:bookmarkEnd w:id="256"/>
      <w:bookmarkEnd w:id="257"/>
      <w:bookmarkEnd w:id="258"/>
    </w:p>
    <w:p>
      <w:pPr>
        <w:spacing w:line="440" w:lineRule="exact"/>
        <w:ind w:firstLine="361" w:firstLineChars="150"/>
        <w:rPr>
          <w:sz w:val="24"/>
        </w:rPr>
      </w:pPr>
      <w:r>
        <w:rPr>
          <w:rFonts w:hint="eastAsia"/>
          <w:b/>
          <w:bCs/>
          <w:sz w:val="24"/>
        </w:rPr>
        <w:t>7.7.3</w:t>
      </w:r>
      <w:r>
        <w:rPr>
          <w:rFonts w:hint="eastAsia"/>
          <w:sz w:val="24"/>
        </w:rPr>
        <w:t xml:space="preserve">  长距离或曲线管幕顶管宜采用激光定向等测量控制技术；</w:t>
      </w:r>
    </w:p>
    <w:p>
      <w:pPr>
        <w:spacing w:before="156" w:beforeLines="50" w:after="156" w:afterLines="50" w:line="440" w:lineRule="exact"/>
        <w:jc w:val="center"/>
        <w:outlineLvl w:val="1"/>
        <w:rPr>
          <w:rFonts w:eastAsia="黑体"/>
          <w:sz w:val="24"/>
        </w:rPr>
      </w:pPr>
      <w:bookmarkStart w:id="259" w:name="_Toc24054"/>
      <w:bookmarkStart w:id="260" w:name="_Toc12904"/>
      <w:bookmarkStart w:id="261" w:name="_Toc15415"/>
      <w:r>
        <w:rPr>
          <w:rFonts w:hint="eastAsia" w:eastAsia="黑体"/>
          <w:sz w:val="24"/>
        </w:rPr>
        <w:t>7.8  导向控制与纠偏</w:t>
      </w:r>
      <w:bookmarkEnd w:id="259"/>
      <w:bookmarkEnd w:id="260"/>
      <w:bookmarkEnd w:id="261"/>
    </w:p>
    <w:p>
      <w:pPr>
        <w:spacing w:line="440" w:lineRule="exact"/>
        <w:rPr>
          <w:sz w:val="24"/>
        </w:rPr>
      </w:pPr>
      <w:r>
        <w:rPr>
          <w:rFonts w:hint="eastAsia"/>
          <w:b/>
          <w:bCs/>
          <w:sz w:val="24"/>
        </w:rPr>
        <w:t>7.8.2</w:t>
      </w:r>
      <w:r>
        <w:rPr>
          <w:rFonts w:hint="eastAsia"/>
          <w:sz w:val="24"/>
        </w:rPr>
        <w:t>管幕拉管法施工导向控制与纠偏应符合下列规定：</w:t>
      </w:r>
    </w:p>
    <w:p>
      <w:pPr>
        <w:spacing w:line="440" w:lineRule="exact"/>
        <w:ind w:firstLine="361" w:firstLineChars="150"/>
        <w:rPr>
          <w:strike/>
          <w:sz w:val="24"/>
        </w:rPr>
      </w:pPr>
      <w:r>
        <w:rPr>
          <w:rFonts w:hint="eastAsia"/>
          <w:b/>
          <w:bCs/>
          <w:sz w:val="24"/>
        </w:rPr>
        <w:t>1</w:t>
      </w:r>
      <w:r>
        <w:rPr>
          <w:rFonts w:hint="eastAsia"/>
          <w:sz w:val="24"/>
        </w:rPr>
        <w:t xml:space="preserve">  管幕拉管法施工前应先进行导向孔钻进，并应按设计轨迹参数进行控制，应及时将测量数据与设计轨迹进行对比</w:t>
      </w:r>
      <w:r>
        <w:rPr>
          <w:rFonts w:hint="eastAsia"/>
          <w:strike/>
          <w:sz w:val="24"/>
        </w:rPr>
        <w:t>，引导钻孔施工，将偏差值控制在指定范围内；</w:t>
      </w:r>
      <w:r>
        <w:rPr>
          <w:rFonts w:hint="eastAsia"/>
          <w:sz w:val="24"/>
        </w:rPr>
        <w:t>。</w:t>
      </w:r>
    </w:p>
    <w:p>
      <w:pPr>
        <w:spacing w:line="440" w:lineRule="exact"/>
        <w:rPr>
          <w:b/>
          <w:bCs/>
          <w:sz w:val="24"/>
        </w:rPr>
      </w:pPr>
      <w:r>
        <w:rPr>
          <w:rFonts w:hint="eastAsia"/>
          <w:b/>
          <w:bCs/>
          <w:sz w:val="24"/>
        </w:rPr>
        <w:t xml:space="preserve">7.8.3  </w:t>
      </w:r>
      <w:r>
        <w:rPr>
          <w:rFonts w:hint="eastAsia"/>
          <w:sz w:val="24"/>
        </w:rPr>
        <w:t>管幕夯管法施工导向控制与纠偏应符合下列规定：</w:t>
      </w:r>
    </w:p>
    <w:p>
      <w:pPr>
        <w:spacing w:line="440" w:lineRule="exact"/>
        <w:ind w:firstLine="361" w:firstLineChars="150"/>
        <w:rPr>
          <w:sz w:val="24"/>
        </w:rPr>
      </w:pPr>
      <w:r>
        <w:rPr>
          <w:rFonts w:hint="eastAsia"/>
          <w:b/>
          <w:bCs/>
          <w:sz w:val="24"/>
        </w:rPr>
        <w:t>1</w:t>
      </w:r>
      <w:r>
        <w:rPr>
          <w:rFonts w:hint="eastAsia"/>
          <w:sz w:val="24"/>
        </w:rPr>
        <w:t xml:space="preserve">  光学导向系统由平行光源、经纬仪、摄像机、显示器组成，通过经纬仪照准位于到导向钻头内的光靶，通过安装在经纬仪目镜上的摄像机将观测到的光靶位移信息，经过数模转化器显示在量子屏上。钻机操作手通过图像控制导向钻头的顶进方向，从而实现高精度管道铺设。</w:t>
      </w:r>
    </w:p>
    <w:p>
      <w:pPr>
        <w:spacing w:line="440" w:lineRule="exact"/>
        <w:ind w:firstLine="361" w:firstLineChars="150"/>
        <w:rPr>
          <w:sz w:val="24"/>
        </w:rPr>
      </w:pPr>
      <w:r>
        <w:rPr>
          <w:rFonts w:hint="eastAsia"/>
          <w:b/>
          <w:bCs/>
          <w:sz w:val="24"/>
        </w:rPr>
        <w:t>3</w:t>
      </w:r>
      <w:r>
        <w:rPr>
          <w:rFonts w:hint="eastAsia"/>
          <w:sz w:val="24"/>
        </w:rPr>
        <w:t xml:space="preserve">  防止在钻进和回抽的过程中扭矩增大导致钻杆断裂失连。</w:t>
      </w:r>
    </w:p>
    <w:p>
      <w:pPr>
        <w:spacing w:line="440" w:lineRule="exact"/>
        <w:ind w:firstLine="361" w:firstLineChars="150"/>
        <w:rPr>
          <w:sz w:val="24"/>
        </w:rPr>
      </w:pPr>
      <w:r>
        <w:rPr>
          <w:rFonts w:hint="eastAsia"/>
          <w:b/>
          <w:bCs/>
          <w:sz w:val="24"/>
        </w:rPr>
        <w:t>4</w:t>
      </w:r>
      <w:r>
        <w:rPr>
          <w:rFonts w:hint="eastAsia"/>
          <w:sz w:val="24"/>
        </w:rPr>
        <w:t xml:space="preserve">  使导向钻头的斜面向着偏斜的方向并继续顶进导向钻杆，当目标靶的中心点和瞄准光束的十字丝中心点重合后，随即旋转钻进，即可达到纠偏的目的。</w:t>
      </w:r>
    </w:p>
    <w:p>
      <w:pPr>
        <w:spacing w:line="440" w:lineRule="exact"/>
        <w:rPr>
          <w:sz w:val="24"/>
        </w:rPr>
      </w:pPr>
      <w:r>
        <w:rPr>
          <w:rFonts w:hint="eastAsia"/>
          <w:b/>
          <w:bCs/>
          <w:sz w:val="24"/>
        </w:rPr>
        <w:t>7.8.4</w:t>
      </w:r>
      <w:r>
        <w:rPr>
          <w:rFonts w:hint="eastAsia"/>
          <w:sz w:val="24"/>
        </w:rPr>
        <w:t xml:space="preserve">  管幕钻进顶管法施工导向控制与纠偏应符合下列规定：</w:t>
      </w:r>
    </w:p>
    <w:p>
      <w:pPr>
        <w:spacing w:line="440" w:lineRule="exact"/>
        <w:ind w:firstLine="361" w:firstLineChars="150"/>
        <w:rPr>
          <w:sz w:val="24"/>
        </w:rPr>
      </w:pPr>
      <w:r>
        <w:rPr>
          <w:rFonts w:hint="eastAsia"/>
          <w:b/>
          <w:bCs/>
          <w:sz w:val="24"/>
        </w:rPr>
        <w:t>1</w:t>
      </w:r>
      <w:r>
        <w:rPr>
          <w:rFonts w:hint="eastAsia"/>
          <w:sz w:val="24"/>
        </w:rPr>
        <w:t xml:space="preserve">  顶管过程中常发生工作井后靠背和底板变形引起激光导向错误的情况，应引起重视。</w:t>
      </w:r>
    </w:p>
    <w:p>
      <w:pPr>
        <w:spacing w:line="440" w:lineRule="exact"/>
        <w:rPr>
          <w:sz w:val="24"/>
        </w:rPr>
      </w:pPr>
      <w:r>
        <w:rPr>
          <w:rFonts w:hint="eastAsia"/>
          <w:b/>
          <w:bCs/>
          <w:sz w:val="24"/>
        </w:rPr>
        <w:t>7.8.5</w:t>
      </w:r>
      <w:r>
        <w:rPr>
          <w:rFonts w:hint="eastAsia"/>
          <w:sz w:val="24"/>
        </w:rPr>
        <w:t>管幕机械顶管法施工导向控制与纠偏应符合下列规定：</w:t>
      </w:r>
    </w:p>
    <w:p>
      <w:pPr>
        <w:spacing w:line="440" w:lineRule="exact"/>
        <w:ind w:firstLine="482" w:firstLineChars="200"/>
        <w:rPr>
          <w:sz w:val="24"/>
        </w:rPr>
      </w:pPr>
      <w:r>
        <w:rPr>
          <w:rFonts w:hint="eastAsia"/>
          <w:b/>
          <w:bCs/>
          <w:sz w:val="24"/>
        </w:rPr>
        <w:t>7</w:t>
      </w:r>
      <w:r>
        <w:rPr>
          <w:rFonts w:hint="eastAsia"/>
          <w:sz w:val="24"/>
        </w:rPr>
        <w:t xml:space="preserve"> 通常所说的“勤测、早纠、微纠、早收”纠偏操作原则，纠偏要早，纠偏量要小。复位要提前，防止纠枉过正。</w:t>
      </w:r>
    </w:p>
    <w:p>
      <w:pPr>
        <w:spacing w:line="440" w:lineRule="exact"/>
      </w:pPr>
      <w:r>
        <w:rPr>
          <w:rFonts w:hint="eastAsia" w:ascii="宋体" w:hAnsi="宋体"/>
        </w:rPr>
        <w:br w:type="page"/>
      </w:r>
    </w:p>
    <w:p>
      <w:pPr>
        <w:spacing w:before="156" w:beforeLines="50" w:after="156" w:afterLines="50"/>
        <w:jc w:val="center"/>
        <w:outlineLvl w:val="0"/>
        <w:rPr>
          <w:sz w:val="32"/>
          <w:szCs w:val="20"/>
        </w:rPr>
      </w:pPr>
      <w:bookmarkStart w:id="262" w:name="_Toc29178"/>
      <w:bookmarkStart w:id="263" w:name="_Toc25938"/>
      <w:bookmarkStart w:id="264" w:name="_Toc27013"/>
      <w:r>
        <w:rPr>
          <w:rFonts w:hint="eastAsia"/>
          <w:sz w:val="32"/>
          <w:szCs w:val="20"/>
        </w:rPr>
        <w:t>8.  管幕钢管填充</w:t>
      </w:r>
      <w:bookmarkEnd w:id="262"/>
      <w:bookmarkEnd w:id="263"/>
      <w:bookmarkEnd w:id="264"/>
    </w:p>
    <w:p>
      <w:pPr>
        <w:spacing w:before="156" w:beforeLines="50" w:after="156" w:afterLines="50" w:line="440" w:lineRule="exact"/>
        <w:jc w:val="center"/>
        <w:outlineLvl w:val="1"/>
        <w:rPr>
          <w:rFonts w:eastAsia="黑体"/>
          <w:sz w:val="24"/>
        </w:rPr>
      </w:pPr>
      <w:bookmarkStart w:id="265" w:name="_Toc11152"/>
      <w:bookmarkStart w:id="266" w:name="_Toc8500"/>
      <w:bookmarkStart w:id="267" w:name="_Toc8609"/>
      <w:r>
        <w:rPr>
          <w:rFonts w:hint="eastAsia" w:eastAsia="黑体"/>
          <w:sz w:val="24"/>
        </w:rPr>
        <w:t>8.1  一 般 规 定</w:t>
      </w:r>
      <w:bookmarkEnd w:id="265"/>
      <w:bookmarkEnd w:id="266"/>
      <w:bookmarkEnd w:id="267"/>
    </w:p>
    <w:p>
      <w:pPr>
        <w:spacing w:line="440" w:lineRule="exact"/>
        <w:rPr>
          <w:sz w:val="24"/>
        </w:rPr>
      </w:pPr>
      <w:r>
        <w:rPr>
          <w:rFonts w:hint="eastAsia"/>
          <w:sz w:val="24"/>
        </w:rPr>
        <w:t>8.1.3  设计要求可采用混凝土主要考虑刚度需要，尤其针对大直径管幕。</w:t>
      </w:r>
    </w:p>
    <w:p>
      <w:pPr>
        <w:spacing w:before="156" w:beforeLines="50" w:after="156" w:afterLines="50" w:line="440" w:lineRule="exact"/>
        <w:jc w:val="center"/>
        <w:outlineLvl w:val="1"/>
        <w:rPr>
          <w:rFonts w:eastAsia="黑体"/>
          <w:sz w:val="24"/>
        </w:rPr>
      </w:pPr>
      <w:bookmarkStart w:id="268" w:name="_Toc23953"/>
      <w:bookmarkStart w:id="269" w:name="_Toc11683"/>
      <w:bookmarkStart w:id="270" w:name="_Toc3224"/>
      <w:r>
        <w:rPr>
          <w:rFonts w:hint="eastAsia" w:eastAsia="黑体"/>
          <w:sz w:val="24"/>
        </w:rPr>
        <w:t>8.2  钢管内骨架制作及安装</w:t>
      </w:r>
      <w:bookmarkEnd w:id="268"/>
      <w:bookmarkEnd w:id="269"/>
      <w:bookmarkEnd w:id="270"/>
    </w:p>
    <w:p>
      <w:pPr>
        <w:spacing w:line="440" w:lineRule="exact"/>
        <w:rPr>
          <w:sz w:val="24"/>
        </w:rPr>
      </w:pPr>
      <w:r>
        <w:rPr>
          <w:rFonts w:hint="eastAsia"/>
          <w:sz w:val="24"/>
        </w:rPr>
        <w:t>8.2.1  钢筋笼骨架安装也可采用“边引边推式”，保证推拉过程中不发生变形。</w:t>
      </w:r>
    </w:p>
    <w:p>
      <w:pPr>
        <w:spacing w:line="440" w:lineRule="exact"/>
        <w:rPr>
          <w:sz w:val="24"/>
        </w:rPr>
      </w:pPr>
      <w:r>
        <w:rPr>
          <w:rFonts w:hint="eastAsia"/>
          <w:sz w:val="24"/>
        </w:rPr>
        <w:t>8.2.5  设计应有型钢接头连接详图。</w:t>
      </w:r>
    </w:p>
    <w:p>
      <w:pPr>
        <w:spacing w:before="156" w:beforeLines="50" w:after="156" w:afterLines="50" w:line="440" w:lineRule="exact"/>
        <w:jc w:val="center"/>
        <w:outlineLvl w:val="1"/>
        <w:rPr>
          <w:rFonts w:eastAsia="黑体"/>
          <w:sz w:val="24"/>
        </w:rPr>
      </w:pPr>
      <w:bookmarkStart w:id="271" w:name="_Toc24209"/>
      <w:bookmarkStart w:id="272" w:name="_Toc12066"/>
      <w:bookmarkStart w:id="273" w:name="_Toc5199"/>
      <w:r>
        <w:rPr>
          <w:rFonts w:hint="eastAsia" w:eastAsia="黑体"/>
          <w:sz w:val="24"/>
        </w:rPr>
        <w:t>8.3  管幕钢管填充</w:t>
      </w:r>
      <w:bookmarkEnd w:id="271"/>
      <w:bookmarkEnd w:id="272"/>
      <w:bookmarkEnd w:id="273"/>
    </w:p>
    <w:p>
      <w:pPr>
        <w:spacing w:line="440" w:lineRule="exact"/>
        <w:rPr>
          <w:sz w:val="24"/>
        </w:rPr>
      </w:pPr>
      <w:r>
        <w:rPr>
          <w:rFonts w:hint="eastAsia"/>
          <w:sz w:val="24"/>
        </w:rPr>
        <w:t>8.3.</w:t>
      </w:r>
      <w:r>
        <w:rPr>
          <w:sz w:val="24"/>
        </w:rPr>
        <w:t>3</w:t>
      </w:r>
      <w:r>
        <w:rPr>
          <w:rFonts w:hint="eastAsia"/>
          <w:sz w:val="24"/>
        </w:rPr>
        <w:t xml:space="preserve"> 采用压浆充填时预留压浆孔、采用混凝土充填时预留灌注孔。</w:t>
      </w:r>
    </w:p>
    <w:p>
      <w:pPr>
        <w:spacing w:line="440" w:lineRule="exact"/>
        <w:rPr>
          <w:sz w:val="24"/>
        </w:rPr>
      </w:pPr>
      <w:r>
        <w:rPr>
          <w:rFonts w:hint="eastAsia"/>
          <w:sz w:val="24"/>
        </w:rPr>
        <w:t>8.3.6 填充混凝土时，由钢管低端向高度灌注，依靠压力密实。</w:t>
      </w:r>
    </w:p>
    <w:p>
      <w:pPr>
        <w:spacing w:before="156" w:beforeLines="50" w:after="156" w:afterLines="50" w:line="440" w:lineRule="exact"/>
        <w:jc w:val="center"/>
        <w:outlineLvl w:val="1"/>
        <w:rPr>
          <w:rFonts w:eastAsia="黑体"/>
          <w:sz w:val="24"/>
        </w:rPr>
      </w:pPr>
      <w:bookmarkStart w:id="274" w:name="_Toc14591"/>
      <w:bookmarkStart w:id="275" w:name="_Toc14104"/>
      <w:bookmarkStart w:id="276" w:name="_Toc27026"/>
      <w:r>
        <w:rPr>
          <w:rFonts w:hint="eastAsia" w:eastAsia="黑体"/>
          <w:sz w:val="24"/>
        </w:rPr>
        <w:t>8.4  管幕钢管壁后注浆</w:t>
      </w:r>
      <w:bookmarkEnd w:id="274"/>
      <w:bookmarkEnd w:id="275"/>
      <w:bookmarkEnd w:id="276"/>
    </w:p>
    <w:p>
      <w:pPr>
        <w:spacing w:line="440" w:lineRule="exact"/>
        <w:rPr>
          <w:sz w:val="24"/>
        </w:rPr>
      </w:pPr>
      <w:r>
        <w:rPr>
          <w:rFonts w:hint="eastAsia"/>
          <w:sz w:val="24"/>
        </w:rPr>
        <w:t>8.4.1 管幕壁后注浆主要起充填应管幕顶进过程中产生的渗漏、超量出土而产生的土体空隙。</w:t>
      </w:r>
    </w:p>
    <w:p>
      <w:pPr>
        <w:rPr>
          <w:rFonts w:ascii="宋体" w:hAnsi="宋体"/>
        </w:rPr>
      </w:pPr>
      <w:r>
        <w:rPr>
          <w:rFonts w:hint="eastAsia" w:ascii="宋体" w:hAnsi="宋体"/>
        </w:rPr>
        <w:br w:type="page"/>
      </w:r>
    </w:p>
    <w:p>
      <w:pPr>
        <w:spacing w:before="156" w:beforeLines="50" w:after="156" w:afterLines="50"/>
        <w:jc w:val="center"/>
        <w:outlineLvl w:val="0"/>
        <w:rPr>
          <w:sz w:val="32"/>
          <w:szCs w:val="20"/>
        </w:rPr>
      </w:pPr>
      <w:bookmarkStart w:id="277" w:name="_Toc27901"/>
      <w:bookmarkStart w:id="278" w:name="_Toc9097"/>
      <w:bookmarkStart w:id="279" w:name="_Toc8867"/>
      <w:r>
        <w:rPr>
          <w:rFonts w:hint="eastAsia"/>
          <w:sz w:val="32"/>
          <w:szCs w:val="20"/>
        </w:rPr>
        <w:t>9  施 工 监 测</w:t>
      </w:r>
      <w:bookmarkEnd w:id="277"/>
      <w:bookmarkEnd w:id="278"/>
      <w:bookmarkEnd w:id="279"/>
    </w:p>
    <w:p>
      <w:pPr>
        <w:spacing w:before="156" w:beforeLines="50" w:after="156" w:afterLines="50" w:line="440" w:lineRule="exact"/>
        <w:jc w:val="center"/>
        <w:outlineLvl w:val="1"/>
        <w:rPr>
          <w:rFonts w:eastAsia="黑体"/>
          <w:sz w:val="24"/>
        </w:rPr>
      </w:pPr>
      <w:bookmarkStart w:id="280" w:name="_Toc2938"/>
      <w:bookmarkStart w:id="281" w:name="_Toc18573"/>
      <w:bookmarkStart w:id="282" w:name="_Toc1872"/>
      <w:r>
        <w:rPr>
          <w:rFonts w:eastAsia="黑体"/>
          <w:sz w:val="24"/>
        </w:rPr>
        <w:t>9.</w:t>
      </w:r>
      <w:r>
        <w:rPr>
          <w:rFonts w:hint="eastAsia" w:eastAsia="黑体"/>
          <w:sz w:val="24"/>
        </w:rPr>
        <w:t>1  一 般 规 定</w:t>
      </w:r>
      <w:bookmarkEnd w:id="280"/>
      <w:bookmarkEnd w:id="281"/>
      <w:bookmarkEnd w:id="282"/>
    </w:p>
    <w:p>
      <w:pPr>
        <w:spacing w:line="440" w:lineRule="exact"/>
        <w:rPr>
          <w:sz w:val="24"/>
        </w:rPr>
      </w:pPr>
      <w:bookmarkStart w:id="283" w:name="_Hlk103463489"/>
      <w:r>
        <w:rPr>
          <w:rFonts w:hint="eastAsia"/>
          <w:b/>
          <w:bCs/>
          <w:sz w:val="24"/>
        </w:rPr>
        <w:t>9.1.</w:t>
      </w:r>
      <w:r>
        <w:rPr>
          <w:b/>
          <w:bCs/>
          <w:sz w:val="24"/>
        </w:rPr>
        <w:t xml:space="preserve">1  </w:t>
      </w:r>
      <w:r>
        <w:rPr>
          <w:rFonts w:hint="eastAsia"/>
          <w:sz w:val="24"/>
        </w:rPr>
        <w:t>管幕法施工过程中，应根据设计文件、周边环境、施工工艺等制定监测方案，包括工作井深基坑、周边的建筑物、地下管线以及管幕结构内应力应变监测。其中钢管顶推千斤顶作用在工作井围护结构上，对围护结构内力及变形有一定影响，因此，需重点对围护结构水平位移及内支撑进行监测，另外还要对管间支护应力及应变、钢管应力及应变、管幕预筑结构应力及应变等进行重点监测。</w:t>
      </w:r>
    </w:p>
    <w:p>
      <w:pPr>
        <w:spacing w:line="440" w:lineRule="exact"/>
        <w:ind w:firstLine="480" w:firstLineChars="200"/>
        <w:rPr>
          <w:sz w:val="24"/>
        </w:rPr>
      </w:pPr>
      <w:r>
        <w:rPr>
          <w:rFonts w:hint="eastAsia"/>
          <w:sz w:val="24"/>
        </w:rPr>
        <w:t>对施工区域及沿线周边环境复杂（特殊）地段的构（建）筑物及重要设施进行安全评估或评定，并制定应急预案，以便满足突发异常变形或抢险等对施工监测的需要。同步采集地面和隧道内监测数据，便于全面了解、分析变形动态。</w:t>
      </w:r>
    </w:p>
    <w:p>
      <w:pPr>
        <w:spacing w:line="440" w:lineRule="exact"/>
        <w:rPr>
          <w:sz w:val="24"/>
        </w:rPr>
      </w:pPr>
      <w:r>
        <w:rPr>
          <w:rFonts w:hint="eastAsia"/>
          <w:b/>
          <w:bCs/>
          <w:sz w:val="24"/>
        </w:rPr>
        <w:t>9.1.</w:t>
      </w:r>
      <w:r>
        <w:rPr>
          <w:b/>
          <w:bCs/>
          <w:sz w:val="24"/>
        </w:rPr>
        <w:t>5</w:t>
      </w:r>
      <w:r>
        <w:rPr>
          <w:rFonts w:hint="eastAsia"/>
          <w:sz w:val="24"/>
        </w:rPr>
        <w:t xml:space="preserve"> </w:t>
      </w:r>
      <w:bookmarkEnd w:id="283"/>
      <w:r>
        <w:rPr>
          <w:rFonts w:hint="eastAsia"/>
          <w:sz w:val="24"/>
        </w:rPr>
        <w:t xml:space="preserve"> 管幕法施工监测重点监测项目如下：</w:t>
      </w:r>
    </w:p>
    <w:p>
      <w:pPr>
        <w:spacing w:line="440" w:lineRule="exact"/>
        <w:ind w:firstLine="361" w:firstLineChars="150"/>
        <w:rPr>
          <w:sz w:val="24"/>
        </w:rPr>
      </w:pPr>
      <w:r>
        <w:rPr>
          <w:rFonts w:hint="eastAsia"/>
          <w:b/>
          <w:bCs/>
          <w:sz w:val="24"/>
        </w:rPr>
        <w:t>1</w:t>
      </w:r>
      <w:r>
        <w:rPr>
          <w:rFonts w:hint="eastAsia"/>
          <w:sz w:val="24"/>
        </w:rPr>
        <w:t xml:space="preserve">  工作井反力墙水平位移；</w:t>
      </w:r>
    </w:p>
    <w:p>
      <w:pPr>
        <w:spacing w:line="440" w:lineRule="exact"/>
        <w:ind w:firstLine="361" w:firstLineChars="150"/>
        <w:rPr>
          <w:sz w:val="24"/>
        </w:rPr>
      </w:pPr>
      <w:r>
        <w:rPr>
          <w:rFonts w:hint="eastAsia"/>
          <w:b/>
          <w:bCs/>
          <w:sz w:val="24"/>
        </w:rPr>
        <w:t>2</w:t>
      </w:r>
      <w:r>
        <w:rPr>
          <w:rFonts w:hint="eastAsia"/>
          <w:sz w:val="24"/>
        </w:rPr>
        <w:t xml:space="preserve">  管间支护变形；</w:t>
      </w:r>
    </w:p>
    <w:p>
      <w:pPr>
        <w:spacing w:line="440" w:lineRule="exact"/>
        <w:ind w:firstLine="361" w:firstLineChars="150"/>
        <w:rPr>
          <w:sz w:val="24"/>
        </w:rPr>
      </w:pPr>
      <w:r>
        <w:rPr>
          <w:rFonts w:hint="eastAsia"/>
          <w:b/>
          <w:bCs/>
          <w:sz w:val="24"/>
        </w:rPr>
        <w:t>3</w:t>
      </w:r>
      <w:r>
        <w:rPr>
          <w:rFonts w:hint="eastAsia"/>
          <w:sz w:val="24"/>
        </w:rPr>
        <w:t xml:space="preserve">  顶进钢管变形；</w:t>
      </w:r>
    </w:p>
    <w:p>
      <w:pPr>
        <w:spacing w:line="440" w:lineRule="exact"/>
        <w:ind w:firstLine="361" w:firstLineChars="150"/>
        <w:rPr>
          <w:sz w:val="24"/>
        </w:rPr>
      </w:pPr>
      <w:r>
        <w:rPr>
          <w:rFonts w:hint="eastAsia"/>
          <w:b/>
          <w:bCs/>
          <w:sz w:val="24"/>
        </w:rPr>
        <w:t>4</w:t>
      </w:r>
      <w:r>
        <w:rPr>
          <w:rFonts w:hint="eastAsia"/>
          <w:sz w:val="24"/>
        </w:rPr>
        <w:t xml:space="preserve">  管幕预筑结构变形。</w:t>
      </w:r>
    </w:p>
    <w:p>
      <w:pPr>
        <w:spacing w:before="156" w:beforeLines="50" w:after="156" w:afterLines="50" w:line="440" w:lineRule="exact"/>
        <w:jc w:val="center"/>
        <w:outlineLvl w:val="1"/>
        <w:rPr>
          <w:rFonts w:eastAsia="黑体"/>
          <w:sz w:val="24"/>
        </w:rPr>
      </w:pPr>
      <w:bookmarkStart w:id="284" w:name="_Toc14957"/>
      <w:bookmarkStart w:id="285" w:name="_Toc23830"/>
      <w:bookmarkStart w:id="286" w:name="_Toc19218"/>
      <w:r>
        <w:rPr>
          <w:rFonts w:hint="eastAsia" w:eastAsia="黑体"/>
          <w:sz w:val="24"/>
        </w:rPr>
        <w:t>9.</w:t>
      </w:r>
      <w:r>
        <w:rPr>
          <w:rFonts w:eastAsia="黑体"/>
          <w:sz w:val="24"/>
        </w:rPr>
        <w:t>5</w:t>
      </w:r>
      <w:r>
        <w:rPr>
          <w:rFonts w:hint="eastAsia" w:eastAsia="黑体"/>
          <w:sz w:val="24"/>
        </w:rPr>
        <w:t xml:space="preserve">  数据处理与信息反馈</w:t>
      </w:r>
      <w:bookmarkEnd w:id="284"/>
      <w:bookmarkEnd w:id="285"/>
      <w:bookmarkEnd w:id="286"/>
    </w:p>
    <w:p>
      <w:pPr>
        <w:spacing w:line="440" w:lineRule="exact"/>
        <w:rPr>
          <w:sz w:val="24"/>
        </w:rPr>
      </w:pPr>
      <w:r>
        <w:rPr>
          <w:rFonts w:hint="eastAsia"/>
          <w:b/>
          <w:bCs/>
          <w:sz w:val="24"/>
        </w:rPr>
        <w:t>9.</w:t>
      </w:r>
      <w:r>
        <w:rPr>
          <w:b/>
          <w:bCs/>
          <w:sz w:val="24"/>
        </w:rPr>
        <w:t>5</w:t>
      </w:r>
      <w:r>
        <w:rPr>
          <w:rFonts w:hint="eastAsia"/>
          <w:b/>
          <w:bCs/>
          <w:sz w:val="24"/>
        </w:rPr>
        <w:t>.4</w:t>
      </w:r>
      <w:r>
        <w:rPr>
          <w:rFonts w:hint="eastAsia"/>
          <w:sz w:val="24"/>
        </w:rPr>
        <w:t xml:space="preserve">  监测成果分为日报、警情快报和阶段性报告。监测成果采用文字、表格、图形、照片等形式，表达直观、可读性强。监测成果具体内容参考如下：</w:t>
      </w:r>
    </w:p>
    <w:p>
      <w:pPr>
        <w:spacing w:line="440" w:lineRule="exact"/>
        <w:ind w:firstLine="361" w:firstLineChars="150"/>
        <w:rPr>
          <w:sz w:val="24"/>
        </w:rPr>
      </w:pPr>
      <w:r>
        <w:rPr>
          <w:rFonts w:hint="eastAsia"/>
          <w:b/>
          <w:bCs/>
          <w:sz w:val="24"/>
        </w:rPr>
        <w:t>1</w:t>
      </w:r>
      <w:r>
        <w:rPr>
          <w:rFonts w:hint="eastAsia"/>
          <w:sz w:val="24"/>
        </w:rPr>
        <w:t xml:space="preserve">  日报</w:t>
      </w:r>
    </w:p>
    <w:p>
      <w:pPr>
        <w:spacing w:line="440" w:lineRule="exact"/>
        <w:ind w:firstLine="480" w:firstLineChars="200"/>
        <w:rPr>
          <w:sz w:val="24"/>
        </w:rPr>
      </w:pPr>
      <w:r>
        <w:rPr>
          <w:rFonts w:hint="eastAsia"/>
          <w:sz w:val="24"/>
        </w:rPr>
        <w:t>1）工程施工概况；</w:t>
      </w:r>
    </w:p>
    <w:p>
      <w:pPr>
        <w:spacing w:line="440" w:lineRule="exact"/>
        <w:ind w:firstLine="480" w:firstLineChars="200"/>
        <w:rPr>
          <w:sz w:val="24"/>
        </w:rPr>
      </w:pPr>
      <w:r>
        <w:rPr>
          <w:rFonts w:hint="eastAsia"/>
          <w:sz w:val="24"/>
        </w:rPr>
        <w:t>2）现场巡视信息：巡视照片、记录等；</w:t>
      </w:r>
    </w:p>
    <w:p>
      <w:pPr>
        <w:spacing w:line="440" w:lineRule="exact"/>
        <w:ind w:firstLine="480" w:firstLineChars="200"/>
        <w:rPr>
          <w:sz w:val="24"/>
        </w:rPr>
      </w:pPr>
      <w:r>
        <w:rPr>
          <w:rFonts w:hint="eastAsia"/>
          <w:sz w:val="24"/>
        </w:rPr>
        <w:t>3）监测项目日报表：仪器型号、监测日期、观测时间、天气情况、监测项目的累计变化值、变化速率值、控制值、监测点平面位置图等；</w:t>
      </w:r>
    </w:p>
    <w:p>
      <w:pPr>
        <w:spacing w:line="440" w:lineRule="exact"/>
        <w:ind w:firstLine="480" w:firstLineChars="200"/>
        <w:rPr>
          <w:sz w:val="24"/>
        </w:rPr>
      </w:pPr>
      <w:r>
        <w:rPr>
          <w:rFonts w:hint="eastAsia"/>
          <w:sz w:val="24"/>
        </w:rPr>
        <w:t>4）监测数据分析与说明；</w:t>
      </w:r>
    </w:p>
    <w:p>
      <w:pPr>
        <w:spacing w:line="440" w:lineRule="exact"/>
        <w:ind w:firstLine="480" w:firstLineChars="200"/>
        <w:rPr>
          <w:sz w:val="24"/>
        </w:rPr>
      </w:pPr>
      <w:r>
        <w:rPr>
          <w:rFonts w:hint="eastAsia"/>
          <w:sz w:val="24"/>
        </w:rPr>
        <w:t>5）结论与建议。</w:t>
      </w:r>
    </w:p>
    <w:p>
      <w:pPr>
        <w:spacing w:line="440" w:lineRule="exact"/>
        <w:ind w:firstLine="361" w:firstLineChars="150"/>
        <w:rPr>
          <w:sz w:val="24"/>
        </w:rPr>
      </w:pPr>
      <w:r>
        <w:rPr>
          <w:rFonts w:hint="eastAsia"/>
          <w:b/>
          <w:bCs/>
          <w:sz w:val="24"/>
        </w:rPr>
        <w:t>2</w:t>
      </w:r>
      <w:r>
        <w:rPr>
          <w:rFonts w:hint="eastAsia"/>
          <w:sz w:val="24"/>
        </w:rPr>
        <w:t xml:space="preserve">  警情快报</w:t>
      </w:r>
    </w:p>
    <w:p>
      <w:pPr>
        <w:spacing w:line="440" w:lineRule="exact"/>
        <w:ind w:firstLine="480" w:firstLineChars="200"/>
        <w:rPr>
          <w:sz w:val="24"/>
        </w:rPr>
      </w:pPr>
      <w:r>
        <w:rPr>
          <w:rFonts w:hint="eastAsia"/>
          <w:sz w:val="24"/>
        </w:rPr>
        <w:t>1）警情发生的时间、地点、情况描述、严重程度、施工工况等；</w:t>
      </w:r>
    </w:p>
    <w:p>
      <w:pPr>
        <w:spacing w:line="440" w:lineRule="exact"/>
        <w:ind w:firstLine="480" w:firstLineChars="200"/>
        <w:rPr>
          <w:sz w:val="24"/>
        </w:rPr>
      </w:pPr>
      <w:r>
        <w:rPr>
          <w:rFonts w:hint="eastAsia"/>
          <w:sz w:val="24"/>
        </w:rPr>
        <w:t>2）监测数据表及累计变化值、变化速率值、监测点平面位置图、巡视照片、记录等；</w:t>
      </w:r>
    </w:p>
    <w:p>
      <w:pPr>
        <w:spacing w:line="440" w:lineRule="exact"/>
        <w:ind w:firstLine="480" w:firstLineChars="200"/>
        <w:rPr>
          <w:sz w:val="24"/>
        </w:rPr>
      </w:pPr>
      <w:r>
        <w:rPr>
          <w:rFonts w:hint="eastAsia"/>
          <w:sz w:val="24"/>
        </w:rPr>
        <w:t>3）警情原因初步分析；</w:t>
      </w:r>
    </w:p>
    <w:p>
      <w:pPr>
        <w:spacing w:line="440" w:lineRule="exact"/>
        <w:ind w:firstLine="480" w:firstLineChars="200"/>
        <w:rPr>
          <w:sz w:val="24"/>
        </w:rPr>
      </w:pPr>
      <w:r>
        <w:rPr>
          <w:rFonts w:hint="eastAsia"/>
          <w:sz w:val="24"/>
        </w:rPr>
        <w:t>4）处理措施建议。</w:t>
      </w:r>
    </w:p>
    <w:p>
      <w:pPr>
        <w:spacing w:line="440" w:lineRule="exact"/>
        <w:ind w:firstLine="361" w:firstLineChars="150"/>
        <w:rPr>
          <w:sz w:val="24"/>
        </w:rPr>
      </w:pPr>
      <w:r>
        <w:rPr>
          <w:rFonts w:hint="eastAsia"/>
          <w:b/>
          <w:bCs/>
          <w:sz w:val="24"/>
        </w:rPr>
        <w:t>3</w:t>
      </w:r>
      <w:r>
        <w:rPr>
          <w:rFonts w:hint="eastAsia"/>
          <w:sz w:val="24"/>
        </w:rPr>
        <w:t xml:space="preserve">  阶段性报告</w:t>
      </w:r>
    </w:p>
    <w:p>
      <w:pPr>
        <w:spacing w:line="440" w:lineRule="exact"/>
        <w:ind w:firstLine="480" w:firstLineChars="200"/>
        <w:rPr>
          <w:sz w:val="24"/>
        </w:rPr>
      </w:pPr>
      <w:r>
        <w:rPr>
          <w:rFonts w:hint="eastAsia"/>
          <w:sz w:val="24"/>
        </w:rPr>
        <w:t>1）工程概况及施工进度；</w:t>
      </w:r>
    </w:p>
    <w:p>
      <w:pPr>
        <w:spacing w:line="440" w:lineRule="exact"/>
        <w:ind w:firstLine="480" w:firstLineChars="200"/>
        <w:rPr>
          <w:sz w:val="24"/>
        </w:rPr>
      </w:pPr>
      <w:r>
        <w:rPr>
          <w:rFonts w:hint="eastAsia"/>
          <w:sz w:val="24"/>
        </w:rPr>
        <w:t>2）现场巡视信息：巡视照片、记录等；</w:t>
      </w:r>
    </w:p>
    <w:p>
      <w:pPr>
        <w:spacing w:line="440" w:lineRule="exact"/>
        <w:ind w:firstLine="480" w:firstLineChars="200"/>
        <w:rPr>
          <w:sz w:val="24"/>
        </w:rPr>
      </w:pPr>
      <w:r>
        <w:rPr>
          <w:rFonts w:hint="eastAsia"/>
          <w:sz w:val="24"/>
        </w:rPr>
        <w:t>3）监测数据表及累计变化值、变化速率值、时程曲线、必要的断面曲线图、等值线图、监测点平面位置图等；</w:t>
      </w:r>
    </w:p>
    <w:p>
      <w:pPr>
        <w:spacing w:line="440" w:lineRule="exact"/>
        <w:ind w:firstLine="480" w:firstLineChars="200"/>
        <w:rPr>
          <w:sz w:val="24"/>
        </w:rPr>
      </w:pPr>
      <w:r>
        <w:rPr>
          <w:rFonts w:hint="eastAsia"/>
          <w:sz w:val="24"/>
        </w:rPr>
        <w:t>4）监测数据、巡视信息的分析与说明；</w:t>
      </w:r>
    </w:p>
    <w:p>
      <w:pPr>
        <w:spacing w:line="440" w:lineRule="exact"/>
        <w:ind w:firstLine="480" w:firstLineChars="200"/>
        <w:rPr>
          <w:sz w:val="24"/>
        </w:rPr>
      </w:pPr>
      <w:r>
        <w:rPr>
          <w:rFonts w:hint="eastAsia"/>
          <w:sz w:val="24"/>
        </w:rPr>
        <w:t>5）结论与建议。</w:t>
      </w:r>
    </w:p>
    <w:p>
      <w:pPr>
        <w:spacing w:line="440" w:lineRule="exact"/>
        <w:ind w:firstLine="361" w:firstLineChars="150"/>
        <w:rPr>
          <w:sz w:val="24"/>
        </w:rPr>
      </w:pPr>
      <w:r>
        <w:rPr>
          <w:rFonts w:hint="eastAsia"/>
          <w:b/>
          <w:bCs/>
          <w:sz w:val="24"/>
        </w:rPr>
        <w:t>4</w:t>
      </w:r>
      <w:r>
        <w:rPr>
          <w:rFonts w:hint="eastAsia"/>
          <w:sz w:val="24"/>
        </w:rPr>
        <w:t xml:space="preserve">  总结报告</w:t>
      </w:r>
    </w:p>
    <w:p>
      <w:pPr>
        <w:spacing w:line="440" w:lineRule="exact"/>
        <w:ind w:firstLine="480" w:firstLineChars="200"/>
        <w:rPr>
          <w:sz w:val="24"/>
        </w:rPr>
      </w:pPr>
      <w:r>
        <w:rPr>
          <w:rFonts w:hint="eastAsia"/>
          <w:sz w:val="24"/>
        </w:rPr>
        <w:t>1）工程概况；</w:t>
      </w:r>
    </w:p>
    <w:p>
      <w:pPr>
        <w:spacing w:line="440" w:lineRule="exact"/>
        <w:ind w:firstLine="480" w:firstLineChars="200"/>
        <w:rPr>
          <w:sz w:val="24"/>
        </w:rPr>
      </w:pPr>
      <w:r>
        <w:rPr>
          <w:rFonts w:hint="eastAsia"/>
          <w:sz w:val="24"/>
        </w:rPr>
        <w:t>2）监测目的、监测项目和监测依据；</w:t>
      </w:r>
    </w:p>
    <w:p>
      <w:pPr>
        <w:spacing w:line="440" w:lineRule="exact"/>
        <w:ind w:firstLine="480" w:firstLineChars="200"/>
        <w:rPr>
          <w:sz w:val="24"/>
        </w:rPr>
      </w:pPr>
      <w:r>
        <w:rPr>
          <w:rFonts w:hint="eastAsia"/>
          <w:sz w:val="24"/>
        </w:rPr>
        <w:t>3）监测点布设；</w:t>
      </w:r>
    </w:p>
    <w:p>
      <w:pPr>
        <w:rPr>
          <w:rFonts w:ascii="宋体" w:hAnsi="宋体"/>
        </w:rPr>
      </w:pPr>
      <w:r>
        <w:rPr>
          <w:rFonts w:hint="eastAsia" w:ascii="宋体" w:hAnsi="宋体"/>
        </w:rPr>
        <w:br w:type="page"/>
      </w:r>
    </w:p>
    <w:p>
      <w:pPr>
        <w:spacing w:before="156" w:beforeLines="50" w:after="156" w:afterLines="50"/>
        <w:jc w:val="center"/>
        <w:outlineLvl w:val="0"/>
        <w:rPr>
          <w:sz w:val="32"/>
          <w:szCs w:val="20"/>
        </w:rPr>
      </w:pPr>
      <w:bookmarkStart w:id="287" w:name="_Toc27605"/>
      <w:bookmarkStart w:id="288" w:name="_Toc7445"/>
      <w:bookmarkStart w:id="289" w:name="_Toc11047"/>
      <w:r>
        <w:rPr>
          <w:rFonts w:hint="eastAsia"/>
          <w:sz w:val="32"/>
          <w:szCs w:val="20"/>
        </w:rPr>
        <w:t>10  质</w:t>
      </w:r>
      <w:r>
        <w:rPr>
          <w:rFonts w:hint="eastAsia"/>
          <w:sz w:val="32"/>
          <w:szCs w:val="20"/>
          <w:lang w:val="en-US" w:eastAsia="zh-CN"/>
        </w:rPr>
        <w:t xml:space="preserve"> </w:t>
      </w:r>
      <w:r>
        <w:rPr>
          <w:rFonts w:hint="eastAsia"/>
          <w:sz w:val="32"/>
          <w:szCs w:val="20"/>
        </w:rPr>
        <w:t>量</w:t>
      </w:r>
      <w:r>
        <w:rPr>
          <w:rFonts w:hint="eastAsia"/>
          <w:sz w:val="32"/>
          <w:szCs w:val="20"/>
          <w:lang w:val="en-US" w:eastAsia="zh-CN"/>
        </w:rPr>
        <w:t xml:space="preserve"> </w:t>
      </w:r>
      <w:r>
        <w:rPr>
          <w:rFonts w:hint="eastAsia"/>
          <w:sz w:val="32"/>
          <w:szCs w:val="20"/>
        </w:rPr>
        <w:t>验</w:t>
      </w:r>
      <w:r>
        <w:rPr>
          <w:rFonts w:hint="eastAsia"/>
          <w:sz w:val="32"/>
          <w:szCs w:val="20"/>
          <w:lang w:val="en-US" w:eastAsia="zh-CN"/>
        </w:rPr>
        <w:t xml:space="preserve"> </w:t>
      </w:r>
      <w:r>
        <w:rPr>
          <w:rFonts w:hint="eastAsia"/>
          <w:sz w:val="32"/>
          <w:szCs w:val="20"/>
        </w:rPr>
        <w:t>收</w:t>
      </w:r>
      <w:bookmarkEnd w:id="287"/>
      <w:bookmarkEnd w:id="288"/>
      <w:bookmarkEnd w:id="289"/>
    </w:p>
    <w:p>
      <w:pPr>
        <w:spacing w:before="156" w:beforeLines="50" w:after="156" w:afterLines="50" w:line="440" w:lineRule="exact"/>
        <w:jc w:val="center"/>
        <w:outlineLvl w:val="1"/>
        <w:rPr>
          <w:rFonts w:eastAsia="黑体"/>
          <w:sz w:val="24"/>
        </w:rPr>
      </w:pPr>
      <w:bookmarkStart w:id="290" w:name="_Toc27858"/>
      <w:bookmarkStart w:id="291" w:name="_Toc6836"/>
      <w:bookmarkStart w:id="292" w:name="_Toc3781"/>
      <w:r>
        <w:rPr>
          <w:rFonts w:hint="eastAsia" w:eastAsia="黑体"/>
          <w:sz w:val="24"/>
        </w:rPr>
        <w:t>10.3  管幕拉管法施工</w:t>
      </w:r>
      <w:bookmarkEnd w:id="290"/>
      <w:bookmarkEnd w:id="291"/>
      <w:bookmarkEnd w:id="292"/>
    </w:p>
    <w:p>
      <w:pPr>
        <w:spacing w:line="440" w:lineRule="exact"/>
        <w:rPr>
          <w:sz w:val="24"/>
        </w:rPr>
      </w:pPr>
      <w:r>
        <w:rPr>
          <w:rFonts w:hint="eastAsia"/>
          <w:b/>
          <w:bCs/>
          <w:sz w:val="24"/>
        </w:rPr>
        <w:t>10.3.1</w:t>
      </w:r>
      <w:r>
        <w:rPr>
          <w:rFonts w:hint="eastAsia"/>
          <w:sz w:val="24"/>
        </w:rPr>
        <w:t xml:space="preserve">  本条系管道指钢管，未涉及管道防腐相关检验标准，如需管道进行防腐可参照《给水排水管道工程施工及验收规范》GB 50268标准中相关规定执行。</w:t>
      </w:r>
    </w:p>
    <w:p>
      <w:pPr>
        <w:spacing w:line="440" w:lineRule="exact"/>
        <w:rPr>
          <w:sz w:val="24"/>
        </w:rPr>
      </w:pPr>
      <w:r>
        <w:rPr>
          <w:rFonts w:hint="eastAsia"/>
          <w:b/>
          <w:bCs/>
          <w:sz w:val="24"/>
        </w:rPr>
        <w:t>10.3.</w:t>
      </w:r>
      <w:r>
        <w:rPr>
          <w:b/>
          <w:bCs/>
          <w:sz w:val="24"/>
        </w:rPr>
        <w:t>2</w:t>
      </w:r>
      <w:r>
        <w:rPr>
          <w:rFonts w:hint="eastAsia"/>
          <w:sz w:val="24"/>
        </w:rPr>
        <w:t xml:space="preserve">  管道预水压试验应按按国家《给水排水管道工程施工及验收规范》GB 50268标准中的规定执行。</w:t>
      </w:r>
    </w:p>
    <w:p>
      <w:pPr>
        <w:spacing w:line="440" w:lineRule="exact"/>
        <w:rPr>
          <w:sz w:val="24"/>
        </w:rPr>
      </w:pPr>
      <w:r>
        <w:rPr>
          <w:rFonts w:hint="eastAsia"/>
          <w:b/>
          <w:bCs/>
          <w:sz w:val="24"/>
        </w:rPr>
        <w:t>10.3.</w:t>
      </w:r>
      <w:r>
        <w:rPr>
          <w:b/>
          <w:bCs/>
          <w:sz w:val="24"/>
        </w:rPr>
        <w:t>4</w:t>
      </w:r>
      <w:r>
        <w:rPr>
          <w:rFonts w:hint="eastAsia"/>
          <w:sz w:val="24"/>
        </w:rPr>
        <w:t xml:space="preserve">  表10.3</w:t>
      </w:r>
      <w:r>
        <w:rPr>
          <w:sz w:val="24"/>
        </w:rPr>
        <w:t>4</w:t>
      </w:r>
      <w:r>
        <w:rPr>
          <w:rFonts w:hint="eastAsia"/>
          <w:sz w:val="24"/>
        </w:rPr>
        <w:t>拉管法施工管道的允许偏差来源于《给水排水管道工程施工及验收规范》GB 50268。</w:t>
      </w:r>
    </w:p>
    <w:p>
      <w:pPr>
        <w:spacing w:before="156" w:beforeLines="50" w:after="156" w:afterLines="50" w:line="440" w:lineRule="exact"/>
        <w:jc w:val="center"/>
        <w:outlineLvl w:val="1"/>
        <w:rPr>
          <w:rFonts w:eastAsia="黑体"/>
          <w:sz w:val="24"/>
        </w:rPr>
      </w:pPr>
      <w:bookmarkStart w:id="293" w:name="_Toc2541"/>
      <w:bookmarkStart w:id="294" w:name="_Toc25914"/>
      <w:bookmarkStart w:id="295" w:name="_Toc6019"/>
      <w:r>
        <w:rPr>
          <w:rFonts w:hint="eastAsia" w:eastAsia="黑体"/>
          <w:sz w:val="24"/>
        </w:rPr>
        <w:t>10.4  管幕钢管夯管法施工</w:t>
      </w:r>
      <w:bookmarkEnd w:id="293"/>
      <w:bookmarkEnd w:id="294"/>
      <w:bookmarkEnd w:id="295"/>
    </w:p>
    <w:p>
      <w:pPr>
        <w:spacing w:line="440" w:lineRule="exact"/>
        <w:rPr>
          <w:sz w:val="24"/>
        </w:rPr>
      </w:pPr>
      <w:r>
        <w:rPr>
          <w:rFonts w:hint="eastAsia"/>
          <w:b/>
          <w:bCs/>
          <w:sz w:val="24"/>
        </w:rPr>
        <w:t>10.</w:t>
      </w:r>
      <w:r>
        <w:rPr>
          <w:b/>
          <w:bCs/>
          <w:sz w:val="24"/>
        </w:rPr>
        <w:t>4</w:t>
      </w:r>
      <w:r>
        <w:rPr>
          <w:rFonts w:hint="eastAsia"/>
          <w:b/>
          <w:bCs/>
          <w:sz w:val="24"/>
        </w:rPr>
        <w:t>.8</w:t>
      </w:r>
      <w:r>
        <w:rPr>
          <w:rFonts w:hint="eastAsia"/>
          <w:sz w:val="24"/>
        </w:rPr>
        <w:t xml:space="preserve">  表10</w:t>
      </w:r>
      <w:r>
        <w:rPr>
          <w:sz w:val="24"/>
        </w:rPr>
        <w:t>.4.8</w:t>
      </w:r>
      <w:r>
        <w:rPr>
          <w:rFonts w:hint="eastAsia"/>
          <w:sz w:val="24"/>
        </w:rPr>
        <w:t>夯管贯通后的管道的允许偏差来源于《给水排水管道工程施工及验收规范》GB 50268。</w:t>
      </w:r>
    </w:p>
    <w:p>
      <w:pPr>
        <w:spacing w:before="156" w:beforeLines="50" w:after="156" w:afterLines="50" w:line="440" w:lineRule="exact"/>
        <w:jc w:val="center"/>
        <w:outlineLvl w:val="1"/>
        <w:rPr>
          <w:rFonts w:eastAsia="黑体"/>
          <w:sz w:val="24"/>
        </w:rPr>
      </w:pPr>
      <w:bookmarkStart w:id="296" w:name="_Toc30525"/>
      <w:bookmarkStart w:id="297" w:name="_Toc29863"/>
      <w:bookmarkStart w:id="298" w:name="_Toc29523"/>
      <w:r>
        <w:rPr>
          <w:rFonts w:hint="eastAsia" w:eastAsia="黑体"/>
          <w:sz w:val="24"/>
        </w:rPr>
        <w:t>10.5  管幕钢管钻进顶管法施工</w:t>
      </w:r>
      <w:bookmarkEnd w:id="296"/>
      <w:bookmarkEnd w:id="297"/>
      <w:bookmarkEnd w:id="298"/>
    </w:p>
    <w:p>
      <w:pPr>
        <w:spacing w:line="440" w:lineRule="exact"/>
        <w:rPr>
          <w:sz w:val="24"/>
        </w:rPr>
      </w:pPr>
      <w:r>
        <w:rPr>
          <w:rFonts w:hint="eastAsia"/>
          <w:b/>
          <w:bCs/>
          <w:sz w:val="24"/>
        </w:rPr>
        <w:t>10.5.</w:t>
      </w:r>
      <w:r>
        <w:rPr>
          <w:b/>
          <w:bCs/>
          <w:sz w:val="24"/>
        </w:rPr>
        <w:t>2</w:t>
      </w:r>
      <w:r>
        <w:rPr>
          <w:rFonts w:hint="eastAsia"/>
          <w:sz w:val="24"/>
        </w:rPr>
        <w:t xml:space="preserve">  管幕施工精度作出要求，主要是确保管幕形成连体结构，整体受力，并能保证下部结构施工空间。</w:t>
      </w:r>
    </w:p>
    <w:p>
      <w:pPr>
        <w:spacing w:before="156" w:beforeLines="50" w:after="156" w:afterLines="50" w:line="440" w:lineRule="exact"/>
        <w:jc w:val="center"/>
        <w:outlineLvl w:val="1"/>
        <w:rPr>
          <w:rFonts w:eastAsia="黑体"/>
          <w:sz w:val="24"/>
        </w:rPr>
      </w:pPr>
      <w:bookmarkStart w:id="299" w:name="_Toc31043"/>
      <w:bookmarkStart w:id="300" w:name="_Toc21042"/>
      <w:bookmarkStart w:id="301" w:name="_Toc181"/>
      <w:r>
        <w:rPr>
          <w:rFonts w:hint="eastAsia" w:eastAsia="黑体"/>
          <w:sz w:val="24"/>
        </w:rPr>
        <w:t>10.8  管幕钢管壁后注浆</w:t>
      </w:r>
      <w:bookmarkEnd w:id="299"/>
      <w:bookmarkEnd w:id="300"/>
      <w:bookmarkEnd w:id="301"/>
    </w:p>
    <w:p>
      <w:pPr>
        <w:spacing w:line="440" w:lineRule="exact"/>
        <w:rPr>
          <w:sz w:val="24"/>
        </w:rPr>
      </w:pPr>
      <w:r>
        <w:rPr>
          <w:rFonts w:hint="eastAsia"/>
          <w:b/>
          <w:bCs/>
          <w:sz w:val="24"/>
        </w:rPr>
        <w:t>10.</w:t>
      </w:r>
      <w:r>
        <w:rPr>
          <w:b/>
          <w:bCs/>
          <w:sz w:val="24"/>
        </w:rPr>
        <w:t>8.2</w:t>
      </w:r>
      <w:r>
        <w:rPr>
          <w:rFonts w:hint="eastAsia"/>
          <w:sz w:val="24"/>
        </w:rPr>
        <w:t xml:space="preserve">  对管幕钢管外地层补偿注浆作出要求，管内注浆是对管幕整体刚性的保障，管外补偿注浆是确保钢管顶进后周边地层空隙及时填充，对于整体受力、控制地表沉降起重要作用。</w:t>
      </w:r>
    </w:p>
    <w:bookmarkEnd w:id="180"/>
    <w:p>
      <w:pPr>
        <w:spacing w:line="440" w:lineRule="exact"/>
        <w:rPr>
          <w:sz w:val="24"/>
        </w:rPr>
      </w:pPr>
    </w:p>
    <w:p>
      <w:pPr>
        <w:spacing w:line="440" w:lineRule="exact"/>
        <w:rPr>
          <w:sz w:val="24"/>
        </w:rPr>
      </w:pPr>
    </w:p>
    <w:p>
      <w:pPr>
        <w:spacing w:line="440" w:lineRule="exact"/>
        <w:rPr>
          <w:sz w:val="24"/>
        </w:rPr>
      </w:pPr>
    </w:p>
    <w:sectPr>
      <w:footerReference r:id="rId6" w:type="default"/>
      <w:pgSz w:w="11906" w:h="16838"/>
      <w:pgMar w:top="1440" w:right="1797" w:bottom="1440" w:left="1797" w:header="851" w:footer="992" w:gutter="0"/>
      <w:pgNumType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1"/>
      </w:rPr>
    </w:pPr>
    <w:r>
      <w:rPr>
        <w:rStyle w:val="21"/>
      </w:rPr>
      <w:fldChar w:fldCharType="begin"/>
    </w:r>
    <w:r>
      <w:rPr>
        <w:rStyle w:val="21"/>
      </w:rPr>
      <w:instrText xml:space="preserve">PAGE  </w:instrText>
    </w:r>
    <w:r>
      <w:rPr>
        <w:rStyle w:val="21"/>
      </w:rPr>
      <w:fldChar w:fldCharType="separate"/>
    </w:r>
    <w:r>
      <w:rPr>
        <w:rStyle w:val="21"/>
      </w:rPr>
      <w:t>28</w:t>
    </w:r>
    <w:r>
      <w:rPr>
        <w:rStyle w:val="21"/>
      </w:rPr>
      <w:fldChar w:fldCharType="end"/>
    </w: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1"/>
      </w:rPr>
    </w:pPr>
    <w:r>
      <w:rPr>
        <w:rStyle w:val="21"/>
      </w:rPr>
      <w:fldChar w:fldCharType="begin"/>
    </w:r>
    <w:r>
      <w:rPr>
        <w:rStyle w:val="21"/>
      </w:rPr>
      <w:instrText xml:space="preserve">PAGE  </w:instrText>
    </w:r>
    <w:r>
      <w:rPr>
        <w:rStyle w:val="21"/>
      </w:rP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1"/>
      </w:rPr>
    </w:pPr>
    <w:r>
      <w:rPr>
        <w:rStyle w:val="21"/>
      </w:rPr>
      <w:fldChar w:fldCharType="begin"/>
    </w:r>
    <w:r>
      <w:rPr>
        <w:rStyle w:val="21"/>
      </w:rPr>
      <w:instrText xml:space="preserve">PAGE  </w:instrText>
    </w:r>
    <w:r>
      <w:rPr>
        <w:rStyle w:val="21"/>
      </w:rPr>
      <w:fldChar w:fldCharType="separate"/>
    </w:r>
    <w:r>
      <w:rPr>
        <w:rStyle w:val="21"/>
      </w:rPr>
      <w:t>28</w:t>
    </w:r>
    <w:r>
      <w:rPr>
        <w:rStyle w:val="21"/>
      </w:rPr>
      <w:fldChar w:fldCharType="end"/>
    </w:r>
  </w:p>
  <w:p>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1"/>
      </w:rPr>
    </w:pPr>
    <w:r>
      <w:rPr>
        <w:rStyle w:val="21"/>
      </w:rPr>
      <w:fldChar w:fldCharType="begin"/>
    </w:r>
    <w:r>
      <w:rPr>
        <w:rStyle w:val="21"/>
      </w:rPr>
      <w:instrText xml:space="preserve">PAGE  </w:instrText>
    </w:r>
    <w:r>
      <w:rPr>
        <w:rStyle w:val="21"/>
      </w:rPr>
      <w:fldChar w:fldCharType="separate"/>
    </w:r>
    <w:r>
      <w:rPr>
        <w:rStyle w:val="21"/>
      </w:rPr>
      <w:t>28</w:t>
    </w:r>
    <w:r>
      <w:rPr>
        <w:rStyle w:val="21"/>
      </w:rPr>
      <w:fldChar w:fldCharType="end"/>
    </w:r>
  </w:p>
  <w:p>
    <w:pPr>
      <w:pStyle w:val="1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26BE5"/>
    <w:multiLevelType w:val="multilevel"/>
    <w:tmpl w:val="EC526BE5"/>
    <w:lvl w:ilvl="0" w:tentative="0">
      <w:start w:val="1"/>
      <w:numFmt w:val="none"/>
      <w:lvlText w:val="1"/>
      <w:lvlJc w:val="left"/>
      <w:pPr>
        <w:ind w:left="432" w:hanging="432"/>
      </w:pPr>
      <w:rPr>
        <w:rFonts w:hint="default" w:ascii="宋体" w:hAnsi="宋体" w:eastAsia="宋体" w:cs="宋体"/>
      </w:rPr>
    </w:lvl>
    <w:lvl w:ilvl="1" w:tentative="0">
      <w:start w:val="1"/>
      <w:numFmt w:val="none"/>
      <w:pStyle w:val="6"/>
      <w:lvlText w:val="1-1"/>
      <w:lvlJc w:val="left"/>
      <w:pPr>
        <w:ind w:left="575" w:hanging="575"/>
      </w:pPr>
      <w:rPr>
        <w:rFonts w:hint="default" w:ascii="宋体" w:hAnsi="宋体" w:eastAsia="宋体" w:cs="宋体"/>
      </w:rPr>
    </w:lvl>
    <w:lvl w:ilvl="2" w:tentative="0">
      <w:start w:val="1"/>
      <w:numFmt w:val="none"/>
      <w:lvlText w:val="1-1-1"/>
      <w:lvlJc w:val="left"/>
      <w:pPr>
        <w:ind w:left="720" w:hanging="720"/>
      </w:pPr>
      <w:rPr>
        <w:rFonts w:hint="default" w:ascii="宋体" w:hAnsi="宋体" w:eastAsia="宋体" w:cs="宋体"/>
      </w:rPr>
    </w:lvl>
    <w:lvl w:ilvl="3" w:tentative="0">
      <w:start w:val="1"/>
      <w:numFmt w:val="none"/>
      <w:lvlText w:val="1-1-1-1"/>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23AF2603"/>
    <w:multiLevelType w:val="multilevel"/>
    <w:tmpl w:val="23AF2603"/>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NjZmODFkOGQxNjhjYWI1MTI2MWQyMTJhZWEwN2MifQ=="/>
  </w:docVars>
  <w:rsids>
    <w:rsidRoot w:val="001471E6"/>
    <w:rsid w:val="00014CC2"/>
    <w:rsid w:val="00027C18"/>
    <w:rsid w:val="000318B6"/>
    <w:rsid w:val="00032C4D"/>
    <w:rsid w:val="000343D3"/>
    <w:rsid w:val="00045BC9"/>
    <w:rsid w:val="00053603"/>
    <w:rsid w:val="000547B1"/>
    <w:rsid w:val="00057C5B"/>
    <w:rsid w:val="00076D50"/>
    <w:rsid w:val="00080D85"/>
    <w:rsid w:val="00082907"/>
    <w:rsid w:val="00085CD0"/>
    <w:rsid w:val="00090DDA"/>
    <w:rsid w:val="00092A4F"/>
    <w:rsid w:val="000A723D"/>
    <w:rsid w:val="000C1E39"/>
    <w:rsid w:val="000C57A4"/>
    <w:rsid w:val="000C63E2"/>
    <w:rsid w:val="000E0A80"/>
    <w:rsid w:val="000E6FF8"/>
    <w:rsid w:val="000E7646"/>
    <w:rsid w:val="000F05B5"/>
    <w:rsid w:val="000F1018"/>
    <w:rsid w:val="00103ABC"/>
    <w:rsid w:val="00121606"/>
    <w:rsid w:val="00122C1B"/>
    <w:rsid w:val="00122D86"/>
    <w:rsid w:val="00123032"/>
    <w:rsid w:val="00127567"/>
    <w:rsid w:val="0013127D"/>
    <w:rsid w:val="001319F2"/>
    <w:rsid w:val="00146762"/>
    <w:rsid w:val="001471E6"/>
    <w:rsid w:val="00157A60"/>
    <w:rsid w:val="001605E6"/>
    <w:rsid w:val="001634FE"/>
    <w:rsid w:val="001676CB"/>
    <w:rsid w:val="001678CA"/>
    <w:rsid w:val="00173661"/>
    <w:rsid w:val="001746C3"/>
    <w:rsid w:val="00180987"/>
    <w:rsid w:val="0018358A"/>
    <w:rsid w:val="00186B95"/>
    <w:rsid w:val="001929C7"/>
    <w:rsid w:val="0019667A"/>
    <w:rsid w:val="001A0B70"/>
    <w:rsid w:val="001A29E7"/>
    <w:rsid w:val="001A5DDB"/>
    <w:rsid w:val="001B442F"/>
    <w:rsid w:val="001B5462"/>
    <w:rsid w:val="001B754D"/>
    <w:rsid w:val="001B7FAE"/>
    <w:rsid w:val="00200DA2"/>
    <w:rsid w:val="00214F23"/>
    <w:rsid w:val="00233CD0"/>
    <w:rsid w:val="00235189"/>
    <w:rsid w:val="00236AB4"/>
    <w:rsid w:val="00277EDD"/>
    <w:rsid w:val="002912AF"/>
    <w:rsid w:val="00291606"/>
    <w:rsid w:val="002943D4"/>
    <w:rsid w:val="002A4862"/>
    <w:rsid w:val="002A72C4"/>
    <w:rsid w:val="002B1455"/>
    <w:rsid w:val="002B3E96"/>
    <w:rsid w:val="002B6BD9"/>
    <w:rsid w:val="002D7C88"/>
    <w:rsid w:val="002E5A5F"/>
    <w:rsid w:val="002E6EF6"/>
    <w:rsid w:val="002F074A"/>
    <w:rsid w:val="002F10FF"/>
    <w:rsid w:val="002F2C0E"/>
    <w:rsid w:val="002F5924"/>
    <w:rsid w:val="002F641B"/>
    <w:rsid w:val="002F6A80"/>
    <w:rsid w:val="003009F2"/>
    <w:rsid w:val="003105B9"/>
    <w:rsid w:val="0032118B"/>
    <w:rsid w:val="00324A58"/>
    <w:rsid w:val="003278DD"/>
    <w:rsid w:val="003307C4"/>
    <w:rsid w:val="00351981"/>
    <w:rsid w:val="00351E59"/>
    <w:rsid w:val="0037459F"/>
    <w:rsid w:val="00380D09"/>
    <w:rsid w:val="00383A9D"/>
    <w:rsid w:val="0038782A"/>
    <w:rsid w:val="003910E2"/>
    <w:rsid w:val="00392BCA"/>
    <w:rsid w:val="00397B23"/>
    <w:rsid w:val="003A090C"/>
    <w:rsid w:val="003A2C9B"/>
    <w:rsid w:val="003A63FE"/>
    <w:rsid w:val="003B3499"/>
    <w:rsid w:val="003C7493"/>
    <w:rsid w:val="003E2D00"/>
    <w:rsid w:val="003F2B60"/>
    <w:rsid w:val="003F38DE"/>
    <w:rsid w:val="0041661F"/>
    <w:rsid w:val="00417EE6"/>
    <w:rsid w:val="00431B40"/>
    <w:rsid w:val="00436E27"/>
    <w:rsid w:val="00442D0F"/>
    <w:rsid w:val="00447CEC"/>
    <w:rsid w:val="0045195A"/>
    <w:rsid w:val="00451B25"/>
    <w:rsid w:val="00452B49"/>
    <w:rsid w:val="0046065D"/>
    <w:rsid w:val="004638CD"/>
    <w:rsid w:val="004777DB"/>
    <w:rsid w:val="00480D19"/>
    <w:rsid w:val="00482F9F"/>
    <w:rsid w:val="00484FEA"/>
    <w:rsid w:val="0048544D"/>
    <w:rsid w:val="00494F43"/>
    <w:rsid w:val="004976FC"/>
    <w:rsid w:val="004A0307"/>
    <w:rsid w:val="004A3DBC"/>
    <w:rsid w:val="004A623F"/>
    <w:rsid w:val="004B7C3F"/>
    <w:rsid w:val="004F427D"/>
    <w:rsid w:val="004F6139"/>
    <w:rsid w:val="00500CF1"/>
    <w:rsid w:val="00506EC0"/>
    <w:rsid w:val="0051119B"/>
    <w:rsid w:val="00512130"/>
    <w:rsid w:val="005144A2"/>
    <w:rsid w:val="00516E63"/>
    <w:rsid w:val="00524F23"/>
    <w:rsid w:val="00525370"/>
    <w:rsid w:val="00526295"/>
    <w:rsid w:val="00532AE6"/>
    <w:rsid w:val="00540E3D"/>
    <w:rsid w:val="0054324C"/>
    <w:rsid w:val="00547688"/>
    <w:rsid w:val="005600DC"/>
    <w:rsid w:val="0056359E"/>
    <w:rsid w:val="005665DE"/>
    <w:rsid w:val="00567287"/>
    <w:rsid w:val="005736B9"/>
    <w:rsid w:val="005742BA"/>
    <w:rsid w:val="005926DD"/>
    <w:rsid w:val="005B2EB5"/>
    <w:rsid w:val="005C00A8"/>
    <w:rsid w:val="005C3107"/>
    <w:rsid w:val="005D1635"/>
    <w:rsid w:val="005E01E9"/>
    <w:rsid w:val="005E4005"/>
    <w:rsid w:val="005E6FA1"/>
    <w:rsid w:val="005F1435"/>
    <w:rsid w:val="005F54D8"/>
    <w:rsid w:val="005F6F8A"/>
    <w:rsid w:val="006017B8"/>
    <w:rsid w:val="006422FC"/>
    <w:rsid w:val="0064703D"/>
    <w:rsid w:val="006609E6"/>
    <w:rsid w:val="00676404"/>
    <w:rsid w:val="00691DA8"/>
    <w:rsid w:val="006A3FFD"/>
    <w:rsid w:val="006A6D3A"/>
    <w:rsid w:val="006A7889"/>
    <w:rsid w:val="006B4FB4"/>
    <w:rsid w:val="006C6519"/>
    <w:rsid w:val="006D7F6C"/>
    <w:rsid w:val="006E5373"/>
    <w:rsid w:val="006F24C5"/>
    <w:rsid w:val="006F28C4"/>
    <w:rsid w:val="006F671C"/>
    <w:rsid w:val="00706EDE"/>
    <w:rsid w:val="007112CE"/>
    <w:rsid w:val="007301A3"/>
    <w:rsid w:val="00740A7C"/>
    <w:rsid w:val="0075343F"/>
    <w:rsid w:val="00763CDD"/>
    <w:rsid w:val="00777693"/>
    <w:rsid w:val="0078748E"/>
    <w:rsid w:val="00795AA2"/>
    <w:rsid w:val="007B0F98"/>
    <w:rsid w:val="007E52DE"/>
    <w:rsid w:val="007E712F"/>
    <w:rsid w:val="007F4A6E"/>
    <w:rsid w:val="00805416"/>
    <w:rsid w:val="008073AC"/>
    <w:rsid w:val="00817A08"/>
    <w:rsid w:val="0083326E"/>
    <w:rsid w:val="00836185"/>
    <w:rsid w:val="00850605"/>
    <w:rsid w:val="00850B6D"/>
    <w:rsid w:val="0086597A"/>
    <w:rsid w:val="00872A56"/>
    <w:rsid w:val="0087302D"/>
    <w:rsid w:val="00873F4F"/>
    <w:rsid w:val="0087520A"/>
    <w:rsid w:val="00875762"/>
    <w:rsid w:val="00884A71"/>
    <w:rsid w:val="0089177D"/>
    <w:rsid w:val="00892E55"/>
    <w:rsid w:val="008A3035"/>
    <w:rsid w:val="008A36D2"/>
    <w:rsid w:val="008A6CD5"/>
    <w:rsid w:val="008C00EC"/>
    <w:rsid w:val="008C107B"/>
    <w:rsid w:val="008C18EF"/>
    <w:rsid w:val="008D294F"/>
    <w:rsid w:val="008D621A"/>
    <w:rsid w:val="009033C9"/>
    <w:rsid w:val="0091402E"/>
    <w:rsid w:val="00916E1B"/>
    <w:rsid w:val="009178CE"/>
    <w:rsid w:val="009302D9"/>
    <w:rsid w:val="00932702"/>
    <w:rsid w:val="00973EF3"/>
    <w:rsid w:val="00976C43"/>
    <w:rsid w:val="00983181"/>
    <w:rsid w:val="00991786"/>
    <w:rsid w:val="0099273D"/>
    <w:rsid w:val="00992FAA"/>
    <w:rsid w:val="00993E7E"/>
    <w:rsid w:val="009B165D"/>
    <w:rsid w:val="009E288C"/>
    <w:rsid w:val="009E4248"/>
    <w:rsid w:val="009E4706"/>
    <w:rsid w:val="00A0111A"/>
    <w:rsid w:val="00A01A9A"/>
    <w:rsid w:val="00A510DA"/>
    <w:rsid w:val="00A5321E"/>
    <w:rsid w:val="00A614A4"/>
    <w:rsid w:val="00A61987"/>
    <w:rsid w:val="00A6672E"/>
    <w:rsid w:val="00A67E73"/>
    <w:rsid w:val="00A805CA"/>
    <w:rsid w:val="00A9113A"/>
    <w:rsid w:val="00AA2742"/>
    <w:rsid w:val="00AA3D47"/>
    <w:rsid w:val="00AA7510"/>
    <w:rsid w:val="00AB23B3"/>
    <w:rsid w:val="00AB4636"/>
    <w:rsid w:val="00AC1EDC"/>
    <w:rsid w:val="00AD3C64"/>
    <w:rsid w:val="00AD47DE"/>
    <w:rsid w:val="00AD797F"/>
    <w:rsid w:val="00AE430B"/>
    <w:rsid w:val="00AE65CB"/>
    <w:rsid w:val="00AF7CCB"/>
    <w:rsid w:val="00B00126"/>
    <w:rsid w:val="00B05A02"/>
    <w:rsid w:val="00B0695C"/>
    <w:rsid w:val="00B073AB"/>
    <w:rsid w:val="00B100F3"/>
    <w:rsid w:val="00B11981"/>
    <w:rsid w:val="00B21FE5"/>
    <w:rsid w:val="00B309C2"/>
    <w:rsid w:val="00B31864"/>
    <w:rsid w:val="00B5226C"/>
    <w:rsid w:val="00B52BF8"/>
    <w:rsid w:val="00B571B9"/>
    <w:rsid w:val="00B734E7"/>
    <w:rsid w:val="00B81099"/>
    <w:rsid w:val="00BA0CA6"/>
    <w:rsid w:val="00BA16E5"/>
    <w:rsid w:val="00BA45FA"/>
    <w:rsid w:val="00BB0A1A"/>
    <w:rsid w:val="00BB12DB"/>
    <w:rsid w:val="00BB3BA2"/>
    <w:rsid w:val="00BB70E8"/>
    <w:rsid w:val="00C1190A"/>
    <w:rsid w:val="00C1365F"/>
    <w:rsid w:val="00C1459E"/>
    <w:rsid w:val="00C14F63"/>
    <w:rsid w:val="00C235EC"/>
    <w:rsid w:val="00C30466"/>
    <w:rsid w:val="00C369ED"/>
    <w:rsid w:val="00C40CFE"/>
    <w:rsid w:val="00C429EB"/>
    <w:rsid w:val="00C467DF"/>
    <w:rsid w:val="00C52882"/>
    <w:rsid w:val="00C5502A"/>
    <w:rsid w:val="00C843B9"/>
    <w:rsid w:val="00C9346E"/>
    <w:rsid w:val="00CB1479"/>
    <w:rsid w:val="00CC130C"/>
    <w:rsid w:val="00CC6442"/>
    <w:rsid w:val="00CD4335"/>
    <w:rsid w:val="00CD44AA"/>
    <w:rsid w:val="00CD6D56"/>
    <w:rsid w:val="00CE6CB2"/>
    <w:rsid w:val="00D0280D"/>
    <w:rsid w:val="00D03BEF"/>
    <w:rsid w:val="00D04752"/>
    <w:rsid w:val="00D14865"/>
    <w:rsid w:val="00D17A9B"/>
    <w:rsid w:val="00D21514"/>
    <w:rsid w:val="00D24DA4"/>
    <w:rsid w:val="00D270F6"/>
    <w:rsid w:val="00D27581"/>
    <w:rsid w:val="00D31B9D"/>
    <w:rsid w:val="00D3218A"/>
    <w:rsid w:val="00D3363F"/>
    <w:rsid w:val="00D4089D"/>
    <w:rsid w:val="00D4326E"/>
    <w:rsid w:val="00D63218"/>
    <w:rsid w:val="00D63D33"/>
    <w:rsid w:val="00D8512D"/>
    <w:rsid w:val="00D95B00"/>
    <w:rsid w:val="00DA3549"/>
    <w:rsid w:val="00DA704E"/>
    <w:rsid w:val="00DB7BBF"/>
    <w:rsid w:val="00DC4A08"/>
    <w:rsid w:val="00DD06E4"/>
    <w:rsid w:val="00DD30AC"/>
    <w:rsid w:val="00DD6A02"/>
    <w:rsid w:val="00DE033A"/>
    <w:rsid w:val="00DE26CA"/>
    <w:rsid w:val="00DE3AE8"/>
    <w:rsid w:val="00DE3BA5"/>
    <w:rsid w:val="00DF3E71"/>
    <w:rsid w:val="00DF7354"/>
    <w:rsid w:val="00E02FE2"/>
    <w:rsid w:val="00E0394D"/>
    <w:rsid w:val="00E04CFF"/>
    <w:rsid w:val="00E05EC9"/>
    <w:rsid w:val="00E24840"/>
    <w:rsid w:val="00E25D13"/>
    <w:rsid w:val="00E320B7"/>
    <w:rsid w:val="00E37854"/>
    <w:rsid w:val="00E42AD0"/>
    <w:rsid w:val="00E4368D"/>
    <w:rsid w:val="00E84FCE"/>
    <w:rsid w:val="00EA404A"/>
    <w:rsid w:val="00EA5B7E"/>
    <w:rsid w:val="00EB0C06"/>
    <w:rsid w:val="00EB61AE"/>
    <w:rsid w:val="00EC61A1"/>
    <w:rsid w:val="00EC7CFB"/>
    <w:rsid w:val="00ED21CD"/>
    <w:rsid w:val="00ED5B45"/>
    <w:rsid w:val="00F32B6C"/>
    <w:rsid w:val="00F402AB"/>
    <w:rsid w:val="00F41049"/>
    <w:rsid w:val="00F67A0D"/>
    <w:rsid w:val="00F7169B"/>
    <w:rsid w:val="00F773C8"/>
    <w:rsid w:val="00F82550"/>
    <w:rsid w:val="00F82BD1"/>
    <w:rsid w:val="00F82FD2"/>
    <w:rsid w:val="00F95D2A"/>
    <w:rsid w:val="00FA71F5"/>
    <w:rsid w:val="00FB2716"/>
    <w:rsid w:val="00FB4232"/>
    <w:rsid w:val="00FB7F49"/>
    <w:rsid w:val="00FC3403"/>
    <w:rsid w:val="00FC6423"/>
    <w:rsid w:val="00FD4FED"/>
    <w:rsid w:val="0172636C"/>
    <w:rsid w:val="06575177"/>
    <w:rsid w:val="072E41C4"/>
    <w:rsid w:val="07F209E9"/>
    <w:rsid w:val="0C663EAE"/>
    <w:rsid w:val="0CC711BB"/>
    <w:rsid w:val="0DB233C6"/>
    <w:rsid w:val="0E3D3512"/>
    <w:rsid w:val="109352B3"/>
    <w:rsid w:val="126A7D96"/>
    <w:rsid w:val="133957E8"/>
    <w:rsid w:val="14AB40B6"/>
    <w:rsid w:val="16812A48"/>
    <w:rsid w:val="188F119E"/>
    <w:rsid w:val="19FF357C"/>
    <w:rsid w:val="1AD8471F"/>
    <w:rsid w:val="1CE95048"/>
    <w:rsid w:val="213265E2"/>
    <w:rsid w:val="227D4B4E"/>
    <w:rsid w:val="23961F37"/>
    <w:rsid w:val="27571447"/>
    <w:rsid w:val="282C5A5E"/>
    <w:rsid w:val="29B211E9"/>
    <w:rsid w:val="2BD157CA"/>
    <w:rsid w:val="2E7F3FA0"/>
    <w:rsid w:val="30B84A04"/>
    <w:rsid w:val="312C4983"/>
    <w:rsid w:val="326A519A"/>
    <w:rsid w:val="373B48B6"/>
    <w:rsid w:val="3A6D1CB3"/>
    <w:rsid w:val="3A9E58AF"/>
    <w:rsid w:val="3BA74D99"/>
    <w:rsid w:val="3FEE5BF7"/>
    <w:rsid w:val="40A63818"/>
    <w:rsid w:val="4137209B"/>
    <w:rsid w:val="4205603A"/>
    <w:rsid w:val="42CB749A"/>
    <w:rsid w:val="44E91CE2"/>
    <w:rsid w:val="4A725A99"/>
    <w:rsid w:val="4AD56469"/>
    <w:rsid w:val="4CA85246"/>
    <w:rsid w:val="4E8468FC"/>
    <w:rsid w:val="50851A96"/>
    <w:rsid w:val="51F6148E"/>
    <w:rsid w:val="521F5EF3"/>
    <w:rsid w:val="53D42AC9"/>
    <w:rsid w:val="540E7C26"/>
    <w:rsid w:val="55635534"/>
    <w:rsid w:val="56911548"/>
    <w:rsid w:val="57E316BB"/>
    <w:rsid w:val="5C597EC1"/>
    <w:rsid w:val="5CB37A53"/>
    <w:rsid w:val="616650E4"/>
    <w:rsid w:val="619F4C02"/>
    <w:rsid w:val="631E614C"/>
    <w:rsid w:val="64A851FF"/>
    <w:rsid w:val="65F94AE1"/>
    <w:rsid w:val="67E118B9"/>
    <w:rsid w:val="6B7B5532"/>
    <w:rsid w:val="6D3A4733"/>
    <w:rsid w:val="701138E1"/>
    <w:rsid w:val="726A3FBA"/>
    <w:rsid w:val="735807BC"/>
    <w:rsid w:val="73DC7FA7"/>
    <w:rsid w:val="77292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jc w:val="center"/>
      <w:outlineLvl w:val="0"/>
    </w:pPr>
    <w:rPr>
      <w:sz w:val="28"/>
    </w:rPr>
  </w:style>
  <w:style w:type="paragraph" w:styleId="6">
    <w:name w:val="heading 2"/>
    <w:basedOn w:val="1"/>
    <w:next w:val="1"/>
    <w:unhideWhenUsed/>
    <w:qFormat/>
    <w:uiPriority w:val="0"/>
    <w:pPr>
      <w:keepNext/>
      <w:keepLines/>
      <w:numPr>
        <w:ilvl w:val="1"/>
        <w:numId w:val="1"/>
      </w:numPr>
      <w:spacing w:before="260" w:after="260" w:line="413" w:lineRule="auto"/>
      <w:jc w:val="center"/>
      <w:outlineLvl w:val="1"/>
    </w:pPr>
    <w:rPr>
      <w:rFonts w:ascii="Arial" w:hAnsi="Arial"/>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semiHidden/>
    <w:unhideWhenUsed/>
    <w:uiPriority w:val="0"/>
    <w:pPr>
      <w:spacing w:afterLines="0" w:afterAutospacing="0"/>
    </w:pPr>
  </w:style>
  <w:style w:type="paragraph" w:styleId="7">
    <w:name w:val="Normal Indent"/>
    <w:basedOn w:val="1"/>
    <w:qFormat/>
    <w:uiPriority w:val="0"/>
    <w:pPr>
      <w:ind w:firstLine="420" w:firstLineChars="200"/>
    </w:pPr>
  </w:style>
  <w:style w:type="paragraph" w:styleId="8">
    <w:name w:val="annotation text"/>
    <w:basedOn w:val="1"/>
    <w:link w:val="30"/>
    <w:qFormat/>
    <w:uiPriority w:val="0"/>
    <w:pPr>
      <w:jc w:val="left"/>
    </w:pPr>
  </w:style>
  <w:style w:type="paragraph" w:styleId="9">
    <w:name w:val="Plain Text"/>
    <w:basedOn w:val="1"/>
    <w:qFormat/>
    <w:uiPriority w:val="0"/>
    <w:pPr>
      <w:adjustRightInd w:val="0"/>
      <w:spacing w:line="312" w:lineRule="atLeast"/>
      <w:textAlignment w:val="baseline"/>
    </w:pPr>
    <w:rPr>
      <w:rFonts w:ascii="宋体" w:hAnsi="Courier New"/>
      <w:kern w:val="0"/>
      <w:szCs w:val="20"/>
    </w:rPr>
  </w:style>
  <w:style w:type="paragraph" w:styleId="10">
    <w:name w:val="Date"/>
    <w:basedOn w:val="1"/>
    <w:next w:val="1"/>
    <w:link w:val="32"/>
    <w:qFormat/>
    <w:uiPriority w:val="0"/>
    <w:pPr>
      <w:ind w:left="100" w:leftChars="2500"/>
    </w:pPr>
  </w:style>
  <w:style w:type="paragraph" w:styleId="11">
    <w:name w:val="Balloon Text"/>
    <w:basedOn w:val="1"/>
    <w:link w:val="34"/>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Title"/>
    <w:basedOn w:val="1"/>
    <w:qFormat/>
    <w:uiPriority w:val="0"/>
    <w:pPr>
      <w:jc w:val="center"/>
      <w:outlineLvl w:val="0"/>
    </w:pPr>
    <w:rPr>
      <w:rFonts w:ascii="Arial" w:hAnsi="Arial"/>
      <w:b/>
      <w:sz w:val="32"/>
    </w:rPr>
  </w:style>
  <w:style w:type="paragraph" w:styleId="17">
    <w:name w:val="annotation subject"/>
    <w:basedOn w:val="8"/>
    <w:next w:val="8"/>
    <w:link w:val="31"/>
    <w:qFormat/>
    <w:uiPriority w:val="0"/>
    <w:rPr>
      <w:b/>
      <w:bCs/>
    </w:rPr>
  </w:style>
  <w:style w:type="table" w:styleId="19">
    <w:name w:val="Table Grid"/>
    <w:basedOn w:val="1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page number"/>
    <w:basedOn w:val="20"/>
    <w:qFormat/>
    <w:uiPriority w:val="0"/>
  </w:style>
  <w:style w:type="character" w:styleId="22">
    <w:name w:val="annotation reference"/>
    <w:basedOn w:val="20"/>
    <w:qFormat/>
    <w:uiPriority w:val="0"/>
    <w:rPr>
      <w:sz w:val="21"/>
      <w:szCs w:val="21"/>
    </w:rPr>
  </w:style>
  <w:style w:type="paragraph" w:customStyle="1" w:styleId="23">
    <w:name w:val="JT正文2"/>
    <w:basedOn w:val="1"/>
    <w:qFormat/>
    <w:uiPriority w:val="0"/>
    <w:pPr>
      <w:ind w:firstLine="200" w:firstLineChars="200"/>
    </w:pPr>
  </w:style>
  <w:style w:type="paragraph" w:customStyle="1" w:styleId="24">
    <w:name w:val="表头"/>
    <w:basedOn w:val="1"/>
    <w:next w:val="1"/>
    <w:qFormat/>
    <w:uiPriority w:val="0"/>
    <w:pPr>
      <w:jc w:val="center"/>
    </w:pPr>
    <w:rPr>
      <w:b/>
      <w:bCs/>
    </w:rPr>
  </w:style>
  <w:style w:type="paragraph" w:styleId="25">
    <w:name w:val="List Paragraph"/>
    <w:basedOn w:val="1"/>
    <w:unhideWhenUsed/>
    <w:qFormat/>
    <w:uiPriority w:val="99"/>
    <w:pPr>
      <w:ind w:firstLine="420" w:firstLineChars="200"/>
    </w:pPr>
  </w:style>
  <w:style w:type="paragraph" w:customStyle="1" w:styleId="26">
    <w:name w:val="JT表头"/>
    <w:basedOn w:val="1"/>
    <w:qFormat/>
    <w:uiPriority w:val="0"/>
    <w:pPr>
      <w:spacing w:beforeLines="50"/>
      <w:jc w:val="center"/>
    </w:pPr>
    <w:rPr>
      <w:rFonts w:ascii="黑体" w:eastAsia="黑体"/>
    </w:rPr>
  </w:style>
  <w:style w:type="paragraph" w:customStyle="1" w:styleId="27">
    <w:name w:val="JT正文正文"/>
    <w:basedOn w:val="1"/>
    <w:qFormat/>
    <w:uiPriority w:val="0"/>
    <w:pPr>
      <w:spacing w:line="360" w:lineRule="auto"/>
      <w:ind w:left="992"/>
    </w:pPr>
    <w:rPr>
      <w:sz w:val="24"/>
    </w:rPr>
  </w:style>
  <w:style w:type="paragraph" w:customStyle="1" w:styleId="28">
    <w:name w:val="Body text|1"/>
    <w:basedOn w:val="1"/>
    <w:qFormat/>
    <w:uiPriority w:val="0"/>
    <w:pPr>
      <w:spacing w:line="391" w:lineRule="auto"/>
      <w:ind w:firstLine="20"/>
    </w:pPr>
    <w:rPr>
      <w:rFonts w:ascii="宋体" w:hAnsi="宋体" w:cs="宋体"/>
      <w:sz w:val="17"/>
      <w:szCs w:val="17"/>
      <w:lang w:val="zh-TW" w:eastAsia="zh-TW" w:bidi="zh-TW"/>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0">
    <w:name w:val="批注文字 字符"/>
    <w:basedOn w:val="20"/>
    <w:link w:val="8"/>
    <w:qFormat/>
    <w:uiPriority w:val="0"/>
    <w:rPr>
      <w:kern w:val="2"/>
      <w:sz w:val="21"/>
      <w:szCs w:val="24"/>
    </w:rPr>
  </w:style>
  <w:style w:type="character" w:customStyle="1" w:styleId="31">
    <w:name w:val="批注主题 字符"/>
    <w:basedOn w:val="30"/>
    <w:link w:val="17"/>
    <w:qFormat/>
    <w:uiPriority w:val="0"/>
    <w:rPr>
      <w:b/>
      <w:bCs/>
      <w:kern w:val="2"/>
      <w:sz w:val="21"/>
      <w:szCs w:val="24"/>
    </w:rPr>
  </w:style>
  <w:style w:type="character" w:customStyle="1" w:styleId="32">
    <w:name w:val="日期 字符"/>
    <w:basedOn w:val="20"/>
    <w:link w:val="10"/>
    <w:qFormat/>
    <w:uiPriority w:val="0"/>
    <w:rPr>
      <w:kern w:val="2"/>
      <w:sz w:val="21"/>
      <w:szCs w:val="24"/>
    </w:rPr>
  </w:style>
  <w:style w:type="character" w:customStyle="1" w:styleId="33">
    <w:name w:val="页眉 字符"/>
    <w:basedOn w:val="20"/>
    <w:link w:val="13"/>
    <w:qFormat/>
    <w:uiPriority w:val="0"/>
    <w:rPr>
      <w:kern w:val="2"/>
      <w:sz w:val="18"/>
      <w:szCs w:val="18"/>
    </w:rPr>
  </w:style>
  <w:style w:type="character" w:customStyle="1" w:styleId="34">
    <w:name w:val="批注框文本 字符"/>
    <w:basedOn w:val="20"/>
    <w:link w:val="11"/>
    <w:qFormat/>
    <w:uiPriority w:val="0"/>
    <w:rPr>
      <w:kern w:val="2"/>
      <w:sz w:val="18"/>
      <w:szCs w:val="18"/>
    </w:rPr>
  </w:style>
  <w:style w:type="character" w:customStyle="1" w:styleId="35">
    <w:name w:val="页脚 字符"/>
    <w:basedOn w:val="20"/>
    <w:link w:val="1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4.wmf"/><Relationship Id="rId34" Type="http://schemas.openxmlformats.org/officeDocument/2006/relationships/oleObject" Target="embeddings/oleObject14.bin"/><Relationship Id="rId33" Type="http://schemas.openxmlformats.org/officeDocument/2006/relationships/image" Target="media/image13.wmf"/><Relationship Id="rId32" Type="http://schemas.openxmlformats.org/officeDocument/2006/relationships/oleObject" Target="embeddings/oleObject13.bin"/><Relationship Id="rId31" Type="http://schemas.openxmlformats.org/officeDocument/2006/relationships/image" Target="media/image12.wmf"/><Relationship Id="rId30" Type="http://schemas.openxmlformats.org/officeDocument/2006/relationships/oleObject" Target="embeddings/oleObject12.bin"/><Relationship Id="rId3" Type="http://schemas.openxmlformats.org/officeDocument/2006/relationships/footer" Target="footer1.xml"/><Relationship Id="rId29" Type="http://schemas.openxmlformats.org/officeDocument/2006/relationships/image" Target="media/image11.wmf"/><Relationship Id="rId28" Type="http://schemas.openxmlformats.org/officeDocument/2006/relationships/oleObject" Target="embeddings/oleObject11.bin"/><Relationship Id="rId27" Type="http://schemas.openxmlformats.org/officeDocument/2006/relationships/image" Target="media/image10.wmf"/><Relationship Id="rId26" Type="http://schemas.openxmlformats.org/officeDocument/2006/relationships/oleObject" Target="embeddings/oleObject10.bin"/><Relationship Id="rId25" Type="http://schemas.openxmlformats.org/officeDocument/2006/relationships/image" Target="media/image9.wmf"/><Relationship Id="rId24" Type="http://schemas.openxmlformats.org/officeDocument/2006/relationships/oleObject" Target="embeddings/oleObject9.bin"/><Relationship Id="rId23" Type="http://schemas.openxmlformats.org/officeDocument/2006/relationships/image" Target="media/image8.wmf"/><Relationship Id="rId22" Type="http://schemas.openxmlformats.org/officeDocument/2006/relationships/oleObject" Target="embeddings/oleObject8.bin"/><Relationship Id="rId21" Type="http://schemas.openxmlformats.org/officeDocument/2006/relationships/image" Target="media/image7.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D40202-A2D4-46F6-B6A9-A5497BEEA45C}">
  <ds:schemaRefs/>
</ds:datastoreItem>
</file>

<file path=docProps/app.xml><?xml version="1.0" encoding="utf-8"?>
<Properties xmlns="http://schemas.openxmlformats.org/officeDocument/2006/extended-properties" xmlns:vt="http://schemas.openxmlformats.org/officeDocument/2006/docPropsVTypes">
  <Template>Normal</Template>
  <Pages>82</Pages>
  <Words>40186</Words>
  <Characters>46634</Characters>
  <Lines>415</Lines>
  <Paragraphs>116</Paragraphs>
  <TotalTime>36</TotalTime>
  <ScaleCrop>false</ScaleCrop>
  <LinksUpToDate>false</LinksUpToDate>
  <CharactersWithSpaces>49792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2022-05-10T14:14:00Z</dcterms:created>
  <dc:creator>ThinkPad</dc:creator>
  <cp:lastModifiedBy>ThinkPad</cp:lastModifiedBy>
  <dcterms:modified xsi:type="dcterms:W3CDTF">2022-05-19T08:03:50Z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5CED4C56025D4551BB4DAF06A55033C8</vt:lpwstr>
  </property>
</Properties>
</file>