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483" w:rsidRDefault="00F8426F">
      <w:pPr>
        <w:shd w:val="clear" w:color="auto" w:fill="FFFFFF"/>
        <w:adjustRightInd w:val="0"/>
        <w:snapToGrid w:val="0"/>
        <w:spacing w:line="520" w:lineRule="exact"/>
        <w:jc w:val="center"/>
        <w:outlineLvl w:val="2"/>
        <w:rPr>
          <w:rFonts w:ascii="华文中宋" w:eastAsia="华文中宋" w:hAnsi="华文中宋"/>
          <w:bCs/>
          <w:sz w:val="44"/>
          <w:szCs w:val="44"/>
        </w:rPr>
      </w:pPr>
      <w:r>
        <w:rPr>
          <w:rFonts w:ascii="华文中宋" w:eastAsia="华文中宋" w:hAnsi="华文中宋" w:hint="eastAsia"/>
          <w:bCs/>
          <w:sz w:val="44"/>
          <w:szCs w:val="44"/>
        </w:rPr>
        <w:t>第六批中国建筑业协会团体标准编制工作计划</w:t>
      </w:r>
    </w:p>
    <w:p w:rsidR="00780483" w:rsidRDefault="00780483"/>
    <w:tbl>
      <w:tblPr>
        <w:tblW w:w="14319"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584"/>
        <w:gridCol w:w="1418"/>
        <w:gridCol w:w="567"/>
        <w:gridCol w:w="6945"/>
        <w:gridCol w:w="2268"/>
        <w:gridCol w:w="1134"/>
        <w:gridCol w:w="1403"/>
      </w:tblGrid>
      <w:tr w:rsidR="00780483">
        <w:trPr>
          <w:cantSplit/>
          <w:trHeight w:val="900"/>
          <w:tblHeader/>
          <w:jc w:val="center"/>
        </w:trPr>
        <w:tc>
          <w:tcPr>
            <w:tcW w:w="584" w:type="dxa"/>
            <w:shd w:val="clear" w:color="auto" w:fill="auto"/>
            <w:noWrap/>
            <w:vAlign w:val="center"/>
          </w:tcPr>
          <w:p w:rsidR="00780483" w:rsidRDefault="00F8426F">
            <w:pPr>
              <w:jc w:val="center"/>
              <w:textAlignment w:val="center"/>
              <w:rPr>
                <w:rFonts w:ascii="仿宋_GB2312" w:eastAsia="仿宋_GB2312" w:hAnsi="仿宋" w:cs="仿宋"/>
                <w:b/>
                <w:bCs/>
                <w:sz w:val="32"/>
                <w:szCs w:val="32"/>
              </w:rPr>
            </w:pPr>
            <w:r>
              <w:rPr>
                <w:rFonts w:ascii="仿宋_GB2312" w:eastAsia="仿宋_GB2312" w:hAnsi="仿宋" w:cs="仿宋" w:hint="eastAsia"/>
                <w:b/>
                <w:bCs/>
                <w:sz w:val="32"/>
                <w:szCs w:val="32"/>
              </w:rPr>
              <w:t>序号</w:t>
            </w:r>
          </w:p>
        </w:tc>
        <w:tc>
          <w:tcPr>
            <w:tcW w:w="1418" w:type="dxa"/>
            <w:shd w:val="clear" w:color="auto" w:fill="auto"/>
            <w:vAlign w:val="center"/>
          </w:tcPr>
          <w:p w:rsidR="00780483" w:rsidRDefault="00F8426F">
            <w:pPr>
              <w:jc w:val="center"/>
              <w:textAlignment w:val="center"/>
              <w:rPr>
                <w:rFonts w:ascii="仿宋_GB2312" w:eastAsia="仿宋_GB2312" w:hAnsi="仿宋" w:cs="仿宋"/>
                <w:b/>
                <w:bCs/>
                <w:sz w:val="32"/>
                <w:szCs w:val="32"/>
              </w:rPr>
            </w:pPr>
            <w:r>
              <w:rPr>
                <w:rFonts w:ascii="仿宋_GB2312" w:eastAsia="仿宋_GB2312" w:hAnsi="仿宋" w:cs="仿宋" w:hint="eastAsia"/>
                <w:b/>
                <w:bCs/>
                <w:sz w:val="32"/>
                <w:szCs w:val="32"/>
              </w:rPr>
              <w:t>标准</w:t>
            </w:r>
          </w:p>
          <w:p w:rsidR="00780483" w:rsidRDefault="00F8426F">
            <w:pPr>
              <w:jc w:val="center"/>
              <w:textAlignment w:val="center"/>
              <w:rPr>
                <w:rFonts w:ascii="仿宋_GB2312" w:eastAsia="仿宋_GB2312" w:hAnsi="仿宋" w:cs="仿宋"/>
                <w:b/>
                <w:bCs/>
                <w:sz w:val="32"/>
                <w:szCs w:val="32"/>
              </w:rPr>
            </w:pPr>
            <w:r>
              <w:rPr>
                <w:rFonts w:ascii="仿宋_GB2312" w:eastAsia="仿宋_GB2312" w:hAnsi="仿宋" w:cs="仿宋" w:hint="eastAsia"/>
                <w:b/>
                <w:bCs/>
                <w:sz w:val="32"/>
                <w:szCs w:val="32"/>
              </w:rPr>
              <w:t>名称</w:t>
            </w:r>
          </w:p>
        </w:tc>
        <w:tc>
          <w:tcPr>
            <w:tcW w:w="567" w:type="dxa"/>
            <w:shd w:val="clear" w:color="auto" w:fill="auto"/>
            <w:vAlign w:val="center"/>
          </w:tcPr>
          <w:p w:rsidR="00780483" w:rsidRDefault="00F8426F">
            <w:pPr>
              <w:jc w:val="center"/>
              <w:textAlignment w:val="center"/>
              <w:rPr>
                <w:rFonts w:ascii="仿宋_GB2312" w:eastAsia="仿宋_GB2312" w:hAnsi="仿宋" w:cs="仿宋"/>
                <w:b/>
                <w:bCs/>
                <w:sz w:val="32"/>
                <w:szCs w:val="32"/>
              </w:rPr>
            </w:pPr>
            <w:r>
              <w:rPr>
                <w:rFonts w:ascii="仿宋_GB2312" w:eastAsia="仿宋_GB2312" w:hAnsi="仿宋" w:cs="仿宋" w:hint="eastAsia"/>
                <w:b/>
                <w:bCs/>
                <w:sz w:val="32"/>
                <w:szCs w:val="32"/>
              </w:rPr>
              <w:t>类别</w:t>
            </w:r>
          </w:p>
        </w:tc>
        <w:tc>
          <w:tcPr>
            <w:tcW w:w="6945" w:type="dxa"/>
            <w:shd w:val="clear" w:color="auto" w:fill="auto"/>
            <w:vAlign w:val="center"/>
          </w:tcPr>
          <w:p w:rsidR="00780483" w:rsidRDefault="00F8426F">
            <w:pPr>
              <w:jc w:val="center"/>
              <w:textAlignment w:val="center"/>
              <w:rPr>
                <w:rFonts w:ascii="仿宋_GB2312" w:eastAsia="仿宋_GB2312" w:hAnsi="仿宋" w:cs="仿宋"/>
                <w:b/>
                <w:bCs/>
                <w:sz w:val="32"/>
                <w:szCs w:val="32"/>
              </w:rPr>
            </w:pPr>
            <w:r>
              <w:rPr>
                <w:rFonts w:ascii="仿宋_GB2312" w:eastAsia="仿宋_GB2312" w:hAnsi="仿宋" w:cs="仿宋" w:hint="eastAsia"/>
                <w:b/>
                <w:bCs/>
                <w:sz w:val="32"/>
                <w:szCs w:val="32"/>
              </w:rPr>
              <w:t>主要内容及编制要点</w:t>
            </w:r>
          </w:p>
        </w:tc>
        <w:tc>
          <w:tcPr>
            <w:tcW w:w="2268" w:type="dxa"/>
            <w:shd w:val="clear" w:color="auto" w:fill="auto"/>
            <w:vAlign w:val="center"/>
          </w:tcPr>
          <w:p w:rsidR="00780483" w:rsidRDefault="00F8426F">
            <w:pPr>
              <w:jc w:val="center"/>
              <w:textAlignment w:val="center"/>
              <w:rPr>
                <w:rFonts w:ascii="仿宋_GB2312" w:eastAsia="仿宋_GB2312" w:hAnsi="仿宋" w:cs="仿宋"/>
                <w:b/>
                <w:bCs/>
                <w:sz w:val="32"/>
                <w:szCs w:val="32"/>
              </w:rPr>
            </w:pPr>
            <w:r>
              <w:rPr>
                <w:rFonts w:ascii="仿宋_GB2312" w:eastAsia="仿宋_GB2312" w:hAnsi="仿宋" w:cs="仿宋" w:hint="eastAsia"/>
                <w:b/>
                <w:bCs/>
                <w:sz w:val="32"/>
                <w:szCs w:val="32"/>
              </w:rPr>
              <w:t>主编单位</w:t>
            </w:r>
          </w:p>
        </w:tc>
        <w:tc>
          <w:tcPr>
            <w:tcW w:w="1134" w:type="dxa"/>
            <w:shd w:val="clear" w:color="auto" w:fill="auto"/>
            <w:vAlign w:val="center"/>
          </w:tcPr>
          <w:p w:rsidR="00780483" w:rsidRDefault="00F8426F">
            <w:pPr>
              <w:jc w:val="center"/>
              <w:textAlignment w:val="center"/>
              <w:rPr>
                <w:rFonts w:ascii="仿宋_GB2312" w:eastAsia="仿宋_GB2312" w:hAnsi="仿宋" w:cs="仿宋"/>
                <w:b/>
                <w:bCs/>
                <w:sz w:val="32"/>
                <w:szCs w:val="32"/>
              </w:rPr>
            </w:pPr>
            <w:r>
              <w:rPr>
                <w:rFonts w:ascii="仿宋_GB2312" w:eastAsia="仿宋_GB2312" w:hAnsi="仿宋" w:cs="仿宋" w:hint="eastAsia"/>
                <w:b/>
                <w:bCs/>
                <w:sz w:val="32"/>
                <w:szCs w:val="32"/>
              </w:rPr>
              <w:t>完成</w:t>
            </w:r>
          </w:p>
          <w:p w:rsidR="00780483" w:rsidRDefault="00F8426F">
            <w:pPr>
              <w:jc w:val="center"/>
              <w:textAlignment w:val="center"/>
              <w:rPr>
                <w:rFonts w:ascii="仿宋_GB2312" w:eastAsia="仿宋_GB2312" w:hAnsi="仿宋" w:cs="仿宋"/>
                <w:b/>
                <w:bCs/>
                <w:sz w:val="32"/>
                <w:szCs w:val="32"/>
              </w:rPr>
            </w:pPr>
            <w:r>
              <w:rPr>
                <w:rFonts w:ascii="仿宋_GB2312" w:eastAsia="仿宋_GB2312" w:hAnsi="仿宋" w:cs="仿宋" w:hint="eastAsia"/>
                <w:b/>
                <w:bCs/>
                <w:sz w:val="32"/>
                <w:szCs w:val="32"/>
              </w:rPr>
              <w:t>时间</w:t>
            </w:r>
          </w:p>
        </w:tc>
        <w:tc>
          <w:tcPr>
            <w:tcW w:w="1403" w:type="dxa"/>
            <w:shd w:val="clear" w:color="auto" w:fill="auto"/>
            <w:vAlign w:val="center"/>
          </w:tcPr>
          <w:p w:rsidR="00780483" w:rsidRDefault="00F8426F">
            <w:pPr>
              <w:jc w:val="center"/>
              <w:textAlignment w:val="center"/>
              <w:rPr>
                <w:rFonts w:ascii="仿宋_GB2312" w:eastAsia="仿宋_GB2312" w:hAnsi="仿宋" w:cs="仿宋"/>
                <w:b/>
                <w:bCs/>
                <w:sz w:val="32"/>
                <w:szCs w:val="32"/>
              </w:rPr>
            </w:pPr>
            <w:r>
              <w:rPr>
                <w:rFonts w:ascii="仿宋_GB2312" w:eastAsia="仿宋_GB2312" w:hAnsi="仿宋" w:cs="仿宋" w:hint="eastAsia"/>
                <w:b/>
                <w:bCs/>
                <w:sz w:val="32"/>
                <w:szCs w:val="32"/>
              </w:rPr>
              <w:t>组织</w:t>
            </w:r>
          </w:p>
          <w:p w:rsidR="00780483" w:rsidRDefault="00F8426F">
            <w:pPr>
              <w:jc w:val="center"/>
              <w:textAlignment w:val="center"/>
              <w:rPr>
                <w:rFonts w:ascii="仿宋_GB2312" w:eastAsia="仿宋_GB2312" w:hAnsi="仿宋" w:cs="仿宋"/>
                <w:b/>
                <w:bCs/>
                <w:sz w:val="32"/>
                <w:szCs w:val="32"/>
              </w:rPr>
            </w:pPr>
            <w:r>
              <w:rPr>
                <w:rFonts w:ascii="仿宋_GB2312" w:eastAsia="仿宋_GB2312" w:hAnsi="仿宋" w:cs="仿宋" w:hint="eastAsia"/>
                <w:b/>
                <w:bCs/>
                <w:sz w:val="32"/>
                <w:szCs w:val="32"/>
              </w:rPr>
              <w:t>单位</w:t>
            </w:r>
          </w:p>
        </w:tc>
      </w:tr>
      <w:tr w:rsidR="00780483">
        <w:trPr>
          <w:cantSplit/>
          <w:trHeight w:val="1456"/>
          <w:jc w:val="center"/>
        </w:trPr>
        <w:tc>
          <w:tcPr>
            <w:tcW w:w="584" w:type="dxa"/>
            <w:shd w:val="clear" w:color="auto" w:fill="auto"/>
            <w:noWrap/>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t>1</w:t>
            </w:r>
          </w:p>
        </w:tc>
        <w:tc>
          <w:tcPr>
            <w:tcW w:w="1418"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新型建筑工业化项目评价标准</w:t>
            </w:r>
          </w:p>
        </w:tc>
        <w:tc>
          <w:tcPr>
            <w:tcW w:w="567" w:type="dxa"/>
            <w:shd w:val="clear" w:color="auto" w:fill="auto"/>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t>制订</w:t>
            </w:r>
          </w:p>
        </w:tc>
        <w:tc>
          <w:tcPr>
            <w:tcW w:w="6945"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基于现有工业化建筑评价体系，结合国内工业化建筑发展现状和发展趋势，对现有评价标准进行补充完善和优化，形成一套科学合理、适用性广、实施性强的建筑工业化评价体系，并形成标准文件进行发布实施，规范装配式建筑评价流程及评价方式，促进建筑工业化发展。</w:t>
            </w:r>
            <w:r>
              <w:rPr>
                <w:rFonts w:ascii="仿宋" w:eastAsia="仿宋" w:hAnsi="仿宋" w:cs="仿宋" w:hint="eastAsia"/>
                <w:color w:val="000000"/>
                <w:sz w:val="28"/>
                <w:szCs w:val="28"/>
              </w:rPr>
              <w:br/>
            </w:r>
            <w:r>
              <w:rPr>
                <w:rFonts w:ascii="仿宋" w:eastAsia="仿宋" w:hAnsi="仿宋" w:cs="仿宋" w:hint="eastAsia"/>
                <w:b/>
                <w:bCs/>
                <w:color w:val="000000"/>
                <w:sz w:val="28"/>
                <w:szCs w:val="28"/>
              </w:rPr>
              <w:t>特别提示：</w:t>
            </w:r>
            <w:r>
              <w:rPr>
                <w:rFonts w:ascii="仿宋" w:eastAsia="仿宋" w:hAnsi="仿宋" w:cs="仿宋" w:hint="eastAsia"/>
                <w:color w:val="000000"/>
                <w:sz w:val="28"/>
                <w:szCs w:val="28"/>
              </w:rPr>
              <w:t>编制时要注意新型建筑工业化不应仅限于装配式的内容。</w:t>
            </w:r>
          </w:p>
        </w:tc>
        <w:tc>
          <w:tcPr>
            <w:tcW w:w="2268"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1、中国建筑业协会</w:t>
            </w:r>
          </w:p>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2、中建三局第一建设工程有限责任公司</w:t>
            </w:r>
          </w:p>
        </w:tc>
        <w:tc>
          <w:tcPr>
            <w:tcW w:w="1134"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2024年10月31日</w:t>
            </w:r>
          </w:p>
        </w:tc>
        <w:tc>
          <w:tcPr>
            <w:tcW w:w="1403"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中国建筑业协会</w:t>
            </w:r>
          </w:p>
        </w:tc>
      </w:tr>
      <w:tr w:rsidR="00780483">
        <w:trPr>
          <w:cantSplit/>
          <w:trHeight w:val="1456"/>
          <w:jc w:val="center"/>
        </w:trPr>
        <w:tc>
          <w:tcPr>
            <w:tcW w:w="584" w:type="dxa"/>
            <w:shd w:val="clear" w:color="auto" w:fill="auto"/>
            <w:noWrap/>
            <w:vAlign w:val="center"/>
          </w:tcPr>
          <w:p w:rsidR="00780483" w:rsidRDefault="00F8426F">
            <w:pPr>
              <w:jc w:val="center"/>
              <w:textAlignment w:val="center"/>
              <w:rPr>
                <w:rFonts w:ascii="仿宋" w:eastAsia="仿宋" w:hAnsi="仿宋" w:cs="仿宋"/>
                <w:sz w:val="84"/>
                <w:szCs w:val="84"/>
              </w:rPr>
            </w:pPr>
            <w:r>
              <w:rPr>
                <w:rFonts w:ascii="仿宋" w:eastAsia="仿宋" w:hAnsi="仿宋" w:cs="仿宋" w:hint="eastAsia"/>
                <w:color w:val="000000"/>
                <w:sz w:val="28"/>
                <w:szCs w:val="28"/>
              </w:rPr>
              <w:t>2</w:t>
            </w:r>
          </w:p>
        </w:tc>
        <w:tc>
          <w:tcPr>
            <w:tcW w:w="1418" w:type="dxa"/>
            <w:shd w:val="clear" w:color="auto" w:fill="auto"/>
            <w:vAlign w:val="center"/>
          </w:tcPr>
          <w:p w:rsidR="00780483" w:rsidRDefault="00F8426F">
            <w:pPr>
              <w:textAlignment w:val="center"/>
              <w:rPr>
                <w:rFonts w:ascii="仿宋" w:eastAsia="仿宋" w:hAnsi="仿宋" w:cs="仿宋"/>
                <w:sz w:val="84"/>
                <w:szCs w:val="84"/>
              </w:rPr>
            </w:pPr>
            <w:r>
              <w:rPr>
                <w:rFonts w:ascii="仿宋" w:eastAsia="仿宋" w:hAnsi="仿宋" w:cs="仿宋" w:hint="eastAsia"/>
                <w:color w:val="000000"/>
                <w:sz w:val="28"/>
                <w:szCs w:val="28"/>
              </w:rPr>
              <w:t>建筑施工项目BIM应用管理标准</w:t>
            </w:r>
          </w:p>
        </w:tc>
        <w:tc>
          <w:tcPr>
            <w:tcW w:w="567" w:type="dxa"/>
            <w:shd w:val="clear" w:color="auto" w:fill="auto"/>
            <w:vAlign w:val="center"/>
          </w:tcPr>
          <w:p w:rsidR="00780483" w:rsidRDefault="00F8426F">
            <w:pPr>
              <w:jc w:val="center"/>
              <w:textAlignment w:val="center"/>
              <w:rPr>
                <w:rFonts w:ascii="仿宋" w:eastAsia="仿宋" w:hAnsi="仿宋" w:cs="仿宋"/>
                <w:sz w:val="84"/>
                <w:szCs w:val="84"/>
              </w:rPr>
            </w:pPr>
            <w:r>
              <w:rPr>
                <w:rFonts w:ascii="仿宋" w:eastAsia="仿宋" w:hAnsi="仿宋" w:cs="仿宋" w:hint="eastAsia"/>
                <w:color w:val="000000"/>
                <w:sz w:val="28"/>
                <w:szCs w:val="28"/>
              </w:rPr>
              <w:t>制订</w:t>
            </w:r>
          </w:p>
        </w:tc>
        <w:tc>
          <w:tcPr>
            <w:tcW w:w="6945" w:type="dxa"/>
            <w:shd w:val="clear" w:color="auto" w:fill="auto"/>
            <w:vAlign w:val="center"/>
          </w:tcPr>
          <w:p w:rsidR="00780483" w:rsidRDefault="00F8426F">
            <w:pPr>
              <w:textAlignment w:val="center"/>
              <w:rPr>
                <w:rFonts w:ascii="仿宋" w:eastAsia="仿宋" w:hAnsi="仿宋" w:cs="仿宋"/>
                <w:sz w:val="84"/>
                <w:szCs w:val="84"/>
              </w:rPr>
            </w:pPr>
            <w:r>
              <w:rPr>
                <w:rFonts w:ascii="仿宋" w:eastAsia="仿宋" w:hAnsi="仿宋" w:cs="仿宋" w:hint="eastAsia"/>
                <w:color w:val="000000"/>
                <w:sz w:val="28"/>
                <w:szCs w:val="28"/>
              </w:rPr>
              <w:t>项目将BIM实施的交付成果分为产品、服务与接口三大部分，并将各部分进一步分解，例如，产品可进一步以数据库以及衍生文件，以逻辑产品工程学的基本理论将BIM实施资源划分为技术与方法、标准与规范等五大类要素，用项目管理理论将BIM实施过程分解为启动过程、规划过程等五个过程及</w:t>
            </w:r>
            <w:bookmarkStart w:id="0" w:name="_GoBack"/>
            <w:bookmarkEnd w:id="0"/>
            <w:r>
              <w:rPr>
                <w:rFonts w:ascii="仿宋" w:eastAsia="仿宋" w:hAnsi="仿宋" w:cs="仿宋" w:hint="eastAsia"/>
                <w:color w:val="000000"/>
                <w:sz w:val="28"/>
                <w:szCs w:val="28"/>
              </w:rPr>
              <w:t>其子过程，进而以高内聚低耦合的原则将成果、资源与过程组合成多个模块，最后用系统论方法将各模块整合为建筑工程施工BIM项目管理标准。</w:t>
            </w:r>
            <w:r>
              <w:rPr>
                <w:rFonts w:ascii="仿宋" w:eastAsia="仿宋" w:hAnsi="仿宋" w:cs="仿宋" w:hint="eastAsia"/>
                <w:color w:val="000000"/>
                <w:sz w:val="28"/>
                <w:szCs w:val="28"/>
              </w:rPr>
              <w:br/>
            </w:r>
            <w:r>
              <w:rPr>
                <w:rFonts w:ascii="仿宋" w:eastAsia="仿宋" w:hAnsi="仿宋" w:cs="仿宋" w:hint="eastAsia"/>
                <w:b/>
                <w:bCs/>
                <w:color w:val="000000"/>
                <w:sz w:val="28"/>
                <w:szCs w:val="28"/>
              </w:rPr>
              <w:t>特别提示：</w:t>
            </w:r>
            <w:r>
              <w:rPr>
                <w:rFonts w:ascii="仿宋" w:eastAsia="仿宋" w:hAnsi="仿宋" w:cs="仿宋" w:hint="eastAsia"/>
                <w:color w:val="000000"/>
                <w:sz w:val="28"/>
                <w:szCs w:val="28"/>
              </w:rPr>
              <w:t>编制时要突出BIM应用管理作为重点，避免将项目管理作为重点。</w:t>
            </w:r>
          </w:p>
        </w:tc>
        <w:tc>
          <w:tcPr>
            <w:tcW w:w="2268"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1、中建协兴国际工程咨询有限公司</w:t>
            </w:r>
            <w:r>
              <w:rPr>
                <w:rFonts w:ascii="仿宋" w:eastAsia="仿宋" w:hAnsi="仿宋" w:cs="仿宋" w:hint="eastAsia"/>
                <w:color w:val="000000"/>
                <w:sz w:val="28"/>
                <w:szCs w:val="28"/>
              </w:rPr>
              <w:br/>
              <w:t>2、北京中世卓优科技有限公司</w:t>
            </w:r>
          </w:p>
        </w:tc>
        <w:tc>
          <w:tcPr>
            <w:tcW w:w="1134" w:type="dxa"/>
            <w:shd w:val="clear" w:color="auto" w:fill="auto"/>
            <w:vAlign w:val="center"/>
          </w:tcPr>
          <w:p w:rsidR="00780483" w:rsidRDefault="00F8426F">
            <w:pPr>
              <w:textAlignment w:val="center"/>
              <w:rPr>
                <w:rFonts w:ascii="仿宋" w:eastAsia="仿宋" w:hAnsi="仿宋" w:cs="仿宋"/>
                <w:sz w:val="84"/>
                <w:szCs w:val="84"/>
              </w:rPr>
            </w:pPr>
            <w:r>
              <w:rPr>
                <w:rFonts w:ascii="仿宋" w:eastAsia="仿宋" w:hAnsi="仿宋" w:cs="仿宋" w:hint="eastAsia"/>
                <w:color w:val="000000"/>
                <w:sz w:val="28"/>
                <w:szCs w:val="28"/>
              </w:rPr>
              <w:t>2024年10月31日</w:t>
            </w:r>
          </w:p>
        </w:tc>
        <w:tc>
          <w:tcPr>
            <w:tcW w:w="1403"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中国建筑业协会</w:t>
            </w:r>
          </w:p>
        </w:tc>
      </w:tr>
      <w:tr w:rsidR="00780483">
        <w:trPr>
          <w:cantSplit/>
          <w:trHeight w:val="7153"/>
          <w:jc w:val="center"/>
        </w:trPr>
        <w:tc>
          <w:tcPr>
            <w:tcW w:w="584" w:type="dxa"/>
            <w:shd w:val="clear" w:color="auto" w:fill="auto"/>
            <w:noWrap/>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lastRenderedPageBreak/>
              <w:t>3</w:t>
            </w:r>
          </w:p>
        </w:tc>
        <w:tc>
          <w:tcPr>
            <w:tcW w:w="1418"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工程项目智能建造体系导则</w:t>
            </w:r>
          </w:p>
        </w:tc>
        <w:tc>
          <w:tcPr>
            <w:tcW w:w="567" w:type="dxa"/>
            <w:shd w:val="clear" w:color="auto" w:fill="auto"/>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t>制订</w:t>
            </w:r>
          </w:p>
        </w:tc>
        <w:tc>
          <w:tcPr>
            <w:tcW w:w="6945" w:type="dxa"/>
            <w:shd w:val="clear" w:color="auto" w:fill="auto"/>
            <w:vAlign w:val="center"/>
          </w:tcPr>
          <w:p w:rsidR="00780483" w:rsidRDefault="00F8426F">
            <w:pPr>
              <w:textAlignment w:val="center"/>
              <w:rPr>
                <w:rFonts w:ascii="仿宋" w:eastAsia="仿宋" w:hAnsi="仿宋" w:cs="仿宋"/>
                <w:b/>
                <w:bCs/>
                <w:color w:val="000000"/>
                <w:sz w:val="28"/>
                <w:szCs w:val="28"/>
              </w:rPr>
            </w:pPr>
            <w:r>
              <w:rPr>
                <w:rFonts w:ascii="仿宋" w:eastAsia="仿宋" w:hAnsi="仿宋" w:cs="仿宋" w:hint="eastAsia"/>
                <w:color w:val="000000"/>
                <w:sz w:val="28"/>
                <w:szCs w:val="28"/>
              </w:rPr>
              <w:t>提取各类智能应用系统架构的共性抽象特征，按建筑业特点建立生命周期、组织层级、专业应用与智能特征四维智能建造系统架构，将智能建造系统架构的生命周期维度分为设计、施工与运维三个根流程并拆分成各个子流程。组织层级上分为工种、专业等层级，按信息技术的通用性分为基础赋能技术、工业赋能技术与领域赋能技术，按数据化等指标确定智能程度，从而对智能制造产品、过程、技术与资源分解细化，进而建立智能建造体系框架标准。</w:t>
            </w:r>
            <w:r>
              <w:rPr>
                <w:rFonts w:ascii="仿宋" w:eastAsia="仿宋" w:hAnsi="仿宋" w:cs="仿宋" w:hint="eastAsia"/>
                <w:color w:val="000000"/>
                <w:sz w:val="28"/>
                <w:szCs w:val="28"/>
              </w:rPr>
              <w:br/>
            </w:r>
            <w:r>
              <w:rPr>
                <w:rFonts w:ascii="仿宋" w:eastAsia="仿宋" w:hAnsi="仿宋" w:cs="仿宋" w:hint="eastAsia"/>
                <w:b/>
                <w:bCs/>
                <w:color w:val="000000"/>
                <w:sz w:val="28"/>
                <w:szCs w:val="28"/>
              </w:rPr>
              <w:t>特别提示：</w:t>
            </w:r>
          </w:p>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1、智能建造在建筑行业的发展，目前还处于概念提出阶段，尚缺乏深入的研究和数据，建议编制时侧重原则性规定。</w:t>
            </w:r>
          </w:p>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2、编写时，要避免以偏概全，不要只将重点放在BIM技术应用上，要充分认识到智能建造的内涵很丰富，BIM技术只是基础。</w:t>
            </w:r>
          </w:p>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3、编制组应增加智能建造方面的权威专家。</w:t>
            </w:r>
          </w:p>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4、建议标准的内容从输入输出数据框架、功能框架、产品类别框架、应用技术框架几个方面展开。</w:t>
            </w:r>
          </w:p>
        </w:tc>
        <w:tc>
          <w:tcPr>
            <w:tcW w:w="2268"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1、中建协兴国际工程咨询有限公司</w:t>
            </w:r>
            <w:r>
              <w:rPr>
                <w:rFonts w:ascii="仿宋" w:eastAsia="仿宋" w:hAnsi="仿宋" w:cs="仿宋" w:hint="eastAsia"/>
                <w:color w:val="000000"/>
                <w:sz w:val="28"/>
                <w:szCs w:val="28"/>
              </w:rPr>
              <w:br/>
              <w:t>2、北京中世卓优科技有限公司</w:t>
            </w:r>
          </w:p>
        </w:tc>
        <w:tc>
          <w:tcPr>
            <w:tcW w:w="1134"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2024年10月31日</w:t>
            </w:r>
          </w:p>
        </w:tc>
        <w:tc>
          <w:tcPr>
            <w:tcW w:w="1403"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中国建筑业协会</w:t>
            </w:r>
          </w:p>
        </w:tc>
      </w:tr>
      <w:tr w:rsidR="00780483">
        <w:trPr>
          <w:cantSplit/>
          <w:trHeight w:val="3326"/>
          <w:jc w:val="center"/>
        </w:trPr>
        <w:tc>
          <w:tcPr>
            <w:tcW w:w="584" w:type="dxa"/>
            <w:shd w:val="clear" w:color="auto" w:fill="auto"/>
            <w:noWrap/>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lastRenderedPageBreak/>
              <w:t>4</w:t>
            </w:r>
          </w:p>
        </w:tc>
        <w:tc>
          <w:tcPr>
            <w:tcW w:w="1418"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建筑施工过程碳排放核算操作规程</w:t>
            </w:r>
          </w:p>
        </w:tc>
        <w:tc>
          <w:tcPr>
            <w:tcW w:w="567" w:type="dxa"/>
            <w:shd w:val="clear" w:color="auto" w:fill="auto"/>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t>制订</w:t>
            </w:r>
          </w:p>
        </w:tc>
        <w:tc>
          <w:tcPr>
            <w:tcW w:w="6945"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适用于建筑工程施工阶段碳排放量的核算，包括建筑物群和单栋建筑的建造、拆除工程的碳排放量核算以及工信部已发布的建材行业“双碳”标准内、外的建筑材料（包括建筑垃圾和再生材料）的碳排放量的计算、核定办法。为建筑物全生命周期碳排放提供阶段数据的具体核算实施方法。本规程规定了建筑工程施工阶段碳排放量核算的技术要求、核算程序、核算边界和周期、核算方法、数据采集和处理、数据安全及核算结果和公布。</w:t>
            </w:r>
          </w:p>
        </w:tc>
        <w:tc>
          <w:tcPr>
            <w:tcW w:w="2268"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1、中建协兴国际工程咨询有限公司</w:t>
            </w:r>
            <w:r>
              <w:rPr>
                <w:rFonts w:ascii="仿宋" w:eastAsia="仿宋" w:hAnsi="仿宋" w:cs="仿宋" w:hint="eastAsia"/>
                <w:color w:val="000000"/>
                <w:sz w:val="28"/>
                <w:szCs w:val="28"/>
              </w:rPr>
              <w:br/>
              <w:t>2、中国计量大学</w:t>
            </w:r>
          </w:p>
        </w:tc>
        <w:tc>
          <w:tcPr>
            <w:tcW w:w="1134"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2024年10月31日</w:t>
            </w:r>
          </w:p>
        </w:tc>
        <w:tc>
          <w:tcPr>
            <w:tcW w:w="1403"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中国建筑业协会</w:t>
            </w:r>
          </w:p>
        </w:tc>
      </w:tr>
      <w:tr w:rsidR="00780483">
        <w:trPr>
          <w:cantSplit/>
          <w:trHeight w:val="1898"/>
          <w:jc w:val="center"/>
        </w:trPr>
        <w:tc>
          <w:tcPr>
            <w:tcW w:w="584" w:type="dxa"/>
            <w:shd w:val="clear" w:color="auto" w:fill="auto"/>
            <w:noWrap/>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t>5</w:t>
            </w:r>
          </w:p>
        </w:tc>
        <w:tc>
          <w:tcPr>
            <w:tcW w:w="1418"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主题公园施工技术标准</w:t>
            </w:r>
          </w:p>
        </w:tc>
        <w:tc>
          <w:tcPr>
            <w:tcW w:w="567" w:type="dxa"/>
            <w:shd w:val="clear" w:color="auto" w:fill="auto"/>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t>制订</w:t>
            </w:r>
          </w:p>
        </w:tc>
        <w:tc>
          <w:tcPr>
            <w:tcW w:w="6945"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大型主题公园综合施工技术：1、异型建（构）筑物数字化施工技术；2、主题场景环境重现及包装技术； 3、动感特效氛围呈现及联动技术</w:t>
            </w:r>
          </w:p>
        </w:tc>
        <w:tc>
          <w:tcPr>
            <w:tcW w:w="2268"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1、中国建筑第二工程局有限公司</w:t>
            </w:r>
            <w:r>
              <w:rPr>
                <w:rFonts w:ascii="仿宋" w:eastAsia="仿宋" w:hAnsi="仿宋" w:cs="仿宋" w:hint="eastAsia"/>
                <w:color w:val="000000"/>
                <w:sz w:val="28"/>
                <w:szCs w:val="28"/>
              </w:rPr>
              <w:br/>
              <w:t>2、上海宝冶集团有限公司</w:t>
            </w:r>
            <w:r>
              <w:rPr>
                <w:rFonts w:ascii="仿宋" w:eastAsia="仿宋" w:hAnsi="仿宋" w:cs="仿宋" w:hint="eastAsia"/>
                <w:color w:val="000000"/>
                <w:sz w:val="28"/>
                <w:szCs w:val="28"/>
              </w:rPr>
              <w:br/>
              <w:t>3、中国建筑业协会</w:t>
            </w:r>
          </w:p>
        </w:tc>
        <w:tc>
          <w:tcPr>
            <w:tcW w:w="1134"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2024年10月31日</w:t>
            </w:r>
          </w:p>
        </w:tc>
        <w:tc>
          <w:tcPr>
            <w:tcW w:w="1403"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中国建筑业协会</w:t>
            </w:r>
          </w:p>
        </w:tc>
      </w:tr>
      <w:tr w:rsidR="00780483">
        <w:trPr>
          <w:cantSplit/>
          <w:trHeight w:val="1692"/>
          <w:jc w:val="center"/>
        </w:trPr>
        <w:tc>
          <w:tcPr>
            <w:tcW w:w="584" w:type="dxa"/>
            <w:shd w:val="clear" w:color="auto" w:fill="auto"/>
            <w:noWrap/>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lastRenderedPageBreak/>
              <w:t>6</w:t>
            </w:r>
          </w:p>
        </w:tc>
        <w:tc>
          <w:tcPr>
            <w:tcW w:w="1418"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城市公园地下空间全生命周期管理标准</w:t>
            </w:r>
          </w:p>
        </w:tc>
        <w:tc>
          <w:tcPr>
            <w:tcW w:w="567" w:type="dxa"/>
            <w:shd w:val="clear" w:color="auto" w:fill="auto"/>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t>制订</w:t>
            </w:r>
          </w:p>
        </w:tc>
        <w:tc>
          <w:tcPr>
            <w:tcW w:w="6945"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通过对投资、规划、勘察、设计、施工、运营全生命周期的管理方式、流程、规则等进行规定，指导城市公园地下空间项目的开发建设运营。通过调研行业内已有的标准和研究成果，总结项目实施过程中的经验教训，编制适合城市公园地下空间项目实施的全生命周期管理标准。</w:t>
            </w:r>
          </w:p>
        </w:tc>
        <w:tc>
          <w:tcPr>
            <w:tcW w:w="2268"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中建丝路建设投资有限公司</w:t>
            </w:r>
          </w:p>
        </w:tc>
        <w:tc>
          <w:tcPr>
            <w:tcW w:w="1134"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2024年10月31日</w:t>
            </w:r>
          </w:p>
        </w:tc>
        <w:tc>
          <w:tcPr>
            <w:tcW w:w="1403"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中国建筑业协会</w:t>
            </w:r>
          </w:p>
        </w:tc>
      </w:tr>
      <w:tr w:rsidR="00780483">
        <w:trPr>
          <w:cantSplit/>
          <w:trHeight w:val="1692"/>
          <w:jc w:val="center"/>
        </w:trPr>
        <w:tc>
          <w:tcPr>
            <w:tcW w:w="584" w:type="dxa"/>
            <w:shd w:val="clear" w:color="auto" w:fill="auto"/>
            <w:noWrap/>
            <w:vAlign w:val="center"/>
          </w:tcPr>
          <w:p w:rsidR="00780483" w:rsidRDefault="00F8426F">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7</w:t>
            </w:r>
          </w:p>
        </w:tc>
        <w:tc>
          <w:tcPr>
            <w:tcW w:w="1418"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螺旋锥体挤土压灌桩技术规程</w:t>
            </w:r>
          </w:p>
        </w:tc>
        <w:tc>
          <w:tcPr>
            <w:tcW w:w="567" w:type="dxa"/>
            <w:shd w:val="clear" w:color="auto" w:fill="auto"/>
            <w:vAlign w:val="center"/>
          </w:tcPr>
          <w:p w:rsidR="00780483" w:rsidRDefault="00F8426F">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制订</w:t>
            </w:r>
          </w:p>
        </w:tc>
        <w:tc>
          <w:tcPr>
            <w:tcW w:w="6945"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螺旋锥体挤土压灌桩技术规程主要内容：总则、术语和符号、基本规定、设计、施工、检验与验收、附录表、用词说明、引用标准名录 、条例说明。</w:t>
            </w:r>
          </w:p>
        </w:tc>
        <w:tc>
          <w:tcPr>
            <w:tcW w:w="2268"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1、吉林建筑大学</w:t>
            </w:r>
          </w:p>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2、吉林省恒基岩土勘测有限责任公司</w:t>
            </w:r>
            <w:r>
              <w:rPr>
                <w:rFonts w:ascii="仿宋" w:eastAsia="仿宋" w:hAnsi="仿宋" w:cs="仿宋" w:hint="eastAsia"/>
                <w:color w:val="000000"/>
                <w:sz w:val="28"/>
                <w:szCs w:val="28"/>
              </w:rPr>
              <w:br/>
              <w:t>3、吉林省大星基础工程科技有限公司</w:t>
            </w:r>
          </w:p>
        </w:tc>
        <w:tc>
          <w:tcPr>
            <w:tcW w:w="1134"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2024年10月31日</w:t>
            </w:r>
          </w:p>
        </w:tc>
        <w:tc>
          <w:tcPr>
            <w:tcW w:w="1403"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吉林省建筑业协会</w:t>
            </w:r>
          </w:p>
        </w:tc>
      </w:tr>
      <w:tr w:rsidR="00780483">
        <w:trPr>
          <w:cantSplit/>
          <w:trHeight w:val="889"/>
          <w:jc w:val="center"/>
        </w:trPr>
        <w:tc>
          <w:tcPr>
            <w:tcW w:w="584" w:type="dxa"/>
            <w:shd w:val="clear" w:color="auto" w:fill="auto"/>
            <w:noWrap/>
            <w:vAlign w:val="center"/>
          </w:tcPr>
          <w:p w:rsidR="00780483" w:rsidRDefault="00F8426F">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8</w:t>
            </w:r>
          </w:p>
        </w:tc>
        <w:tc>
          <w:tcPr>
            <w:tcW w:w="1418"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建筑企业税务管理软件数据接口标准</w:t>
            </w:r>
          </w:p>
        </w:tc>
        <w:tc>
          <w:tcPr>
            <w:tcW w:w="567" w:type="dxa"/>
            <w:shd w:val="clear" w:color="auto" w:fill="auto"/>
            <w:vAlign w:val="center"/>
          </w:tcPr>
          <w:p w:rsidR="00780483" w:rsidRDefault="00F8426F">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制订</w:t>
            </w:r>
          </w:p>
        </w:tc>
        <w:tc>
          <w:tcPr>
            <w:tcW w:w="6945"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对建筑企业税务管理软件规定统一的数据输入、输出格式和接口规范，具体包括：1、税务管理基础数据元；2、输入和输出接口文件的格式和数据结构；3、数据接口的时间要求；4、符合性评价。</w:t>
            </w:r>
          </w:p>
        </w:tc>
        <w:tc>
          <w:tcPr>
            <w:tcW w:w="2268"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1、新中大科技股份有限公司</w:t>
            </w:r>
            <w:r>
              <w:rPr>
                <w:rFonts w:ascii="仿宋" w:eastAsia="仿宋" w:hAnsi="仿宋" w:cs="仿宋" w:hint="eastAsia"/>
                <w:color w:val="000000"/>
                <w:sz w:val="28"/>
                <w:szCs w:val="28"/>
              </w:rPr>
              <w:br/>
              <w:t>2、北京华政税务师事务所有限公司</w:t>
            </w:r>
            <w:r>
              <w:rPr>
                <w:rFonts w:ascii="仿宋" w:eastAsia="仿宋" w:hAnsi="仿宋" w:cs="仿宋" w:hint="eastAsia"/>
                <w:color w:val="000000"/>
                <w:sz w:val="28"/>
                <w:szCs w:val="28"/>
              </w:rPr>
              <w:br/>
              <w:t>3、上海建工集团股份有限公司</w:t>
            </w:r>
          </w:p>
        </w:tc>
        <w:tc>
          <w:tcPr>
            <w:tcW w:w="1134"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2024年10月31日</w:t>
            </w:r>
          </w:p>
        </w:tc>
        <w:tc>
          <w:tcPr>
            <w:tcW w:w="1403"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浙江省建筑业行业协会</w:t>
            </w:r>
          </w:p>
        </w:tc>
      </w:tr>
      <w:tr w:rsidR="00780483">
        <w:trPr>
          <w:cantSplit/>
          <w:trHeight w:val="3610"/>
          <w:jc w:val="center"/>
        </w:trPr>
        <w:tc>
          <w:tcPr>
            <w:tcW w:w="584" w:type="dxa"/>
            <w:shd w:val="clear" w:color="auto" w:fill="auto"/>
            <w:noWrap/>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lastRenderedPageBreak/>
              <w:t>9</w:t>
            </w:r>
          </w:p>
        </w:tc>
        <w:tc>
          <w:tcPr>
            <w:tcW w:w="1418"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工程建设质量信得过班组建设导则</w:t>
            </w:r>
          </w:p>
        </w:tc>
        <w:tc>
          <w:tcPr>
            <w:tcW w:w="567" w:type="dxa"/>
            <w:shd w:val="clear" w:color="auto" w:fill="auto"/>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t>制订</w:t>
            </w:r>
          </w:p>
        </w:tc>
        <w:tc>
          <w:tcPr>
            <w:tcW w:w="6945"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根据GB/T 50430《工程建设施工企业质量管理规范》和T/CAQ 10204《质量信得过班组建设准则》有关要求，紧密结合工程建设班组管理的实际特点，明确工程建设班组建制要求，提出工程建设质量信得过班组建设基本理念，定义工程建设质量信得过班组内涵，具体规定工程建设质量信得过班组建设程序：需求确定、建设策划、建设过程、建设成就及相关步骤，是工程建设企业开展质量信得过班组建设工作的主要依据。</w:t>
            </w:r>
          </w:p>
        </w:tc>
        <w:tc>
          <w:tcPr>
            <w:tcW w:w="2268"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中国建筑业协会质量管理与监督检测分会</w:t>
            </w:r>
          </w:p>
        </w:tc>
        <w:tc>
          <w:tcPr>
            <w:tcW w:w="1134"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2024年10月31日</w:t>
            </w:r>
          </w:p>
        </w:tc>
        <w:tc>
          <w:tcPr>
            <w:tcW w:w="1403"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中国建筑业协会质量管理与监督检测分会</w:t>
            </w:r>
          </w:p>
        </w:tc>
      </w:tr>
      <w:tr w:rsidR="00780483">
        <w:trPr>
          <w:cantSplit/>
          <w:trHeight w:val="1456"/>
          <w:jc w:val="center"/>
        </w:trPr>
        <w:tc>
          <w:tcPr>
            <w:tcW w:w="584" w:type="dxa"/>
            <w:shd w:val="clear" w:color="auto" w:fill="auto"/>
            <w:noWrap/>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t>10</w:t>
            </w:r>
          </w:p>
        </w:tc>
        <w:tc>
          <w:tcPr>
            <w:tcW w:w="1418"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建筑工人施工现场生活环境、作业环境及劳动保护基本配置标准</w:t>
            </w:r>
          </w:p>
        </w:tc>
        <w:tc>
          <w:tcPr>
            <w:tcW w:w="567" w:type="dxa"/>
            <w:shd w:val="clear" w:color="auto" w:fill="auto"/>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t>制订</w:t>
            </w:r>
          </w:p>
        </w:tc>
        <w:tc>
          <w:tcPr>
            <w:tcW w:w="6945"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面向建筑与市政工程项目全寿命周期各个阶段，适用于新建、扩建、改建等房屋建筑与市政工程类建设工程的施工总承包、专业承包和劳务作业分包的施工现场管理。本标准的主要内容包括：总则、术语、基本规定、施工现场生产环境基本配置、施工现场劳动保护基本配置、施工现场作业环境基本配置、考核评价等。</w:t>
            </w:r>
          </w:p>
        </w:tc>
        <w:tc>
          <w:tcPr>
            <w:tcW w:w="2268"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1、中国建筑业协会建筑供应链与劳务管理分会</w:t>
            </w:r>
            <w:r>
              <w:rPr>
                <w:rFonts w:ascii="仿宋" w:eastAsia="仿宋" w:hAnsi="仿宋" w:cs="仿宋" w:hint="eastAsia"/>
                <w:color w:val="000000"/>
                <w:sz w:val="28"/>
                <w:szCs w:val="28"/>
              </w:rPr>
              <w:br/>
              <w:t>2、北京建知建筑技术研究院有限公司</w:t>
            </w:r>
          </w:p>
        </w:tc>
        <w:tc>
          <w:tcPr>
            <w:tcW w:w="1134"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2024年10月31日</w:t>
            </w:r>
          </w:p>
        </w:tc>
        <w:tc>
          <w:tcPr>
            <w:tcW w:w="1403"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中国建筑业协会建筑供应链与劳务管理分会</w:t>
            </w:r>
          </w:p>
        </w:tc>
      </w:tr>
      <w:tr w:rsidR="00780483">
        <w:trPr>
          <w:cantSplit/>
          <w:trHeight w:val="3184"/>
          <w:jc w:val="center"/>
        </w:trPr>
        <w:tc>
          <w:tcPr>
            <w:tcW w:w="584" w:type="dxa"/>
            <w:shd w:val="clear" w:color="auto" w:fill="auto"/>
            <w:noWrap/>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lastRenderedPageBreak/>
              <w:t>11</w:t>
            </w:r>
          </w:p>
        </w:tc>
        <w:tc>
          <w:tcPr>
            <w:tcW w:w="1418"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劳务员职业能力标准</w:t>
            </w:r>
          </w:p>
        </w:tc>
        <w:tc>
          <w:tcPr>
            <w:tcW w:w="567" w:type="dxa"/>
            <w:shd w:val="clear" w:color="auto" w:fill="auto"/>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t>制订</w:t>
            </w:r>
          </w:p>
        </w:tc>
        <w:tc>
          <w:tcPr>
            <w:tcW w:w="6945"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面向建筑工程项目全寿命周期各个阶段,适用于新建、扩建、改建等房屋建筑与市政工程类建设工程的施工总承包管理、专业承包和劳务作业分包主体。本标准的主要内容包括：总则、术语、基本规定、工作职责、专业技能、专业知识、职业能力评价等。</w:t>
            </w:r>
          </w:p>
          <w:p w:rsidR="00780483" w:rsidRDefault="00F8426F">
            <w:pPr>
              <w:textAlignment w:val="center"/>
              <w:rPr>
                <w:rFonts w:ascii="仿宋" w:eastAsia="仿宋" w:hAnsi="仿宋" w:cs="仿宋"/>
                <w:color w:val="000000"/>
                <w:sz w:val="28"/>
                <w:szCs w:val="28"/>
              </w:rPr>
            </w:pPr>
            <w:r>
              <w:rPr>
                <w:rFonts w:ascii="仿宋" w:eastAsia="仿宋" w:hAnsi="仿宋" w:cs="仿宋" w:hint="eastAsia"/>
                <w:b/>
                <w:bCs/>
                <w:color w:val="000000"/>
                <w:sz w:val="28"/>
                <w:szCs w:val="28"/>
              </w:rPr>
              <w:t>特别提示：</w:t>
            </w:r>
            <w:r>
              <w:rPr>
                <w:rFonts w:ascii="仿宋" w:eastAsia="仿宋" w:hAnsi="仿宋" w:cs="仿宋" w:hint="eastAsia"/>
                <w:color w:val="000000"/>
                <w:sz w:val="28"/>
                <w:szCs w:val="28"/>
              </w:rPr>
              <w:t>编制时应围绕“能力”去展开，突出专业能力和技能，避免以劳务员能力标准为名立项，最终却形成劳务员管理标准。</w:t>
            </w:r>
          </w:p>
        </w:tc>
        <w:tc>
          <w:tcPr>
            <w:tcW w:w="2268"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中国建筑业协会建筑供应链与劳务管理分会</w:t>
            </w:r>
          </w:p>
        </w:tc>
        <w:tc>
          <w:tcPr>
            <w:tcW w:w="1134"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2024年10月31日</w:t>
            </w:r>
          </w:p>
        </w:tc>
        <w:tc>
          <w:tcPr>
            <w:tcW w:w="1403"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中国建筑业协会建筑供应链与劳务管理分会</w:t>
            </w:r>
          </w:p>
        </w:tc>
      </w:tr>
      <w:tr w:rsidR="00780483">
        <w:trPr>
          <w:cantSplit/>
          <w:trHeight w:val="4245"/>
          <w:jc w:val="center"/>
        </w:trPr>
        <w:tc>
          <w:tcPr>
            <w:tcW w:w="584" w:type="dxa"/>
            <w:shd w:val="clear" w:color="auto" w:fill="auto"/>
            <w:noWrap/>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t>12</w:t>
            </w:r>
          </w:p>
        </w:tc>
        <w:tc>
          <w:tcPr>
            <w:tcW w:w="1418"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核设施项目超长大体积混凝土结构跳仓施工技术标准</w:t>
            </w:r>
          </w:p>
        </w:tc>
        <w:tc>
          <w:tcPr>
            <w:tcW w:w="567" w:type="dxa"/>
            <w:shd w:val="clear" w:color="auto" w:fill="auto"/>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t>制订</w:t>
            </w:r>
          </w:p>
        </w:tc>
        <w:tc>
          <w:tcPr>
            <w:tcW w:w="6945" w:type="dxa"/>
            <w:shd w:val="clear" w:color="auto" w:fill="auto"/>
            <w:vAlign w:val="center"/>
          </w:tcPr>
          <w:p w:rsidR="00780483" w:rsidRDefault="00F8426F">
            <w:pPr>
              <w:jc w:val="both"/>
              <w:textAlignment w:val="center"/>
              <w:rPr>
                <w:rFonts w:ascii="仿宋" w:eastAsia="仿宋" w:hAnsi="仿宋" w:cs="仿宋"/>
                <w:sz w:val="32"/>
                <w:szCs w:val="32"/>
              </w:rPr>
            </w:pPr>
            <w:r>
              <w:rPr>
                <w:rFonts w:ascii="仿宋" w:eastAsia="仿宋" w:hAnsi="仿宋" w:cs="仿宋" w:hint="eastAsia"/>
                <w:color w:val="000000"/>
                <w:sz w:val="28"/>
                <w:szCs w:val="28"/>
              </w:rPr>
              <w:t>主要针对核设施项目钢筋混凝土结构中的超长、超宽钢筋混凝土基础筏板、楼板类构件，在满足结构伸缩缝最大尺寸的前提下，将超长、超宽构件划分为若干小的浇筑块进行浇筑施工控制，有效避免了超长构件由水化热带来的混凝土构件收缩变形。规定块体间采用跳仓法、后浇带法施工及相邻块体最小浇筑间隔时间。并对块体间的分缝留置方法及超长结构从混凝土原材料、混凝土浇筑、养护、测温等提出了控制要求。</w:t>
            </w:r>
          </w:p>
        </w:tc>
        <w:tc>
          <w:tcPr>
            <w:tcW w:w="2268"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中核华辰建筑工程有限公司</w:t>
            </w:r>
          </w:p>
        </w:tc>
        <w:tc>
          <w:tcPr>
            <w:tcW w:w="1134"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2024年10月31日</w:t>
            </w:r>
          </w:p>
        </w:tc>
        <w:tc>
          <w:tcPr>
            <w:tcW w:w="1403"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中国建筑业协会核工业建设分会</w:t>
            </w:r>
          </w:p>
        </w:tc>
      </w:tr>
      <w:tr w:rsidR="00780483">
        <w:trPr>
          <w:cantSplit/>
          <w:trHeight w:val="3326"/>
          <w:jc w:val="center"/>
        </w:trPr>
        <w:tc>
          <w:tcPr>
            <w:tcW w:w="584" w:type="dxa"/>
            <w:shd w:val="clear" w:color="auto" w:fill="auto"/>
            <w:noWrap/>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lastRenderedPageBreak/>
              <w:t>13</w:t>
            </w:r>
          </w:p>
        </w:tc>
        <w:tc>
          <w:tcPr>
            <w:tcW w:w="1418"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地下核设施结构隔水层施工技术规程</w:t>
            </w:r>
          </w:p>
        </w:tc>
        <w:tc>
          <w:tcPr>
            <w:tcW w:w="567" w:type="dxa"/>
            <w:shd w:val="clear" w:color="auto" w:fill="auto"/>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t>制订</w:t>
            </w:r>
          </w:p>
        </w:tc>
        <w:tc>
          <w:tcPr>
            <w:tcW w:w="6945"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适用于地下核设施结构外侧隔水层施工，对于地下核设施结构外侧隔水层施工质量控制，做出具体验收要求。本标准针对隔水层施工实际过程中，对于施工原材料选择、隔水层施工准备工作、施工技术要求、质量控制要求做出明确规定。本标准对于提高核设施结构隔水层施工质量，杜绝核设施废料污染环境的风险，保证核设施项目安全等级要求具有重要的意义。</w:t>
            </w:r>
          </w:p>
        </w:tc>
        <w:tc>
          <w:tcPr>
            <w:tcW w:w="2268"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中核华辰建筑工程有限公司</w:t>
            </w:r>
          </w:p>
        </w:tc>
        <w:tc>
          <w:tcPr>
            <w:tcW w:w="1134"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2024年10月31日</w:t>
            </w:r>
          </w:p>
        </w:tc>
        <w:tc>
          <w:tcPr>
            <w:tcW w:w="1403"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中国建筑业协会核工业建设分会</w:t>
            </w:r>
          </w:p>
        </w:tc>
      </w:tr>
      <w:tr w:rsidR="00780483">
        <w:trPr>
          <w:cantSplit/>
          <w:trHeight w:val="4251"/>
          <w:jc w:val="center"/>
        </w:trPr>
        <w:tc>
          <w:tcPr>
            <w:tcW w:w="584" w:type="dxa"/>
            <w:shd w:val="clear" w:color="auto" w:fill="auto"/>
            <w:noWrap/>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t>14</w:t>
            </w:r>
          </w:p>
        </w:tc>
        <w:tc>
          <w:tcPr>
            <w:tcW w:w="1418"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基于无线数据传输的大体积混凝土测温技术标准</w:t>
            </w:r>
          </w:p>
        </w:tc>
        <w:tc>
          <w:tcPr>
            <w:tcW w:w="567" w:type="dxa"/>
            <w:shd w:val="clear" w:color="auto" w:fill="auto"/>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t>制订</w:t>
            </w:r>
          </w:p>
        </w:tc>
        <w:tc>
          <w:tcPr>
            <w:tcW w:w="6945"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《基于无线数据传输的大体积混凝土测温技术标准》是对国家规范《大体积混凝土温度测控技术规范（GB/T 51028-2015）》的补充和具体化。标准针对无线测温施工实际，规定了无线传输测温的基本规定、一般要求、器材选择及浸水校准、测点布置及传感器安装、测温异常及测温控制、测温数据处理及报告要求。本标准适用于大型建筑工程大体积混凝土施工测温工作、测温控制及数据处理，有助于提高工作效率，保证测温数据质量，进而达到温度控制目标。</w:t>
            </w:r>
          </w:p>
          <w:p w:rsidR="00780483" w:rsidRDefault="00F8426F">
            <w:pPr>
              <w:textAlignment w:val="center"/>
              <w:rPr>
                <w:rFonts w:ascii="仿宋" w:eastAsia="仿宋" w:hAnsi="仿宋" w:cs="仿宋"/>
                <w:color w:val="000000"/>
                <w:sz w:val="28"/>
                <w:szCs w:val="28"/>
              </w:rPr>
            </w:pPr>
            <w:r>
              <w:rPr>
                <w:rFonts w:ascii="仿宋" w:eastAsia="仿宋" w:hAnsi="仿宋" w:cs="仿宋" w:hint="eastAsia"/>
                <w:b/>
                <w:bCs/>
                <w:color w:val="000000"/>
                <w:sz w:val="28"/>
                <w:szCs w:val="28"/>
              </w:rPr>
              <w:t>特别提示：</w:t>
            </w:r>
            <w:r>
              <w:rPr>
                <w:rFonts w:ascii="仿宋" w:eastAsia="仿宋" w:hAnsi="仿宋" w:cs="仿宋" w:hint="eastAsia"/>
                <w:color w:val="000000"/>
                <w:sz w:val="28"/>
                <w:szCs w:val="28"/>
              </w:rPr>
              <w:t>编制时应立足于先进技术的应用，以突出中国建筑业协会团体标准的先进性。</w:t>
            </w:r>
          </w:p>
        </w:tc>
        <w:tc>
          <w:tcPr>
            <w:tcW w:w="2268"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1、中核华辰建筑工程有限公司</w:t>
            </w:r>
            <w:r>
              <w:rPr>
                <w:rFonts w:ascii="仿宋" w:eastAsia="仿宋" w:hAnsi="仿宋" w:cs="仿宋" w:hint="eastAsia"/>
                <w:color w:val="000000"/>
                <w:sz w:val="28"/>
                <w:szCs w:val="28"/>
              </w:rPr>
              <w:br/>
              <w:t>2、兰州理工大学土木工程学院</w:t>
            </w:r>
          </w:p>
        </w:tc>
        <w:tc>
          <w:tcPr>
            <w:tcW w:w="1134"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2024年10月31日</w:t>
            </w:r>
          </w:p>
        </w:tc>
        <w:tc>
          <w:tcPr>
            <w:tcW w:w="1403"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中国建筑业协会核工业建设分会</w:t>
            </w:r>
          </w:p>
        </w:tc>
      </w:tr>
      <w:tr w:rsidR="00780483">
        <w:trPr>
          <w:cantSplit/>
          <w:trHeight w:val="1456"/>
          <w:jc w:val="center"/>
        </w:trPr>
        <w:tc>
          <w:tcPr>
            <w:tcW w:w="584" w:type="dxa"/>
            <w:shd w:val="clear" w:color="auto" w:fill="auto"/>
            <w:noWrap/>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lastRenderedPageBreak/>
              <w:t>15</w:t>
            </w:r>
          </w:p>
        </w:tc>
        <w:tc>
          <w:tcPr>
            <w:tcW w:w="1418"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建设项目工程总承包管理实施标准</w:t>
            </w:r>
          </w:p>
        </w:tc>
        <w:tc>
          <w:tcPr>
            <w:tcW w:w="567" w:type="dxa"/>
            <w:shd w:val="clear" w:color="auto" w:fill="auto"/>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t>制订</w:t>
            </w:r>
          </w:p>
        </w:tc>
        <w:tc>
          <w:tcPr>
            <w:tcW w:w="6945"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主要围绕设计、采购、施工、试运行全过程，针对建设工程项目的项目管理策划、进度计划管理、质量管理、资源管理、沟通管理、安全管理、成本管理、信息技术等方面进行管理设定，应用规程的可操作性方法，形成一个有机的过程总承包项目管理体系，体现管理与技术相结合的原则，力求内容科学、实用、技术含量高、系统性强。内容重点突出施工企业的特点，展现工程总承包项目管理的本质特征，引领施工企业实施工程总承包项目管理的基本方向。</w:t>
            </w:r>
          </w:p>
        </w:tc>
        <w:tc>
          <w:tcPr>
            <w:tcW w:w="2268"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1、中国建筑业协会工程项目管理与建造师分会</w:t>
            </w:r>
            <w:r>
              <w:rPr>
                <w:rFonts w:ascii="仿宋" w:eastAsia="仿宋" w:hAnsi="仿宋" w:cs="仿宋" w:hint="eastAsia"/>
                <w:color w:val="000000"/>
                <w:sz w:val="28"/>
                <w:szCs w:val="28"/>
              </w:rPr>
              <w:br/>
              <w:t>2、中国建筑第八工程局有限公司</w:t>
            </w:r>
          </w:p>
        </w:tc>
        <w:tc>
          <w:tcPr>
            <w:tcW w:w="1134"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2024年10月31日</w:t>
            </w:r>
          </w:p>
        </w:tc>
        <w:tc>
          <w:tcPr>
            <w:tcW w:w="1403"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中国建筑业协会工程项目管理与建造师分会</w:t>
            </w:r>
          </w:p>
        </w:tc>
      </w:tr>
      <w:tr w:rsidR="00780483">
        <w:trPr>
          <w:cantSplit/>
          <w:trHeight w:val="2334"/>
          <w:jc w:val="center"/>
        </w:trPr>
        <w:tc>
          <w:tcPr>
            <w:tcW w:w="584" w:type="dxa"/>
            <w:shd w:val="clear" w:color="auto" w:fill="auto"/>
            <w:noWrap/>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t>16</w:t>
            </w:r>
          </w:p>
        </w:tc>
        <w:tc>
          <w:tcPr>
            <w:tcW w:w="1418"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注册建造师资信评价及管理标准</w:t>
            </w:r>
          </w:p>
        </w:tc>
        <w:tc>
          <w:tcPr>
            <w:tcW w:w="567" w:type="dxa"/>
            <w:shd w:val="clear" w:color="auto" w:fill="auto"/>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t>制订</w:t>
            </w:r>
          </w:p>
        </w:tc>
        <w:tc>
          <w:tcPr>
            <w:tcW w:w="6945"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规定了注册建造师资信评价的目的、原则；评价维度构成；评价方法、程序；评价的实施单位；评价结果应用；评价的平台载体；评价数据回馈等。</w:t>
            </w:r>
          </w:p>
        </w:tc>
        <w:tc>
          <w:tcPr>
            <w:tcW w:w="2268"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1、中国建筑业协会工程项目管理与建造师分会</w:t>
            </w:r>
            <w:r>
              <w:rPr>
                <w:rFonts w:ascii="仿宋" w:eastAsia="仿宋" w:hAnsi="仿宋" w:cs="仿宋" w:hint="eastAsia"/>
                <w:color w:val="000000"/>
                <w:sz w:val="28"/>
                <w:szCs w:val="28"/>
              </w:rPr>
              <w:br/>
              <w:t>2、北京市建筑业联合会</w:t>
            </w:r>
          </w:p>
        </w:tc>
        <w:tc>
          <w:tcPr>
            <w:tcW w:w="1134"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2024年10月31日</w:t>
            </w:r>
          </w:p>
        </w:tc>
        <w:tc>
          <w:tcPr>
            <w:tcW w:w="1403"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中国建筑业协会工程项目管理与建造师分会</w:t>
            </w:r>
          </w:p>
        </w:tc>
      </w:tr>
      <w:tr w:rsidR="00780483">
        <w:trPr>
          <w:cantSplit/>
          <w:trHeight w:val="4486"/>
          <w:jc w:val="center"/>
        </w:trPr>
        <w:tc>
          <w:tcPr>
            <w:tcW w:w="584" w:type="dxa"/>
            <w:shd w:val="clear" w:color="auto" w:fill="auto"/>
            <w:noWrap/>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lastRenderedPageBreak/>
              <w:t>17</w:t>
            </w:r>
          </w:p>
        </w:tc>
        <w:tc>
          <w:tcPr>
            <w:tcW w:w="1418"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金属屋面光伏安装工程技术规程</w:t>
            </w:r>
          </w:p>
        </w:tc>
        <w:tc>
          <w:tcPr>
            <w:tcW w:w="567" w:type="dxa"/>
            <w:shd w:val="clear" w:color="auto" w:fill="auto"/>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t>制订</w:t>
            </w:r>
          </w:p>
        </w:tc>
        <w:tc>
          <w:tcPr>
            <w:tcW w:w="6945"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对在新建、扩建、改建和既有建筑金属屋面安装光伏发电组件的工程设计、施工、质量验收、使用与维护的标准化架构进行了顶层设计。强化产品设计、工艺策划、材料、构造与细部节点处理、 施工、质量验收、使用与维护等过程的控制，编制金属屋面光伏安装工程技术规程。</w:t>
            </w:r>
          </w:p>
          <w:p w:rsidR="00780483" w:rsidRDefault="00F8426F">
            <w:pPr>
              <w:textAlignment w:val="center"/>
              <w:rPr>
                <w:rFonts w:ascii="仿宋" w:eastAsia="仿宋" w:hAnsi="仿宋" w:cs="仿宋"/>
                <w:b/>
                <w:bCs/>
                <w:color w:val="000000"/>
                <w:sz w:val="28"/>
                <w:szCs w:val="28"/>
              </w:rPr>
            </w:pPr>
            <w:r>
              <w:rPr>
                <w:rFonts w:ascii="仿宋" w:eastAsia="仿宋" w:hAnsi="仿宋" w:cs="仿宋" w:hint="eastAsia"/>
                <w:b/>
                <w:bCs/>
                <w:color w:val="000000"/>
                <w:sz w:val="28"/>
                <w:szCs w:val="28"/>
              </w:rPr>
              <w:t>特别提示：</w:t>
            </w:r>
          </w:p>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1、要考虑明确金属屋面与其他屋面形式的区别。</w:t>
            </w:r>
          </w:p>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2、要考虑光伏屋面荷载设计应属于设计规范应考虑的内容，放在此标准中是否合适。</w:t>
            </w:r>
          </w:p>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3、需增加设计单位参编。</w:t>
            </w:r>
          </w:p>
        </w:tc>
        <w:tc>
          <w:tcPr>
            <w:tcW w:w="2268"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河南天丰钢结构建设有限公司</w:t>
            </w:r>
          </w:p>
        </w:tc>
        <w:tc>
          <w:tcPr>
            <w:tcW w:w="1134"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2024年10月31日</w:t>
            </w:r>
          </w:p>
        </w:tc>
        <w:tc>
          <w:tcPr>
            <w:tcW w:w="1403"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中国建筑业协会钢木建筑分会</w:t>
            </w:r>
          </w:p>
        </w:tc>
      </w:tr>
      <w:tr w:rsidR="00780483">
        <w:trPr>
          <w:cantSplit/>
          <w:trHeight w:val="3043"/>
          <w:jc w:val="center"/>
        </w:trPr>
        <w:tc>
          <w:tcPr>
            <w:tcW w:w="584" w:type="dxa"/>
            <w:shd w:val="clear" w:color="auto" w:fill="auto"/>
            <w:noWrap/>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t>18</w:t>
            </w:r>
          </w:p>
        </w:tc>
        <w:tc>
          <w:tcPr>
            <w:tcW w:w="1418"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钢桥制造及安装企业质量管理水平评价标准</w:t>
            </w:r>
          </w:p>
        </w:tc>
        <w:tc>
          <w:tcPr>
            <w:tcW w:w="567" w:type="dxa"/>
            <w:shd w:val="clear" w:color="auto" w:fill="auto"/>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t>制订</w:t>
            </w:r>
          </w:p>
        </w:tc>
        <w:tc>
          <w:tcPr>
            <w:tcW w:w="6945"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依据钢结构桥梁制造及安装行业特点，结合今后钢结构专业承包资质转并建筑施工总承包资质的现状，制订钢桥制造及安装企业质量管理水平评价标准，按照标准要求对本行业企业质量管理实施定量和定性评价。同时树立行业企业质量管理标杆，通过促进行业企业共同提升质量管理水平，从而保证钢桥的制作及安装水平，助推行业发展。</w:t>
            </w:r>
          </w:p>
        </w:tc>
        <w:tc>
          <w:tcPr>
            <w:tcW w:w="2268"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1、中国建筑业协会钢木建筑分会</w:t>
            </w:r>
            <w:r>
              <w:rPr>
                <w:rFonts w:ascii="仿宋" w:eastAsia="仿宋" w:hAnsi="仿宋" w:cs="仿宋" w:hint="eastAsia"/>
                <w:color w:val="000000"/>
                <w:sz w:val="28"/>
                <w:szCs w:val="28"/>
              </w:rPr>
              <w:br/>
              <w:t>2、中交第二航务工程局有限公司</w:t>
            </w:r>
          </w:p>
        </w:tc>
        <w:tc>
          <w:tcPr>
            <w:tcW w:w="1134"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2024年10月31日</w:t>
            </w:r>
          </w:p>
        </w:tc>
        <w:tc>
          <w:tcPr>
            <w:tcW w:w="1403"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中国建筑业协会钢木建筑分会</w:t>
            </w:r>
          </w:p>
        </w:tc>
      </w:tr>
      <w:tr w:rsidR="00780483">
        <w:trPr>
          <w:cantSplit/>
          <w:trHeight w:val="3695"/>
          <w:jc w:val="center"/>
        </w:trPr>
        <w:tc>
          <w:tcPr>
            <w:tcW w:w="584" w:type="dxa"/>
            <w:shd w:val="clear" w:color="auto" w:fill="auto"/>
            <w:noWrap/>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lastRenderedPageBreak/>
              <w:t>19</w:t>
            </w:r>
          </w:p>
        </w:tc>
        <w:tc>
          <w:tcPr>
            <w:tcW w:w="1418"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建设工程承插型盘扣式模板支撑架与作业脚手架施工技术标准</w:t>
            </w:r>
          </w:p>
        </w:tc>
        <w:tc>
          <w:tcPr>
            <w:tcW w:w="567" w:type="dxa"/>
            <w:shd w:val="clear" w:color="auto" w:fill="auto"/>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t>制订</w:t>
            </w:r>
          </w:p>
        </w:tc>
        <w:tc>
          <w:tcPr>
            <w:tcW w:w="6945"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本标准的主要技术内容是：总则、术语和符号、基本规定、.模板支撑架施工排布设计、作业脚手架施工排布设计、构造措施、方案编制、施工附图、施工管理、检查验收、安全监测、档案管理。</w:t>
            </w:r>
          </w:p>
        </w:tc>
        <w:tc>
          <w:tcPr>
            <w:tcW w:w="2268"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1、昊基工程建设（江苏）有限公司</w:t>
            </w:r>
            <w:r>
              <w:rPr>
                <w:rFonts w:ascii="仿宋" w:eastAsia="仿宋" w:hAnsi="仿宋" w:cs="仿宋" w:hint="eastAsia"/>
                <w:color w:val="000000"/>
                <w:sz w:val="28"/>
                <w:szCs w:val="28"/>
              </w:rPr>
              <w:br/>
              <w:t>2、江苏建研设计研究有限公司</w:t>
            </w:r>
          </w:p>
        </w:tc>
        <w:tc>
          <w:tcPr>
            <w:tcW w:w="1134"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2024年10月31日</w:t>
            </w:r>
          </w:p>
        </w:tc>
        <w:tc>
          <w:tcPr>
            <w:tcW w:w="1403"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中国建筑业协会中小企业分会</w:t>
            </w:r>
          </w:p>
        </w:tc>
      </w:tr>
      <w:tr w:rsidR="00780483">
        <w:trPr>
          <w:cantSplit/>
          <w:trHeight w:val="2759"/>
          <w:jc w:val="center"/>
        </w:trPr>
        <w:tc>
          <w:tcPr>
            <w:tcW w:w="584" w:type="dxa"/>
            <w:shd w:val="clear" w:color="auto" w:fill="auto"/>
            <w:noWrap/>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t>20</w:t>
            </w:r>
          </w:p>
        </w:tc>
        <w:tc>
          <w:tcPr>
            <w:tcW w:w="1418"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盾构法隧道端头加固施工技术规程</w:t>
            </w:r>
          </w:p>
        </w:tc>
        <w:tc>
          <w:tcPr>
            <w:tcW w:w="567" w:type="dxa"/>
            <w:shd w:val="clear" w:color="auto" w:fill="auto"/>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t>制订</w:t>
            </w:r>
          </w:p>
        </w:tc>
        <w:tc>
          <w:tcPr>
            <w:tcW w:w="6945"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目前轨道交通中利用盾构法施工的项目越来越多，盾构法具有安全、快速、沉降小等优点，盾构始发、接收一般采用地面垂直注浆法加固、旋喷桩法加固、深层搅拌桩法加固、旋挖素混凝土桩法、洞内水平注浆法、冷冻法加固等施工工法，本标准主要针对以上方法制定相应的技术标准参数。</w:t>
            </w:r>
          </w:p>
        </w:tc>
        <w:tc>
          <w:tcPr>
            <w:tcW w:w="2268"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1、北京城建中南土木工程集团有限公司</w:t>
            </w:r>
            <w:r>
              <w:rPr>
                <w:rFonts w:ascii="仿宋" w:eastAsia="仿宋" w:hAnsi="仿宋" w:cs="仿宋" w:hint="eastAsia"/>
                <w:color w:val="000000"/>
                <w:sz w:val="28"/>
                <w:szCs w:val="28"/>
              </w:rPr>
              <w:br/>
              <w:t>2、北京城建集团有限责任公司</w:t>
            </w:r>
          </w:p>
        </w:tc>
        <w:tc>
          <w:tcPr>
            <w:tcW w:w="1134"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2024年10月31日</w:t>
            </w:r>
          </w:p>
        </w:tc>
        <w:tc>
          <w:tcPr>
            <w:tcW w:w="1403"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中国建筑业协会深基础与地下空间工程分会</w:t>
            </w:r>
          </w:p>
        </w:tc>
      </w:tr>
      <w:tr w:rsidR="00780483">
        <w:trPr>
          <w:cantSplit/>
          <w:trHeight w:val="4243"/>
          <w:jc w:val="center"/>
        </w:trPr>
        <w:tc>
          <w:tcPr>
            <w:tcW w:w="584" w:type="dxa"/>
            <w:shd w:val="clear" w:color="auto" w:fill="auto"/>
            <w:noWrap/>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lastRenderedPageBreak/>
              <w:t>21</w:t>
            </w:r>
          </w:p>
        </w:tc>
        <w:tc>
          <w:tcPr>
            <w:tcW w:w="1418"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建筑深基坑工程施工安全管理标准</w:t>
            </w:r>
          </w:p>
        </w:tc>
        <w:tc>
          <w:tcPr>
            <w:tcW w:w="567" w:type="dxa"/>
            <w:shd w:val="clear" w:color="auto" w:fill="auto"/>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t>制订</w:t>
            </w:r>
          </w:p>
        </w:tc>
        <w:tc>
          <w:tcPr>
            <w:tcW w:w="6945"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本标准主要内容包括：总则、术语、基本规定、作业环境调查与作业条件验收、施工安全专项方案、支护结构施工安全检查与验收、地下水与地表水控制作业安全检查与验收、土石方开挖工程施工安全检查与验收、特殊性土基坑工程施工安全检查与验收、深基坑监测、基坑安全使用与维护。</w:t>
            </w:r>
          </w:p>
          <w:p w:rsidR="00780483" w:rsidRDefault="00F8426F">
            <w:pPr>
              <w:textAlignment w:val="center"/>
              <w:rPr>
                <w:rFonts w:ascii="仿宋" w:eastAsia="仿宋" w:hAnsi="仿宋" w:cs="仿宋"/>
                <w:color w:val="000000"/>
                <w:sz w:val="28"/>
                <w:szCs w:val="28"/>
              </w:rPr>
            </w:pPr>
            <w:r>
              <w:rPr>
                <w:rFonts w:ascii="仿宋" w:eastAsia="仿宋" w:hAnsi="仿宋" w:cs="仿宋" w:hint="eastAsia"/>
                <w:b/>
                <w:bCs/>
                <w:color w:val="000000"/>
                <w:sz w:val="28"/>
                <w:szCs w:val="28"/>
              </w:rPr>
              <w:t>特别提示：</w:t>
            </w:r>
            <w:r>
              <w:rPr>
                <w:rFonts w:ascii="仿宋" w:eastAsia="仿宋" w:hAnsi="仿宋" w:cs="仿宋" w:hint="eastAsia"/>
                <w:color w:val="000000"/>
                <w:sz w:val="28"/>
                <w:szCs w:val="28"/>
              </w:rPr>
              <w:t>安全设施可以验收，而施工安全本身是动态的，谈安全验收不合适，对安全管理进行标准化，提出规定和要求，形成标准是可行的。</w:t>
            </w:r>
          </w:p>
        </w:tc>
        <w:tc>
          <w:tcPr>
            <w:tcW w:w="2268"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1、北京城建中南土木工程集团有限公司</w:t>
            </w:r>
            <w:r>
              <w:rPr>
                <w:rFonts w:ascii="仿宋" w:eastAsia="仿宋" w:hAnsi="仿宋" w:cs="仿宋" w:hint="eastAsia"/>
                <w:color w:val="000000"/>
                <w:sz w:val="28"/>
                <w:szCs w:val="28"/>
              </w:rPr>
              <w:br/>
              <w:t>2、北京中睿育博技术咨询有限公司</w:t>
            </w:r>
          </w:p>
        </w:tc>
        <w:tc>
          <w:tcPr>
            <w:tcW w:w="1134"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2024年10月31日</w:t>
            </w:r>
          </w:p>
        </w:tc>
        <w:tc>
          <w:tcPr>
            <w:tcW w:w="1403"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中国建筑业协会深基础与地下空间工程分会</w:t>
            </w:r>
          </w:p>
        </w:tc>
      </w:tr>
      <w:tr w:rsidR="00780483">
        <w:trPr>
          <w:cantSplit/>
          <w:trHeight w:val="3184"/>
          <w:jc w:val="center"/>
        </w:trPr>
        <w:tc>
          <w:tcPr>
            <w:tcW w:w="584" w:type="dxa"/>
            <w:shd w:val="clear" w:color="auto" w:fill="auto"/>
            <w:noWrap/>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t>22</w:t>
            </w:r>
          </w:p>
        </w:tc>
        <w:tc>
          <w:tcPr>
            <w:tcW w:w="1418"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逆作法钢管柱施工技术规程</w:t>
            </w:r>
          </w:p>
        </w:tc>
        <w:tc>
          <w:tcPr>
            <w:tcW w:w="567" w:type="dxa"/>
            <w:shd w:val="clear" w:color="auto" w:fill="auto"/>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t>制订</w:t>
            </w:r>
          </w:p>
        </w:tc>
        <w:tc>
          <w:tcPr>
            <w:tcW w:w="6945"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建筑工程逆作法施工技术在地下空间开发中应用越来越广泛，逆作法施工阶段竖向承重体系由先期施工的竖向支撑桩、柱组成，支撑桩、柱一般与主体结构结合起来。竖向支撑柱一般可采用先插法或后插法进行施工，对于此类一柱一桩的施工有着成孔垂直度要求高、沉渣厚度控制严格、钢管柱安装精度要求高等技术特点，施工中必须严格控制，逆作法钢管柱施工技术规程旨在规范钢管柱安装施工技术。</w:t>
            </w:r>
          </w:p>
        </w:tc>
        <w:tc>
          <w:tcPr>
            <w:tcW w:w="2268"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1、北京城建集团有限责任公司</w:t>
            </w:r>
            <w:r>
              <w:rPr>
                <w:rFonts w:ascii="仿宋" w:eastAsia="仿宋" w:hAnsi="仿宋" w:cs="仿宋" w:hint="eastAsia"/>
                <w:color w:val="000000"/>
                <w:sz w:val="28"/>
                <w:szCs w:val="28"/>
              </w:rPr>
              <w:br/>
              <w:t>2、北京城建中南土木工程集团有限公司</w:t>
            </w:r>
          </w:p>
        </w:tc>
        <w:tc>
          <w:tcPr>
            <w:tcW w:w="1134"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2024年10月31日</w:t>
            </w:r>
          </w:p>
        </w:tc>
        <w:tc>
          <w:tcPr>
            <w:tcW w:w="1403"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中国建筑业协会深基础与地下空间工程分会</w:t>
            </w:r>
          </w:p>
        </w:tc>
      </w:tr>
      <w:tr w:rsidR="00780483">
        <w:trPr>
          <w:cantSplit/>
          <w:trHeight w:val="4250"/>
          <w:jc w:val="center"/>
        </w:trPr>
        <w:tc>
          <w:tcPr>
            <w:tcW w:w="584" w:type="dxa"/>
            <w:shd w:val="clear" w:color="auto" w:fill="auto"/>
            <w:noWrap/>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lastRenderedPageBreak/>
              <w:t>23</w:t>
            </w:r>
          </w:p>
        </w:tc>
        <w:tc>
          <w:tcPr>
            <w:tcW w:w="1418"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轨道交通工程施工测量技术标准</w:t>
            </w:r>
          </w:p>
        </w:tc>
        <w:tc>
          <w:tcPr>
            <w:tcW w:w="567" w:type="dxa"/>
            <w:shd w:val="clear" w:color="auto" w:fill="auto"/>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t>制订</w:t>
            </w:r>
          </w:p>
        </w:tc>
        <w:tc>
          <w:tcPr>
            <w:tcW w:w="6945"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 xml:space="preserve">根据轨道交通暗挖车站及区间工程建设各个阶段对工程测量的要求，在全国各地工程建设中工程测量实例数据分析的基础上，结合全国城市轨道交通发展的特点和方向，制定符合暗挖工程特点的轨道交通工程测量技术标准。 </w:t>
            </w:r>
          </w:p>
          <w:p w:rsidR="00780483" w:rsidRDefault="00F8426F">
            <w:pPr>
              <w:textAlignment w:val="center"/>
              <w:rPr>
                <w:rFonts w:ascii="仿宋" w:eastAsia="仿宋" w:hAnsi="仿宋" w:cs="仿宋"/>
                <w:b/>
                <w:bCs/>
                <w:color w:val="000000"/>
                <w:sz w:val="28"/>
                <w:szCs w:val="28"/>
              </w:rPr>
            </w:pPr>
            <w:r>
              <w:rPr>
                <w:rFonts w:ascii="仿宋" w:eastAsia="仿宋" w:hAnsi="仿宋" w:cs="仿宋" w:hint="eastAsia"/>
                <w:b/>
                <w:bCs/>
                <w:color w:val="000000"/>
                <w:sz w:val="28"/>
                <w:szCs w:val="28"/>
              </w:rPr>
              <w:t>特别提示：</w:t>
            </w:r>
          </w:p>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1、编制时要突出自身标准的创新性，不应仅满足于对现行国标的补充。</w:t>
            </w:r>
          </w:p>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2、现在的测量规范针对性不足，甲方要求有时候不切实际，与施工实际情况大相径庭，本标准在编制时，可对此有针对性提出规定和要求。</w:t>
            </w:r>
          </w:p>
        </w:tc>
        <w:tc>
          <w:tcPr>
            <w:tcW w:w="2268"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1、北京城建勘测设计研究院有限公司</w:t>
            </w:r>
            <w:r>
              <w:rPr>
                <w:rFonts w:ascii="仿宋" w:eastAsia="仿宋" w:hAnsi="仿宋" w:cs="仿宋" w:hint="eastAsia"/>
                <w:color w:val="000000"/>
                <w:sz w:val="28"/>
                <w:szCs w:val="28"/>
              </w:rPr>
              <w:br/>
              <w:t>2、北京中睿育博技术咨询有限公司</w:t>
            </w:r>
          </w:p>
        </w:tc>
        <w:tc>
          <w:tcPr>
            <w:tcW w:w="1134"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2024年10月31日</w:t>
            </w:r>
          </w:p>
        </w:tc>
        <w:tc>
          <w:tcPr>
            <w:tcW w:w="1403"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中国建筑业协会深基础与地下空间工程分会</w:t>
            </w:r>
          </w:p>
        </w:tc>
      </w:tr>
      <w:tr w:rsidR="00780483">
        <w:trPr>
          <w:cantSplit/>
          <w:trHeight w:val="2192"/>
          <w:jc w:val="center"/>
        </w:trPr>
        <w:tc>
          <w:tcPr>
            <w:tcW w:w="584" w:type="dxa"/>
            <w:shd w:val="clear" w:color="auto" w:fill="auto"/>
            <w:noWrap/>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t>24</w:t>
            </w:r>
          </w:p>
        </w:tc>
        <w:tc>
          <w:tcPr>
            <w:tcW w:w="1418"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预制薄壁U型梁施工技术规程</w:t>
            </w:r>
          </w:p>
        </w:tc>
        <w:tc>
          <w:tcPr>
            <w:tcW w:w="567" w:type="dxa"/>
            <w:shd w:val="clear" w:color="auto" w:fill="auto"/>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t>制订</w:t>
            </w:r>
          </w:p>
        </w:tc>
        <w:tc>
          <w:tcPr>
            <w:tcW w:w="6945"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内容包括总则、术语、基本规定、施工准备、薄壁U梁预制、薄壁U梁架设、质量验收、附录及条文说明。</w:t>
            </w:r>
          </w:p>
        </w:tc>
        <w:tc>
          <w:tcPr>
            <w:tcW w:w="2268"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1、北京城建中南土木工程集团有限公司</w:t>
            </w:r>
            <w:r>
              <w:rPr>
                <w:rFonts w:ascii="仿宋" w:eastAsia="仿宋" w:hAnsi="仿宋" w:cs="仿宋" w:hint="eastAsia"/>
                <w:color w:val="000000"/>
                <w:sz w:val="28"/>
                <w:szCs w:val="28"/>
              </w:rPr>
              <w:br/>
              <w:t>2、南京地铁建设有限责任公司</w:t>
            </w:r>
          </w:p>
        </w:tc>
        <w:tc>
          <w:tcPr>
            <w:tcW w:w="1134"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2024年10月31日</w:t>
            </w:r>
          </w:p>
        </w:tc>
        <w:tc>
          <w:tcPr>
            <w:tcW w:w="1403"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中国建筑业协会深基础与地下空间工程分会</w:t>
            </w:r>
          </w:p>
        </w:tc>
      </w:tr>
      <w:tr w:rsidR="00780483">
        <w:trPr>
          <w:cantSplit/>
          <w:trHeight w:val="3591"/>
          <w:jc w:val="center"/>
        </w:trPr>
        <w:tc>
          <w:tcPr>
            <w:tcW w:w="584" w:type="dxa"/>
            <w:shd w:val="clear" w:color="auto" w:fill="auto"/>
            <w:noWrap/>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lastRenderedPageBreak/>
              <w:t>25</w:t>
            </w:r>
          </w:p>
        </w:tc>
        <w:tc>
          <w:tcPr>
            <w:tcW w:w="1418"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陶瓷砖抛光微粉混凝土应用技术规程</w:t>
            </w:r>
          </w:p>
        </w:tc>
        <w:tc>
          <w:tcPr>
            <w:tcW w:w="567" w:type="dxa"/>
            <w:shd w:val="clear" w:color="auto" w:fill="auto"/>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t>制订</w:t>
            </w:r>
          </w:p>
        </w:tc>
        <w:tc>
          <w:tcPr>
            <w:tcW w:w="6945"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陶瓷抛光砖生产时，会产生大量由废渣粉末和水组成的泥浆，将陶瓷砖抛光泥浆烘干分选处理得到的具有一定细度和水化活性的粉体材料称之为陶瓷砖抛光微粉。2018年我国颁布了建材行业标准《用于水泥和混凝土中的陶瓷砖抛光微粉》（JC/T2473），但缺乏如何将陶瓷砖抛光微粉制备成质量合格的普通混凝土，以及如何将其合理应用到工程项目中的技术标准。该规程的编制，旨在指导和规范陶瓷砖抛光微粉的检验与验收、混凝土的制备与施工中应用，促进陶瓷砖抛光废渣的高效利用，确保混凝土的工程质量。</w:t>
            </w:r>
          </w:p>
        </w:tc>
        <w:tc>
          <w:tcPr>
            <w:tcW w:w="2268"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1、中建一局集团建设发展有限公司</w:t>
            </w:r>
            <w:r>
              <w:rPr>
                <w:rFonts w:ascii="仿宋" w:eastAsia="仿宋" w:hAnsi="仿宋" w:cs="仿宋" w:hint="eastAsia"/>
                <w:color w:val="000000"/>
                <w:sz w:val="28"/>
                <w:szCs w:val="28"/>
              </w:rPr>
              <w:br/>
              <w:t>2、佛山市汇江混凝土有限公司</w:t>
            </w:r>
          </w:p>
        </w:tc>
        <w:tc>
          <w:tcPr>
            <w:tcW w:w="1134"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2024年10月31日</w:t>
            </w:r>
          </w:p>
        </w:tc>
        <w:tc>
          <w:tcPr>
            <w:tcW w:w="1403"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中国建筑业协会工程技术与BIM应用分会</w:t>
            </w:r>
          </w:p>
        </w:tc>
      </w:tr>
      <w:tr w:rsidR="00780483">
        <w:trPr>
          <w:cantSplit/>
          <w:trHeight w:val="3912"/>
          <w:jc w:val="center"/>
        </w:trPr>
        <w:tc>
          <w:tcPr>
            <w:tcW w:w="584" w:type="dxa"/>
            <w:shd w:val="clear" w:color="auto" w:fill="auto"/>
            <w:noWrap/>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t>26</w:t>
            </w:r>
          </w:p>
        </w:tc>
        <w:tc>
          <w:tcPr>
            <w:tcW w:w="1418"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城市河湖生态治理技术标准</w:t>
            </w:r>
          </w:p>
        </w:tc>
        <w:tc>
          <w:tcPr>
            <w:tcW w:w="567" w:type="dxa"/>
            <w:shd w:val="clear" w:color="auto" w:fill="auto"/>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t>制订</w:t>
            </w:r>
          </w:p>
        </w:tc>
        <w:tc>
          <w:tcPr>
            <w:tcW w:w="6945"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河湖水体生态治理是受污染水体在控源截污工作基本完成、水质得到初步提升之后的水质长效保持阶段重点关注的工作。本标准所述的河湖生态治理技术包含河湖生态治理中涉及到的技术以及河湖水质的生态净化技术。标准全篇将包含7个章节，主要技术内容包括：总则、术语、基本规定、河湖生态环境现状调查与诊断、河湖类型划分及治理模式、生态治理常用技术、工程长效管理和养护。</w:t>
            </w:r>
            <w:r>
              <w:rPr>
                <w:rFonts w:ascii="仿宋" w:eastAsia="仿宋" w:hAnsi="仿宋" w:cs="仿宋" w:hint="eastAsia"/>
                <w:color w:val="000000"/>
                <w:sz w:val="28"/>
                <w:szCs w:val="28"/>
              </w:rPr>
              <w:br/>
            </w:r>
            <w:r>
              <w:rPr>
                <w:rFonts w:ascii="仿宋" w:eastAsia="仿宋" w:hAnsi="仿宋" w:cs="仿宋" w:hint="eastAsia"/>
                <w:b/>
                <w:bCs/>
                <w:color w:val="000000"/>
                <w:sz w:val="28"/>
                <w:szCs w:val="28"/>
              </w:rPr>
              <w:t>特别提示：</w:t>
            </w:r>
            <w:r>
              <w:rPr>
                <w:rFonts w:ascii="仿宋" w:eastAsia="仿宋" w:hAnsi="仿宋" w:cs="仿宋" w:hint="eastAsia"/>
                <w:color w:val="000000"/>
                <w:sz w:val="28"/>
                <w:szCs w:val="28"/>
              </w:rPr>
              <w:t>河湖应包括河道和湖泊，编制时注意不要遗漏河道生态治理的内容。</w:t>
            </w:r>
          </w:p>
        </w:tc>
        <w:tc>
          <w:tcPr>
            <w:tcW w:w="2268"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中国一冶集团有限公司</w:t>
            </w:r>
          </w:p>
        </w:tc>
        <w:tc>
          <w:tcPr>
            <w:tcW w:w="1134"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2024年10月31日</w:t>
            </w:r>
          </w:p>
        </w:tc>
        <w:tc>
          <w:tcPr>
            <w:tcW w:w="1403"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中国冶金科工集团有限公司</w:t>
            </w:r>
          </w:p>
        </w:tc>
      </w:tr>
      <w:tr w:rsidR="00780483">
        <w:trPr>
          <w:cantSplit/>
          <w:trHeight w:val="2988"/>
          <w:jc w:val="center"/>
        </w:trPr>
        <w:tc>
          <w:tcPr>
            <w:tcW w:w="584" w:type="dxa"/>
            <w:shd w:val="clear" w:color="auto" w:fill="auto"/>
            <w:noWrap/>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lastRenderedPageBreak/>
              <w:t>27</w:t>
            </w:r>
          </w:p>
        </w:tc>
        <w:tc>
          <w:tcPr>
            <w:tcW w:w="1418"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装配整体式混凝土综合管廊结构技术标准</w:t>
            </w:r>
          </w:p>
        </w:tc>
        <w:tc>
          <w:tcPr>
            <w:tcW w:w="567" w:type="dxa"/>
            <w:shd w:val="clear" w:color="auto" w:fill="auto"/>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t>制订</w:t>
            </w:r>
          </w:p>
        </w:tc>
        <w:tc>
          <w:tcPr>
            <w:tcW w:w="6945"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传统的城市综合管廊结构形式在建造与装配式的结合方面存在严重缺失和不足，导致施工效率低、使用性能不佳和存在安全隐患，严重制约着城市综合管廊结构的推广和应用。该标准的编制，旨在弥补现行地标的不足，完善装配整体式钢筋混凝土地下综合管廊行业技术体系，为该项技术的推广应用提供全面指导和依据，规范该结构体系的设计、生产、施工和验收。</w:t>
            </w:r>
          </w:p>
        </w:tc>
        <w:tc>
          <w:tcPr>
            <w:tcW w:w="2268"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中冶建工集团有限公司</w:t>
            </w:r>
          </w:p>
        </w:tc>
        <w:tc>
          <w:tcPr>
            <w:tcW w:w="1134"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2024年10月31日</w:t>
            </w:r>
          </w:p>
        </w:tc>
        <w:tc>
          <w:tcPr>
            <w:tcW w:w="1403"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中国冶金科工集团有限公司</w:t>
            </w:r>
          </w:p>
        </w:tc>
      </w:tr>
      <w:tr w:rsidR="00780483">
        <w:trPr>
          <w:cantSplit/>
          <w:trHeight w:val="1136"/>
          <w:jc w:val="center"/>
        </w:trPr>
        <w:tc>
          <w:tcPr>
            <w:tcW w:w="584" w:type="dxa"/>
            <w:shd w:val="clear" w:color="auto" w:fill="auto"/>
            <w:noWrap/>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t>28</w:t>
            </w:r>
          </w:p>
        </w:tc>
        <w:tc>
          <w:tcPr>
            <w:tcW w:w="1418"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大容积高炉高耸炉壳体结构立式横移技术标准</w:t>
            </w:r>
          </w:p>
        </w:tc>
        <w:tc>
          <w:tcPr>
            <w:tcW w:w="567" w:type="dxa"/>
            <w:shd w:val="clear" w:color="auto" w:fill="auto"/>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t>制订</w:t>
            </w:r>
          </w:p>
        </w:tc>
        <w:tc>
          <w:tcPr>
            <w:tcW w:w="6945"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从总则、术语、基本规定、设施设备、高炉炉壳的拆除、炉壳框架拆除、高炉炉壳的新建与安装、推移滑道施工、炉炉壳的提升、高炉炉壳滑移就位、等方面提供适用于新建、改建、检修和扩建大容积高炉立式横移的安装技术标准。本标准适用于新建、改建、扩建和检修大容积高炉工程的安装。</w:t>
            </w:r>
          </w:p>
        </w:tc>
        <w:tc>
          <w:tcPr>
            <w:tcW w:w="2268"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中冶天工集团有限公司</w:t>
            </w:r>
          </w:p>
        </w:tc>
        <w:tc>
          <w:tcPr>
            <w:tcW w:w="1134"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2024年10月31日</w:t>
            </w:r>
          </w:p>
        </w:tc>
        <w:tc>
          <w:tcPr>
            <w:tcW w:w="1403"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中国冶金科工集团有限公司</w:t>
            </w:r>
          </w:p>
        </w:tc>
      </w:tr>
      <w:tr w:rsidR="00780483">
        <w:trPr>
          <w:cantSplit/>
          <w:trHeight w:val="4583"/>
          <w:jc w:val="center"/>
        </w:trPr>
        <w:tc>
          <w:tcPr>
            <w:tcW w:w="584" w:type="dxa"/>
            <w:shd w:val="clear" w:color="auto" w:fill="auto"/>
            <w:noWrap/>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lastRenderedPageBreak/>
              <w:t>29</w:t>
            </w:r>
          </w:p>
        </w:tc>
        <w:tc>
          <w:tcPr>
            <w:tcW w:w="1418"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清洁环保型热回收焦炉砌筑技术规程</w:t>
            </w:r>
          </w:p>
        </w:tc>
        <w:tc>
          <w:tcPr>
            <w:tcW w:w="567" w:type="dxa"/>
            <w:shd w:val="clear" w:color="auto" w:fill="auto"/>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t>制订</w:t>
            </w:r>
          </w:p>
        </w:tc>
        <w:tc>
          <w:tcPr>
            <w:tcW w:w="6945"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清洁环保型热回收焦炉与我国常用的产品回收焦炉结构形式大不相同，焦炉由炉底、六联拱、燃烧室、炉顶、上升管、集气管等组成。炉顶为有保温层的拱型结构，炭化室容积大、燃烧室结构复杂，上升管则是天圆地方的结构形式连接焦炉与集气管，各部位对砌筑工艺要求高，为达到工艺要求，结合多年的实践经验进行总结和提炼初步编制出有关技术规程，为保证该炉型的砌筑质量及安全操作需要编制适合于各种施工条件下的热回收焦炉砌筑技术规程。本技术规程主要从总则、施工准备、施工操作工艺技术、质量验收标准、施工注意事项及质量记录表格等六个方面进行编制，涵盖了该型焦炉各个部位的主要砌筑操作规程和验收要求。</w:t>
            </w:r>
          </w:p>
        </w:tc>
        <w:tc>
          <w:tcPr>
            <w:tcW w:w="2268"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中国一冶集团有限公司</w:t>
            </w:r>
          </w:p>
        </w:tc>
        <w:tc>
          <w:tcPr>
            <w:tcW w:w="1134"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2024年10月31日</w:t>
            </w:r>
          </w:p>
        </w:tc>
        <w:tc>
          <w:tcPr>
            <w:tcW w:w="1403"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中国冶金科工集团有限公司</w:t>
            </w:r>
          </w:p>
        </w:tc>
      </w:tr>
      <w:tr w:rsidR="00780483">
        <w:trPr>
          <w:cantSplit/>
          <w:trHeight w:val="2252"/>
          <w:jc w:val="center"/>
        </w:trPr>
        <w:tc>
          <w:tcPr>
            <w:tcW w:w="584" w:type="dxa"/>
            <w:shd w:val="clear" w:color="auto" w:fill="auto"/>
            <w:noWrap/>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t>30</w:t>
            </w:r>
          </w:p>
        </w:tc>
        <w:tc>
          <w:tcPr>
            <w:tcW w:w="1418"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音乐教育与演出用房施工技术规范</w:t>
            </w:r>
          </w:p>
        </w:tc>
        <w:tc>
          <w:tcPr>
            <w:tcW w:w="567" w:type="dxa"/>
            <w:shd w:val="clear" w:color="auto" w:fill="auto"/>
            <w:vAlign w:val="center"/>
          </w:tcPr>
          <w:p w:rsidR="00780483" w:rsidRDefault="00F8426F">
            <w:pPr>
              <w:jc w:val="center"/>
              <w:textAlignment w:val="center"/>
              <w:rPr>
                <w:rFonts w:ascii="仿宋" w:eastAsia="仿宋" w:hAnsi="仿宋" w:cs="仿宋"/>
                <w:sz w:val="32"/>
                <w:szCs w:val="32"/>
              </w:rPr>
            </w:pPr>
            <w:r>
              <w:rPr>
                <w:rFonts w:ascii="仿宋" w:eastAsia="仿宋" w:hAnsi="仿宋" w:cs="仿宋" w:hint="eastAsia"/>
                <w:color w:val="000000"/>
                <w:sz w:val="28"/>
                <w:szCs w:val="28"/>
              </w:rPr>
              <w:t>制订</w:t>
            </w:r>
          </w:p>
        </w:tc>
        <w:tc>
          <w:tcPr>
            <w:tcW w:w="6945"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为更好的指导音乐教育与演出用房声学指标的实现，按照地基与基础工程、主体结构工程、机电工程、装饰装修工程等分部工程从现场施工角度对涉及到声学指标实现的施工工艺进行重点阐述，包括工艺选择、施工控制点、施工标准、有效的技术措施等内容。</w:t>
            </w:r>
          </w:p>
        </w:tc>
        <w:tc>
          <w:tcPr>
            <w:tcW w:w="2268"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中冶天工集团有限公司</w:t>
            </w:r>
          </w:p>
        </w:tc>
        <w:tc>
          <w:tcPr>
            <w:tcW w:w="1134" w:type="dxa"/>
            <w:shd w:val="clear" w:color="auto" w:fill="auto"/>
            <w:vAlign w:val="center"/>
          </w:tcPr>
          <w:p w:rsidR="00780483" w:rsidRDefault="00F8426F">
            <w:pPr>
              <w:textAlignment w:val="center"/>
              <w:rPr>
                <w:rFonts w:ascii="仿宋" w:eastAsia="仿宋" w:hAnsi="仿宋" w:cs="仿宋"/>
                <w:sz w:val="32"/>
                <w:szCs w:val="32"/>
              </w:rPr>
            </w:pPr>
            <w:r>
              <w:rPr>
                <w:rFonts w:ascii="仿宋" w:eastAsia="仿宋" w:hAnsi="仿宋" w:cs="仿宋" w:hint="eastAsia"/>
                <w:color w:val="000000"/>
                <w:sz w:val="28"/>
                <w:szCs w:val="28"/>
              </w:rPr>
              <w:t>2024年10月31日</w:t>
            </w:r>
          </w:p>
        </w:tc>
        <w:tc>
          <w:tcPr>
            <w:tcW w:w="1403" w:type="dxa"/>
            <w:shd w:val="clear" w:color="auto" w:fill="auto"/>
            <w:vAlign w:val="center"/>
          </w:tcPr>
          <w:p w:rsidR="00780483" w:rsidRDefault="00F8426F">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中国冶金科工集团有限公司</w:t>
            </w:r>
          </w:p>
        </w:tc>
      </w:tr>
      <w:tr w:rsidR="00780483" w:rsidRPr="00FF7A7B" w:rsidTr="00FF7A7B">
        <w:trPr>
          <w:cantSplit/>
          <w:trHeight w:val="1889"/>
          <w:jc w:val="center"/>
        </w:trPr>
        <w:tc>
          <w:tcPr>
            <w:tcW w:w="584" w:type="dxa"/>
            <w:shd w:val="clear" w:color="auto" w:fill="auto"/>
            <w:noWrap/>
            <w:vAlign w:val="center"/>
          </w:tcPr>
          <w:p w:rsidR="00780483" w:rsidRPr="00FF7A7B" w:rsidRDefault="00F8426F">
            <w:pPr>
              <w:jc w:val="center"/>
              <w:textAlignment w:val="center"/>
              <w:rPr>
                <w:rFonts w:ascii="仿宋" w:eastAsia="仿宋" w:hAnsi="仿宋" w:cs="仿宋"/>
                <w:szCs w:val="32"/>
              </w:rPr>
            </w:pPr>
            <w:r w:rsidRPr="00FF7A7B">
              <w:rPr>
                <w:rFonts w:ascii="仿宋" w:eastAsia="仿宋" w:hAnsi="仿宋" w:cs="仿宋" w:hint="eastAsia"/>
                <w:color w:val="000000"/>
                <w:szCs w:val="28"/>
              </w:rPr>
              <w:lastRenderedPageBreak/>
              <w:t>31</w:t>
            </w:r>
          </w:p>
        </w:tc>
        <w:tc>
          <w:tcPr>
            <w:tcW w:w="1418" w:type="dxa"/>
            <w:shd w:val="clear" w:color="auto" w:fill="auto"/>
            <w:vAlign w:val="center"/>
          </w:tcPr>
          <w:p w:rsidR="00780483" w:rsidRPr="00FF7A7B" w:rsidRDefault="00F8426F">
            <w:pPr>
              <w:textAlignment w:val="center"/>
              <w:rPr>
                <w:rFonts w:ascii="仿宋" w:eastAsia="仿宋" w:hAnsi="仿宋" w:cs="仿宋"/>
                <w:szCs w:val="32"/>
              </w:rPr>
            </w:pPr>
            <w:r w:rsidRPr="00FF7A7B">
              <w:rPr>
                <w:rFonts w:ascii="仿宋" w:eastAsia="仿宋" w:hAnsi="仿宋" w:cs="仿宋" w:hint="eastAsia"/>
                <w:color w:val="000000"/>
                <w:szCs w:val="28"/>
              </w:rPr>
              <w:t>多腔钢箱-混凝土组合结构施工及验收技术规程</w:t>
            </w:r>
          </w:p>
        </w:tc>
        <w:tc>
          <w:tcPr>
            <w:tcW w:w="567" w:type="dxa"/>
            <w:shd w:val="clear" w:color="auto" w:fill="auto"/>
            <w:vAlign w:val="center"/>
          </w:tcPr>
          <w:p w:rsidR="00780483" w:rsidRPr="00FF7A7B" w:rsidRDefault="00F8426F">
            <w:pPr>
              <w:jc w:val="center"/>
              <w:textAlignment w:val="center"/>
              <w:rPr>
                <w:rFonts w:ascii="仿宋" w:eastAsia="仿宋" w:hAnsi="仿宋" w:cs="仿宋"/>
                <w:szCs w:val="32"/>
              </w:rPr>
            </w:pPr>
            <w:r w:rsidRPr="00FF7A7B">
              <w:rPr>
                <w:rFonts w:ascii="仿宋" w:eastAsia="仿宋" w:hAnsi="仿宋" w:cs="仿宋" w:hint="eastAsia"/>
                <w:color w:val="000000"/>
                <w:szCs w:val="28"/>
              </w:rPr>
              <w:t>制订</w:t>
            </w:r>
          </w:p>
        </w:tc>
        <w:tc>
          <w:tcPr>
            <w:tcW w:w="6945" w:type="dxa"/>
            <w:shd w:val="clear" w:color="auto" w:fill="auto"/>
            <w:vAlign w:val="center"/>
          </w:tcPr>
          <w:p w:rsidR="00780483" w:rsidRPr="00FF7A7B" w:rsidRDefault="00F8426F">
            <w:pPr>
              <w:textAlignment w:val="center"/>
              <w:rPr>
                <w:rFonts w:ascii="仿宋" w:eastAsia="仿宋" w:hAnsi="仿宋" w:cs="仿宋"/>
                <w:szCs w:val="32"/>
              </w:rPr>
            </w:pPr>
            <w:r w:rsidRPr="00FF7A7B">
              <w:rPr>
                <w:rFonts w:ascii="仿宋" w:eastAsia="仿宋" w:hAnsi="仿宋" w:cs="仿宋" w:hint="eastAsia"/>
                <w:color w:val="000000"/>
                <w:szCs w:val="28"/>
              </w:rPr>
              <w:t>主要涉及多腔钢箱-混凝土组合结构构件及节点设计；多腔钢箱-混凝土组合结构快速施工关键技术；多腔钢箱-混凝土组合结构混凝土浇筑技术；多腔钢箱-混凝土组合结构防腐防火施工技术；多腔钢箱-混凝土组合结构混凝土检测、验评方法。</w:t>
            </w:r>
          </w:p>
        </w:tc>
        <w:tc>
          <w:tcPr>
            <w:tcW w:w="2268" w:type="dxa"/>
            <w:shd w:val="clear" w:color="auto" w:fill="auto"/>
            <w:vAlign w:val="center"/>
          </w:tcPr>
          <w:p w:rsidR="00780483" w:rsidRPr="00FF7A7B" w:rsidRDefault="00F8426F">
            <w:pPr>
              <w:textAlignment w:val="center"/>
              <w:rPr>
                <w:rFonts w:ascii="仿宋" w:eastAsia="仿宋" w:hAnsi="仿宋" w:cs="仿宋"/>
                <w:color w:val="000000"/>
                <w:szCs w:val="28"/>
              </w:rPr>
            </w:pPr>
            <w:r w:rsidRPr="00FF7A7B">
              <w:rPr>
                <w:rFonts w:ascii="仿宋" w:eastAsia="仿宋" w:hAnsi="仿宋" w:cs="仿宋" w:hint="eastAsia"/>
                <w:color w:val="000000"/>
                <w:szCs w:val="28"/>
              </w:rPr>
              <w:t>中国二十冶集团有限公司</w:t>
            </w:r>
          </w:p>
        </w:tc>
        <w:tc>
          <w:tcPr>
            <w:tcW w:w="1134" w:type="dxa"/>
            <w:shd w:val="clear" w:color="auto" w:fill="auto"/>
            <w:vAlign w:val="center"/>
          </w:tcPr>
          <w:p w:rsidR="00780483" w:rsidRPr="00FF7A7B" w:rsidRDefault="00F8426F">
            <w:pPr>
              <w:textAlignment w:val="center"/>
              <w:rPr>
                <w:rFonts w:ascii="仿宋" w:eastAsia="仿宋" w:hAnsi="仿宋" w:cs="仿宋"/>
                <w:szCs w:val="32"/>
              </w:rPr>
            </w:pPr>
            <w:r w:rsidRPr="00FF7A7B">
              <w:rPr>
                <w:rFonts w:ascii="仿宋" w:eastAsia="仿宋" w:hAnsi="仿宋" w:cs="仿宋" w:hint="eastAsia"/>
                <w:color w:val="000000"/>
                <w:szCs w:val="28"/>
              </w:rPr>
              <w:t>2024年10月31日</w:t>
            </w:r>
          </w:p>
        </w:tc>
        <w:tc>
          <w:tcPr>
            <w:tcW w:w="1403" w:type="dxa"/>
            <w:shd w:val="clear" w:color="auto" w:fill="auto"/>
            <w:vAlign w:val="center"/>
          </w:tcPr>
          <w:p w:rsidR="00780483" w:rsidRPr="00FF7A7B" w:rsidRDefault="00F8426F">
            <w:pPr>
              <w:textAlignment w:val="center"/>
              <w:rPr>
                <w:rFonts w:ascii="仿宋" w:eastAsia="仿宋" w:hAnsi="仿宋" w:cs="仿宋"/>
                <w:color w:val="000000"/>
                <w:szCs w:val="28"/>
              </w:rPr>
            </w:pPr>
            <w:r w:rsidRPr="00FF7A7B">
              <w:rPr>
                <w:rFonts w:ascii="仿宋" w:eastAsia="仿宋" w:hAnsi="仿宋" w:cs="仿宋" w:hint="eastAsia"/>
                <w:color w:val="000000"/>
                <w:szCs w:val="28"/>
              </w:rPr>
              <w:t>中国冶金科工集团有限公司</w:t>
            </w:r>
          </w:p>
        </w:tc>
      </w:tr>
      <w:tr w:rsidR="00780483" w:rsidRPr="00FF7A7B" w:rsidTr="00FF7A7B">
        <w:trPr>
          <w:cantSplit/>
          <w:trHeight w:val="2246"/>
          <w:jc w:val="center"/>
        </w:trPr>
        <w:tc>
          <w:tcPr>
            <w:tcW w:w="584" w:type="dxa"/>
            <w:shd w:val="clear" w:color="auto" w:fill="auto"/>
            <w:noWrap/>
            <w:vAlign w:val="center"/>
          </w:tcPr>
          <w:p w:rsidR="00780483" w:rsidRPr="00FF7A7B" w:rsidRDefault="00F8426F">
            <w:pPr>
              <w:jc w:val="center"/>
              <w:textAlignment w:val="center"/>
              <w:rPr>
                <w:rFonts w:ascii="仿宋" w:eastAsia="仿宋" w:hAnsi="仿宋" w:cs="仿宋"/>
                <w:szCs w:val="32"/>
              </w:rPr>
            </w:pPr>
            <w:r w:rsidRPr="00FF7A7B">
              <w:rPr>
                <w:rFonts w:ascii="仿宋" w:eastAsia="仿宋" w:hAnsi="仿宋" w:cs="仿宋" w:hint="eastAsia"/>
                <w:color w:val="000000"/>
                <w:szCs w:val="28"/>
              </w:rPr>
              <w:t>32</w:t>
            </w:r>
          </w:p>
        </w:tc>
        <w:tc>
          <w:tcPr>
            <w:tcW w:w="1418" w:type="dxa"/>
            <w:shd w:val="clear" w:color="auto" w:fill="auto"/>
            <w:vAlign w:val="center"/>
          </w:tcPr>
          <w:p w:rsidR="00780483" w:rsidRPr="00FF7A7B" w:rsidRDefault="00F8426F">
            <w:pPr>
              <w:textAlignment w:val="center"/>
              <w:rPr>
                <w:rFonts w:ascii="仿宋" w:eastAsia="仿宋" w:hAnsi="仿宋" w:cs="仿宋"/>
                <w:szCs w:val="32"/>
              </w:rPr>
            </w:pPr>
            <w:r w:rsidRPr="00FF7A7B">
              <w:rPr>
                <w:rFonts w:ascii="仿宋" w:eastAsia="仿宋" w:hAnsi="仿宋" w:cs="仿宋" w:hint="eastAsia"/>
                <w:color w:val="000000"/>
                <w:szCs w:val="28"/>
              </w:rPr>
              <w:t>装配式地铁车站轨顶风道生产安装一体化质量检查与验收标准</w:t>
            </w:r>
          </w:p>
        </w:tc>
        <w:tc>
          <w:tcPr>
            <w:tcW w:w="567" w:type="dxa"/>
            <w:shd w:val="clear" w:color="auto" w:fill="auto"/>
            <w:vAlign w:val="center"/>
          </w:tcPr>
          <w:p w:rsidR="00780483" w:rsidRPr="00FF7A7B" w:rsidRDefault="00F8426F">
            <w:pPr>
              <w:jc w:val="center"/>
              <w:textAlignment w:val="center"/>
              <w:rPr>
                <w:rFonts w:ascii="仿宋" w:eastAsia="仿宋" w:hAnsi="仿宋" w:cs="仿宋"/>
                <w:szCs w:val="32"/>
              </w:rPr>
            </w:pPr>
            <w:r w:rsidRPr="00FF7A7B">
              <w:rPr>
                <w:rFonts w:ascii="仿宋" w:eastAsia="仿宋" w:hAnsi="仿宋" w:cs="仿宋" w:hint="eastAsia"/>
                <w:color w:val="000000"/>
                <w:szCs w:val="28"/>
              </w:rPr>
              <w:t>制订</w:t>
            </w:r>
          </w:p>
        </w:tc>
        <w:tc>
          <w:tcPr>
            <w:tcW w:w="6945" w:type="dxa"/>
            <w:shd w:val="clear" w:color="auto" w:fill="auto"/>
            <w:vAlign w:val="center"/>
          </w:tcPr>
          <w:p w:rsidR="00780483" w:rsidRPr="00FF7A7B" w:rsidRDefault="00F8426F">
            <w:pPr>
              <w:textAlignment w:val="center"/>
              <w:rPr>
                <w:rFonts w:ascii="仿宋" w:eastAsia="仿宋" w:hAnsi="仿宋" w:cs="仿宋"/>
                <w:szCs w:val="32"/>
              </w:rPr>
            </w:pPr>
            <w:r w:rsidRPr="00FF7A7B">
              <w:rPr>
                <w:rFonts w:ascii="仿宋" w:eastAsia="仿宋" w:hAnsi="仿宋" w:cs="仿宋" w:hint="eastAsia"/>
                <w:color w:val="000000"/>
                <w:szCs w:val="28"/>
              </w:rPr>
              <w:t>规定了装配式地铁车站轨顶风道的术语定义、构造和标记、原材料、混凝土拌合物、要求、试验方法、检验规则、标志、存放和运输、安装形式、材料、安装要求、检验方法、检验规则。</w:t>
            </w:r>
          </w:p>
        </w:tc>
        <w:tc>
          <w:tcPr>
            <w:tcW w:w="2268" w:type="dxa"/>
            <w:shd w:val="clear" w:color="auto" w:fill="auto"/>
            <w:vAlign w:val="center"/>
          </w:tcPr>
          <w:p w:rsidR="00780483" w:rsidRPr="00FF7A7B" w:rsidRDefault="00F8426F">
            <w:pPr>
              <w:textAlignment w:val="center"/>
              <w:rPr>
                <w:rFonts w:ascii="仿宋" w:eastAsia="仿宋" w:hAnsi="仿宋" w:cs="仿宋"/>
                <w:color w:val="000000"/>
                <w:szCs w:val="28"/>
              </w:rPr>
            </w:pPr>
            <w:r w:rsidRPr="00FF7A7B">
              <w:rPr>
                <w:rFonts w:ascii="仿宋" w:eastAsia="仿宋" w:hAnsi="仿宋" w:cs="仿宋" w:hint="eastAsia"/>
                <w:color w:val="000000"/>
                <w:szCs w:val="28"/>
              </w:rPr>
              <w:t>1、中建六局（天津）绿色建筑科技有限公司</w:t>
            </w:r>
            <w:r w:rsidRPr="00FF7A7B">
              <w:rPr>
                <w:rFonts w:ascii="仿宋" w:eastAsia="仿宋" w:hAnsi="仿宋" w:cs="仿宋" w:hint="eastAsia"/>
                <w:color w:val="000000"/>
                <w:szCs w:val="28"/>
              </w:rPr>
              <w:br/>
              <w:t>2、中国建筑第六工程局有限公司</w:t>
            </w:r>
          </w:p>
        </w:tc>
        <w:tc>
          <w:tcPr>
            <w:tcW w:w="1134" w:type="dxa"/>
            <w:shd w:val="clear" w:color="auto" w:fill="auto"/>
            <w:vAlign w:val="center"/>
          </w:tcPr>
          <w:p w:rsidR="00780483" w:rsidRPr="00FF7A7B" w:rsidRDefault="00F8426F">
            <w:pPr>
              <w:textAlignment w:val="center"/>
              <w:rPr>
                <w:rFonts w:ascii="仿宋" w:eastAsia="仿宋" w:hAnsi="仿宋" w:cs="仿宋"/>
                <w:szCs w:val="32"/>
              </w:rPr>
            </w:pPr>
            <w:r w:rsidRPr="00FF7A7B">
              <w:rPr>
                <w:rFonts w:ascii="仿宋" w:eastAsia="仿宋" w:hAnsi="仿宋" w:cs="仿宋" w:hint="eastAsia"/>
                <w:color w:val="000000"/>
                <w:szCs w:val="28"/>
              </w:rPr>
              <w:t>2024年10月31日</w:t>
            </w:r>
          </w:p>
        </w:tc>
        <w:tc>
          <w:tcPr>
            <w:tcW w:w="1403" w:type="dxa"/>
            <w:shd w:val="clear" w:color="auto" w:fill="auto"/>
            <w:vAlign w:val="center"/>
          </w:tcPr>
          <w:p w:rsidR="00780483" w:rsidRPr="00FF7A7B" w:rsidRDefault="00F8426F">
            <w:pPr>
              <w:textAlignment w:val="center"/>
              <w:rPr>
                <w:rFonts w:ascii="仿宋" w:eastAsia="仿宋" w:hAnsi="仿宋" w:cs="仿宋"/>
                <w:color w:val="000000"/>
                <w:szCs w:val="28"/>
              </w:rPr>
            </w:pPr>
            <w:r w:rsidRPr="00FF7A7B">
              <w:rPr>
                <w:rFonts w:ascii="仿宋" w:eastAsia="仿宋" w:hAnsi="仿宋" w:cs="仿宋" w:hint="eastAsia"/>
                <w:color w:val="000000"/>
                <w:szCs w:val="28"/>
              </w:rPr>
              <w:t>中国建筑第六工程局有限公司</w:t>
            </w:r>
          </w:p>
        </w:tc>
      </w:tr>
      <w:tr w:rsidR="00780483" w:rsidRPr="00FF7A7B" w:rsidTr="00FF7A7B">
        <w:trPr>
          <w:cantSplit/>
          <w:trHeight w:val="2827"/>
          <w:jc w:val="center"/>
        </w:trPr>
        <w:tc>
          <w:tcPr>
            <w:tcW w:w="584" w:type="dxa"/>
            <w:shd w:val="clear" w:color="auto" w:fill="auto"/>
            <w:noWrap/>
            <w:vAlign w:val="center"/>
          </w:tcPr>
          <w:p w:rsidR="00780483" w:rsidRPr="00FF7A7B" w:rsidRDefault="00F8426F">
            <w:pPr>
              <w:jc w:val="center"/>
              <w:textAlignment w:val="center"/>
              <w:rPr>
                <w:rFonts w:ascii="仿宋" w:eastAsia="仿宋" w:hAnsi="仿宋" w:cs="仿宋"/>
                <w:szCs w:val="32"/>
              </w:rPr>
            </w:pPr>
            <w:r w:rsidRPr="00FF7A7B">
              <w:rPr>
                <w:rFonts w:ascii="仿宋" w:eastAsia="仿宋" w:hAnsi="仿宋" w:cs="仿宋" w:hint="eastAsia"/>
                <w:color w:val="000000"/>
                <w:szCs w:val="28"/>
              </w:rPr>
              <w:t>33</w:t>
            </w:r>
          </w:p>
        </w:tc>
        <w:tc>
          <w:tcPr>
            <w:tcW w:w="1418" w:type="dxa"/>
            <w:shd w:val="clear" w:color="auto" w:fill="auto"/>
            <w:vAlign w:val="center"/>
          </w:tcPr>
          <w:p w:rsidR="00780483" w:rsidRPr="00FF7A7B" w:rsidRDefault="00F8426F">
            <w:pPr>
              <w:textAlignment w:val="center"/>
              <w:rPr>
                <w:rFonts w:ascii="仿宋" w:eastAsia="仿宋" w:hAnsi="仿宋" w:cs="仿宋"/>
                <w:szCs w:val="32"/>
              </w:rPr>
            </w:pPr>
            <w:r w:rsidRPr="00FF7A7B">
              <w:rPr>
                <w:rFonts w:ascii="仿宋" w:eastAsia="仿宋" w:hAnsi="仿宋" w:cs="仿宋" w:hint="eastAsia"/>
                <w:color w:val="000000"/>
                <w:szCs w:val="28"/>
              </w:rPr>
              <w:t>大直径泥水盾构施工安全技术规程</w:t>
            </w:r>
          </w:p>
        </w:tc>
        <w:tc>
          <w:tcPr>
            <w:tcW w:w="567" w:type="dxa"/>
            <w:shd w:val="clear" w:color="auto" w:fill="auto"/>
            <w:vAlign w:val="center"/>
          </w:tcPr>
          <w:p w:rsidR="00780483" w:rsidRPr="00FF7A7B" w:rsidRDefault="00F8426F">
            <w:pPr>
              <w:jc w:val="center"/>
              <w:textAlignment w:val="center"/>
              <w:rPr>
                <w:rFonts w:ascii="仿宋" w:eastAsia="仿宋" w:hAnsi="仿宋" w:cs="仿宋"/>
                <w:szCs w:val="32"/>
              </w:rPr>
            </w:pPr>
            <w:r w:rsidRPr="00FF7A7B">
              <w:rPr>
                <w:rFonts w:ascii="仿宋" w:eastAsia="仿宋" w:hAnsi="仿宋" w:cs="仿宋" w:hint="eastAsia"/>
                <w:color w:val="000000"/>
                <w:szCs w:val="28"/>
              </w:rPr>
              <w:t>制订</w:t>
            </w:r>
          </w:p>
        </w:tc>
        <w:tc>
          <w:tcPr>
            <w:tcW w:w="6945" w:type="dxa"/>
            <w:shd w:val="clear" w:color="auto" w:fill="auto"/>
            <w:vAlign w:val="center"/>
          </w:tcPr>
          <w:p w:rsidR="00780483" w:rsidRPr="00FF7A7B" w:rsidRDefault="00F8426F">
            <w:pPr>
              <w:textAlignment w:val="center"/>
              <w:rPr>
                <w:rFonts w:ascii="仿宋" w:eastAsia="仿宋" w:hAnsi="仿宋" w:cs="仿宋"/>
                <w:szCs w:val="32"/>
              </w:rPr>
            </w:pPr>
            <w:r w:rsidRPr="00FF7A7B">
              <w:rPr>
                <w:rFonts w:ascii="仿宋" w:eastAsia="仿宋" w:hAnsi="仿宋" w:cs="仿宋" w:hint="eastAsia"/>
                <w:color w:val="000000"/>
                <w:szCs w:val="28"/>
              </w:rPr>
              <w:t>针对大直径泥水盾构施工全过程所面临的安全风险问题从技术角度给出相关规定，以减小或避免大直径泥水盾构施工安全风险。其主要包括：总则、术语、基本规定、设备选型与配置、施工准备、施工量测、盾构组装与调试、管片预制与存放、盾构始发、盾构掘进、泥水循环与处理、同步施工、盾构接收与拆解、特殊作业与施工、盾构设备管理、施工监测、施工安全与环境保护等内容。</w:t>
            </w:r>
          </w:p>
        </w:tc>
        <w:tc>
          <w:tcPr>
            <w:tcW w:w="2268" w:type="dxa"/>
            <w:shd w:val="clear" w:color="auto" w:fill="auto"/>
            <w:vAlign w:val="center"/>
          </w:tcPr>
          <w:p w:rsidR="00780483" w:rsidRPr="00FF7A7B" w:rsidRDefault="00F8426F">
            <w:pPr>
              <w:textAlignment w:val="center"/>
              <w:rPr>
                <w:rFonts w:ascii="仿宋" w:eastAsia="仿宋" w:hAnsi="仿宋" w:cs="仿宋"/>
                <w:color w:val="000000"/>
                <w:szCs w:val="28"/>
              </w:rPr>
            </w:pPr>
            <w:r w:rsidRPr="00FF7A7B">
              <w:rPr>
                <w:rFonts w:ascii="仿宋" w:eastAsia="仿宋" w:hAnsi="仿宋" w:cs="仿宋" w:hint="eastAsia"/>
                <w:color w:val="000000"/>
                <w:szCs w:val="28"/>
              </w:rPr>
              <w:t>中铁十四局集团有限公司</w:t>
            </w:r>
          </w:p>
        </w:tc>
        <w:tc>
          <w:tcPr>
            <w:tcW w:w="1134" w:type="dxa"/>
            <w:shd w:val="clear" w:color="auto" w:fill="auto"/>
            <w:vAlign w:val="center"/>
          </w:tcPr>
          <w:p w:rsidR="00780483" w:rsidRPr="00FF7A7B" w:rsidRDefault="00F8426F">
            <w:pPr>
              <w:textAlignment w:val="center"/>
              <w:rPr>
                <w:rFonts w:ascii="仿宋" w:eastAsia="仿宋" w:hAnsi="仿宋" w:cs="仿宋"/>
                <w:szCs w:val="32"/>
              </w:rPr>
            </w:pPr>
            <w:r w:rsidRPr="00FF7A7B">
              <w:rPr>
                <w:rFonts w:ascii="仿宋" w:eastAsia="仿宋" w:hAnsi="仿宋" w:cs="仿宋" w:hint="eastAsia"/>
                <w:color w:val="000000"/>
                <w:szCs w:val="28"/>
              </w:rPr>
              <w:t>2024年10月31日</w:t>
            </w:r>
          </w:p>
        </w:tc>
        <w:tc>
          <w:tcPr>
            <w:tcW w:w="1403" w:type="dxa"/>
            <w:shd w:val="clear" w:color="auto" w:fill="auto"/>
            <w:vAlign w:val="center"/>
          </w:tcPr>
          <w:p w:rsidR="00780483" w:rsidRPr="00FF7A7B" w:rsidRDefault="00F8426F">
            <w:pPr>
              <w:textAlignment w:val="center"/>
              <w:rPr>
                <w:rFonts w:ascii="仿宋" w:eastAsia="仿宋" w:hAnsi="仿宋" w:cs="仿宋"/>
                <w:color w:val="000000"/>
                <w:szCs w:val="28"/>
              </w:rPr>
            </w:pPr>
            <w:r w:rsidRPr="00FF7A7B">
              <w:rPr>
                <w:rFonts w:ascii="仿宋" w:eastAsia="仿宋" w:hAnsi="仿宋" w:cs="仿宋" w:hint="eastAsia"/>
                <w:color w:val="000000"/>
                <w:szCs w:val="28"/>
              </w:rPr>
              <w:t>中铁十四局集团有限公司</w:t>
            </w:r>
          </w:p>
        </w:tc>
      </w:tr>
    </w:tbl>
    <w:p w:rsidR="00780483" w:rsidRDefault="00780483" w:rsidP="00FF7A7B">
      <w:pPr>
        <w:adjustRightInd w:val="0"/>
        <w:snapToGrid w:val="0"/>
        <w:spacing w:line="600" w:lineRule="exact"/>
        <w:rPr>
          <w:rFonts w:eastAsia="仿宋_GB2312"/>
          <w:color w:val="000000" w:themeColor="text1"/>
          <w:sz w:val="32"/>
          <w:szCs w:val="32"/>
        </w:rPr>
      </w:pPr>
    </w:p>
    <w:sectPr w:rsidR="00780483" w:rsidSect="00FF7A7B">
      <w:footerReference w:type="default" r:id="rId8"/>
      <w:pgSz w:w="16838" w:h="11906" w:orient="landscape"/>
      <w:pgMar w:top="1588" w:right="1134" w:bottom="1588" w:left="1134" w:header="851" w:footer="624" w:gutter="0"/>
      <w:cols w:space="0"/>
      <w:docGrid w:type="linesAndChars" w:linePitch="3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2B9" w:rsidRDefault="006F12B9" w:rsidP="00780483">
      <w:r>
        <w:separator/>
      </w:r>
    </w:p>
  </w:endnote>
  <w:endnote w:type="continuationSeparator" w:id="1">
    <w:p w:rsidR="006F12B9" w:rsidRDefault="006F12B9" w:rsidP="007804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9817989"/>
    </w:sdtPr>
    <w:sdtContent>
      <w:p w:rsidR="00780483" w:rsidRDefault="00894C3C">
        <w:pPr>
          <w:pStyle w:val="a4"/>
          <w:jc w:val="center"/>
        </w:pPr>
        <w:r w:rsidRPr="00894C3C">
          <w:fldChar w:fldCharType="begin"/>
        </w:r>
        <w:r w:rsidR="00F8426F">
          <w:instrText xml:space="preserve"> PAGE   \* MERGEFORMAT </w:instrText>
        </w:r>
        <w:r w:rsidRPr="00894C3C">
          <w:fldChar w:fldCharType="separate"/>
        </w:r>
        <w:r w:rsidR="00FF7A7B" w:rsidRPr="00FF7A7B">
          <w:rPr>
            <w:noProof/>
            <w:lang w:val="zh-CN"/>
          </w:rPr>
          <w:t>16</w:t>
        </w:r>
        <w:r>
          <w:rPr>
            <w:lang w:val="zh-CN"/>
          </w:rPr>
          <w:fldChar w:fldCharType="end"/>
        </w:r>
      </w:p>
    </w:sdtContent>
  </w:sdt>
  <w:p w:rsidR="00780483" w:rsidRDefault="0078048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2B9" w:rsidRDefault="006F12B9" w:rsidP="00780483">
      <w:r>
        <w:separator/>
      </w:r>
    </w:p>
  </w:footnote>
  <w:footnote w:type="continuationSeparator" w:id="1">
    <w:p w:rsidR="006F12B9" w:rsidRDefault="006F12B9" w:rsidP="007804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327"/>
  <w:displayHorizontalDrawingGridEvery w:val="2"/>
  <w:noPunctuationKerning/>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
  <w:rsids>
    <w:rsidRoot w:val="003E22B2"/>
    <w:rsid w:val="000229F9"/>
    <w:rsid w:val="00043B6E"/>
    <w:rsid w:val="00045170"/>
    <w:rsid w:val="00072C34"/>
    <w:rsid w:val="000A6503"/>
    <w:rsid w:val="000C3BC9"/>
    <w:rsid w:val="000D3030"/>
    <w:rsid w:val="00100148"/>
    <w:rsid w:val="00131EE4"/>
    <w:rsid w:val="001467F2"/>
    <w:rsid w:val="00152AC7"/>
    <w:rsid w:val="00162AD4"/>
    <w:rsid w:val="001701FB"/>
    <w:rsid w:val="00173AC9"/>
    <w:rsid w:val="0018331F"/>
    <w:rsid w:val="00191CC7"/>
    <w:rsid w:val="0019447D"/>
    <w:rsid w:val="00197B27"/>
    <w:rsid w:val="001A3254"/>
    <w:rsid w:val="001B1142"/>
    <w:rsid w:val="001E082B"/>
    <w:rsid w:val="001E2AE1"/>
    <w:rsid w:val="001F7FCA"/>
    <w:rsid w:val="00206191"/>
    <w:rsid w:val="00236078"/>
    <w:rsid w:val="002460CF"/>
    <w:rsid w:val="00285089"/>
    <w:rsid w:val="00290617"/>
    <w:rsid w:val="00294150"/>
    <w:rsid w:val="00297230"/>
    <w:rsid w:val="002C5C3E"/>
    <w:rsid w:val="002D3016"/>
    <w:rsid w:val="002E037C"/>
    <w:rsid w:val="002E3891"/>
    <w:rsid w:val="002E6204"/>
    <w:rsid w:val="00322EB4"/>
    <w:rsid w:val="00330A0F"/>
    <w:rsid w:val="00367F28"/>
    <w:rsid w:val="00370A89"/>
    <w:rsid w:val="003959D3"/>
    <w:rsid w:val="003A6C0A"/>
    <w:rsid w:val="003B4EBD"/>
    <w:rsid w:val="003C0104"/>
    <w:rsid w:val="003D0519"/>
    <w:rsid w:val="003D240E"/>
    <w:rsid w:val="003E22B2"/>
    <w:rsid w:val="003E3EE4"/>
    <w:rsid w:val="003E7EE9"/>
    <w:rsid w:val="00403BAE"/>
    <w:rsid w:val="00420639"/>
    <w:rsid w:val="00441B3B"/>
    <w:rsid w:val="00441C92"/>
    <w:rsid w:val="00455E6E"/>
    <w:rsid w:val="00463399"/>
    <w:rsid w:val="00465A2E"/>
    <w:rsid w:val="00471465"/>
    <w:rsid w:val="004719BC"/>
    <w:rsid w:val="00521368"/>
    <w:rsid w:val="0053031F"/>
    <w:rsid w:val="0053620E"/>
    <w:rsid w:val="00546566"/>
    <w:rsid w:val="00551293"/>
    <w:rsid w:val="00553784"/>
    <w:rsid w:val="00566F9C"/>
    <w:rsid w:val="00570194"/>
    <w:rsid w:val="005710F2"/>
    <w:rsid w:val="0057534E"/>
    <w:rsid w:val="005A5F70"/>
    <w:rsid w:val="005B1DB5"/>
    <w:rsid w:val="005C1589"/>
    <w:rsid w:val="005D7997"/>
    <w:rsid w:val="005E5376"/>
    <w:rsid w:val="005F295B"/>
    <w:rsid w:val="0061034C"/>
    <w:rsid w:val="006247FC"/>
    <w:rsid w:val="00631E42"/>
    <w:rsid w:val="006335FD"/>
    <w:rsid w:val="00655AFD"/>
    <w:rsid w:val="00657EB9"/>
    <w:rsid w:val="006C70F6"/>
    <w:rsid w:val="006D66C3"/>
    <w:rsid w:val="006E5FA6"/>
    <w:rsid w:val="006F12B9"/>
    <w:rsid w:val="00735497"/>
    <w:rsid w:val="007629DE"/>
    <w:rsid w:val="00780483"/>
    <w:rsid w:val="00782FDB"/>
    <w:rsid w:val="00796C83"/>
    <w:rsid w:val="007A0A95"/>
    <w:rsid w:val="007B3D34"/>
    <w:rsid w:val="007C742E"/>
    <w:rsid w:val="007D3380"/>
    <w:rsid w:val="007F07FA"/>
    <w:rsid w:val="00841ACE"/>
    <w:rsid w:val="0088237B"/>
    <w:rsid w:val="00885C5F"/>
    <w:rsid w:val="008914BD"/>
    <w:rsid w:val="00893444"/>
    <w:rsid w:val="00894C3C"/>
    <w:rsid w:val="008A4451"/>
    <w:rsid w:val="008B35B4"/>
    <w:rsid w:val="008B42F3"/>
    <w:rsid w:val="008B4B19"/>
    <w:rsid w:val="008C3CAC"/>
    <w:rsid w:val="008D6496"/>
    <w:rsid w:val="008D6E28"/>
    <w:rsid w:val="008E1AC8"/>
    <w:rsid w:val="008E6362"/>
    <w:rsid w:val="008E7DBC"/>
    <w:rsid w:val="008F07E2"/>
    <w:rsid w:val="009155C5"/>
    <w:rsid w:val="00917862"/>
    <w:rsid w:val="00923A73"/>
    <w:rsid w:val="00924B4F"/>
    <w:rsid w:val="00926E94"/>
    <w:rsid w:val="00944E83"/>
    <w:rsid w:val="00963434"/>
    <w:rsid w:val="0098476B"/>
    <w:rsid w:val="009926D1"/>
    <w:rsid w:val="009A71EE"/>
    <w:rsid w:val="009B6E55"/>
    <w:rsid w:val="00A0564F"/>
    <w:rsid w:val="00A37D71"/>
    <w:rsid w:val="00A549CE"/>
    <w:rsid w:val="00A65505"/>
    <w:rsid w:val="00A71560"/>
    <w:rsid w:val="00A77D38"/>
    <w:rsid w:val="00A80D67"/>
    <w:rsid w:val="00A81162"/>
    <w:rsid w:val="00A92F9E"/>
    <w:rsid w:val="00AA21C3"/>
    <w:rsid w:val="00AB7F68"/>
    <w:rsid w:val="00AF7720"/>
    <w:rsid w:val="00AF7BDB"/>
    <w:rsid w:val="00AF7CEB"/>
    <w:rsid w:val="00B07B41"/>
    <w:rsid w:val="00B13FB8"/>
    <w:rsid w:val="00B40399"/>
    <w:rsid w:val="00B43C2E"/>
    <w:rsid w:val="00B547E1"/>
    <w:rsid w:val="00B73E27"/>
    <w:rsid w:val="00BD0848"/>
    <w:rsid w:val="00BF2BE5"/>
    <w:rsid w:val="00C02C8E"/>
    <w:rsid w:val="00C16DCB"/>
    <w:rsid w:val="00C20881"/>
    <w:rsid w:val="00C26872"/>
    <w:rsid w:val="00C31345"/>
    <w:rsid w:val="00C318CC"/>
    <w:rsid w:val="00C3531E"/>
    <w:rsid w:val="00C36BCA"/>
    <w:rsid w:val="00C50084"/>
    <w:rsid w:val="00C54BD9"/>
    <w:rsid w:val="00C70E6D"/>
    <w:rsid w:val="00C75AF5"/>
    <w:rsid w:val="00C80ABE"/>
    <w:rsid w:val="00CA10CB"/>
    <w:rsid w:val="00CB3D69"/>
    <w:rsid w:val="00CC3C70"/>
    <w:rsid w:val="00CC6C2F"/>
    <w:rsid w:val="00CD4824"/>
    <w:rsid w:val="00CF11B0"/>
    <w:rsid w:val="00D14B21"/>
    <w:rsid w:val="00D650EA"/>
    <w:rsid w:val="00D663A1"/>
    <w:rsid w:val="00D77666"/>
    <w:rsid w:val="00DA4283"/>
    <w:rsid w:val="00DB22D3"/>
    <w:rsid w:val="00DB3E40"/>
    <w:rsid w:val="00DB7C16"/>
    <w:rsid w:val="00DC245D"/>
    <w:rsid w:val="00DC5907"/>
    <w:rsid w:val="00DD1303"/>
    <w:rsid w:val="00DD7A73"/>
    <w:rsid w:val="00DE4C23"/>
    <w:rsid w:val="00DF2D02"/>
    <w:rsid w:val="00E03DD0"/>
    <w:rsid w:val="00E15311"/>
    <w:rsid w:val="00E26722"/>
    <w:rsid w:val="00E411A7"/>
    <w:rsid w:val="00E53E03"/>
    <w:rsid w:val="00E73261"/>
    <w:rsid w:val="00E80086"/>
    <w:rsid w:val="00EC3201"/>
    <w:rsid w:val="00EC5630"/>
    <w:rsid w:val="00ED26FE"/>
    <w:rsid w:val="00ED5E05"/>
    <w:rsid w:val="00EF18C4"/>
    <w:rsid w:val="00EF3ABA"/>
    <w:rsid w:val="00EF7984"/>
    <w:rsid w:val="00F02000"/>
    <w:rsid w:val="00F21A2B"/>
    <w:rsid w:val="00F25538"/>
    <w:rsid w:val="00F2649B"/>
    <w:rsid w:val="00F34DC0"/>
    <w:rsid w:val="00F579E8"/>
    <w:rsid w:val="00F638EA"/>
    <w:rsid w:val="00F8426F"/>
    <w:rsid w:val="00FA196A"/>
    <w:rsid w:val="00FA4214"/>
    <w:rsid w:val="00FB4F3F"/>
    <w:rsid w:val="00FC0E6F"/>
    <w:rsid w:val="00FF0C0A"/>
    <w:rsid w:val="00FF7A7B"/>
    <w:rsid w:val="016C2D4F"/>
    <w:rsid w:val="01920C65"/>
    <w:rsid w:val="01941EE6"/>
    <w:rsid w:val="01A1741C"/>
    <w:rsid w:val="031A4A2D"/>
    <w:rsid w:val="032C2BF8"/>
    <w:rsid w:val="03ED44A2"/>
    <w:rsid w:val="065B7836"/>
    <w:rsid w:val="06684E7F"/>
    <w:rsid w:val="068B1EC9"/>
    <w:rsid w:val="072145DC"/>
    <w:rsid w:val="09AF084B"/>
    <w:rsid w:val="0A653BCD"/>
    <w:rsid w:val="0B607189"/>
    <w:rsid w:val="0BA91CBB"/>
    <w:rsid w:val="0D9D24E2"/>
    <w:rsid w:val="0EB405F5"/>
    <w:rsid w:val="0F81541F"/>
    <w:rsid w:val="10321608"/>
    <w:rsid w:val="110F2A65"/>
    <w:rsid w:val="113969C6"/>
    <w:rsid w:val="115958E8"/>
    <w:rsid w:val="128C1C6D"/>
    <w:rsid w:val="12BD471D"/>
    <w:rsid w:val="130E0686"/>
    <w:rsid w:val="14D15173"/>
    <w:rsid w:val="15194DF6"/>
    <w:rsid w:val="16426A26"/>
    <w:rsid w:val="16783AEC"/>
    <w:rsid w:val="17E551B2"/>
    <w:rsid w:val="19055FA5"/>
    <w:rsid w:val="196B213C"/>
    <w:rsid w:val="19CA0B03"/>
    <w:rsid w:val="1C476541"/>
    <w:rsid w:val="1C7B5DC8"/>
    <w:rsid w:val="1D5D7559"/>
    <w:rsid w:val="1D660B43"/>
    <w:rsid w:val="1D700199"/>
    <w:rsid w:val="1DDE6D0C"/>
    <w:rsid w:val="1F830B42"/>
    <w:rsid w:val="1FEF4E1F"/>
    <w:rsid w:val="20A7394C"/>
    <w:rsid w:val="20DB53A4"/>
    <w:rsid w:val="214942D3"/>
    <w:rsid w:val="21496856"/>
    <w:rsid w:val="22602004"/>
    <w:rsid w:val="227A25DF"/>
    <w:rsid w:val="23953F30"/>
    <w:rsid w:val="240C4BC4"/>
    <w:rsid w:val="246833F2"/>
    <w:rsid w:val="249B7D44"/>
    <w:rsid w:val="24D34D10"/>
    <w:rsid w:val="277B73D5"/>
    <w:rsid w:val="27967C83"/>
    <w:rsid w:val="28341F69"/>
    <w:rsid w:val="298D7B6C"/>
    <w:rsid w:val="298F31CF"/>
    <w:rsid w:val="29AB141E"/>
    <w:rsid w:val="2A0475B6"/>
    <w:rsid w:val="2A495A74"/>
    <w:rsid w:val="2AB11513"/>
    <w:rsid w:val="2B193698"/>
    <w:rsid w:val="2B6D2C1B"/>
    <w:rsid w:val="2C5F50DB"/>
    <w:rsid w:val="2CC33737"/>
    <w:rsid w:val="2D952505"/>
    <w:rsid w:val="2DA03BFD"/>
    <w:rsid w:val="2DB476A8"/>
    <w:rsid w:val="2DE47F8D"/>
    <w:rsid w:val="2DF17794"/>
    <w:rsid w:val="2EC35456"/>
    <w:rsid w:val="2ED26038"/>
    <w:rsid w:val="2F527179"/>
    <w:rsid w:val="2F8556DE"/>
    <w:rsid w:val="2FC8743B"/>
    <w:rsid w:val="2FEA5603"/>
    <w:rsid w:val="33365257"/>
    <w:rsid w:val="339822E9"/>
    <w:rsid w:val="3715117A"/>
    <w:rsid w:val="37BB2EC4"/>
    <w:rsid w:val="38F22F76"/>
    <w:rsid w:val="3AF94356"/>
    <w:rsid w:val="3BE116C7"/>
    <w:rsid w:val="3C0D2634"/>
    <w:rsid w:val="3C1934F8"/>
    <w:rsid w:val="3D424389"/>
    <w:rsid w:val="3D5822A8"/>
    <w:rsid w:val="40A73F87"/>
    <w:rsid w:val="41D5290B"/>
    <w:rsid w:val="41E73751"/>
    <w:rsid w:val="42FE7220"/>
    <w:rsid w:val="468477C0"/>
    <w:rsid w:val="476A10AC"/>
    <w:rsid w:val="47A6489C"/>
    <w:rsid w:val="47D904E9"/>
    <w:rsid w:val="4AFC64BF"/>
    <w:rsid w:val="4B1355B6"/>
    <w:rsid w:val="4C3D59FC"/>
    <w:rsid w:val="4C795916"/>
    <w:rsid w:val="4CFF4044"/>
    <w:rsid w:val="4D0D1E1B"/>
    <w:rsid w:val="4E107BB9"/>
    <w:rsid w:val="4E7D143C"/>
    <w:rsid w:val="4FF4200C"/>
    <w:rsid w:val="5023004A"/>
    <w:rsid w:val="50377F99"/>
    <w:rsid w:val="50A76ECD"/>
    <w:rsid w:val="512F7CA7"/>
    <w:rsid w:val="51713037"/>
    <w:rsid w:val="52AB07CA"/>
    <w:rsid w:val="53193986"/>
    <w:rsid w:val="55074D3C"/>
    <w:rsid w:val="552D3364"/>
    <w:rsid w:val="558E6D7E"/>
    <w:rsid w:val="56656EE1"/>
    <w:rsid w:val="5697521C"/>
    <w:rsid w:val="56CF4BC8"/>
    <w:rsid w:val="57933884"/>
    <w:rsid w:val="57BB500C"/>
    <w:rsid w:val="58DD12D5"/>
    <w:rsid w:val="58F73A58"/>
    <w:rsid w:val="5A8E158E"/>
    <w:rsid w:val="5AF33F8E"/>
    <w:rsid w:val="5D041203"/>
    <w:rsid w:val="5D706898"/>
    <w:rsid w:val="5E1E672B"/>
    <w:rsid w:val="60F15F42"/>
    <w:rsid w:val="61354266"/>
    <w:rsid w:val="61F173D6"/>
    <w:rsid w:val="62150A51"/>
    <w:rsid w:val="621D72E5"/>
    <w:rsid w:val="623B3981"/>
    <w:rsid w:val="63EE0517"/>
    <w:rsid w:val="65831270"/>
    <w:rsid w:val="66B15149"/>
    <w:rsid w:val="67D57A24"/>
    <w:rsid w:val="68346A8B"/>
    <w:rsid w:val="6890055F"/>
    <w:rsid w:val="69AF6EDD"/>
    <w:rsid w:val="6AFC2146"/>
    <w:rsid w:val="6B704E63"/>
    <w:rsid w:val="6BA667DC"/>
    <w:rsid w:val="6C037322"/>
    <w:rsid w:val="6C702411"/>
    <w:rsid w:val="6C872BE5"/>
    <w:rsid w:val="6C891EC0"/>
    <w:rsid w:val="6CD96208"/>
    <w:rsid w:val="6D1B05CF"/>
    <w:rsid w:val="6D6A50B2"/>
    <w:rsid w:val="6D7D4DE5"/>
    <w:rsid w:val="6D9867E6"/>
    <w:rsid w:val="6E6F5C52"/>
    <w:rsid w:val="6ED547AD"/>
    <w:rsid w:val="6F771D08"/>
    <w:rsid w:val="6FE23626"/>
    <w:rsid w:val="70764B6A"/>
    <w:rsid w:val="710F78FF"/>
    <w:rsid w:val="72A92CDA"/>
    <w:rsid w:val="73441F01"/>
    <w:rsid w:val="73641059"/>
    <w:rsid w:val="746B4978"/>
    <w:rsid w:val="75947170"/>
    <w:rsid w:val="75F7739D"/>
    <w:rsid w:val="768A0525"/>
    <w:rsid w:val="76EC08E6"/>
    <w:rsid w:val="794E5888"/>
    <w:rsid w:val="79985D6D"/>
    <w:rsid w:val="79D26A20"/>
    <w:rsid w:val="7A704DA8"/>
    <w:rsid w:val="7B773D0F"/>
    <w:rsid w:val="7B936F60"/>
    <w:rsid w:val="7BAA1B68"/>
    <w:rsid w:val="7BBE2FEE"/>
    <w:rsid w:val="7C2B23BD"/>
    <w:rsid w:val="7C97124D"/>
    <w:rsid w:val="7D127178"/>
    <w:rsid w:val="7D164333"/>
    <w:rsid w:val="7D380D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483"/>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80483"/>
    <w:rPr>
      <w:sz w:val="18"/>
      <w:szCs w:val="18"/>
    </w:rPr>
  </w:style>
  <w:style w:type="paragraph" w:styleId="a4">
    <w:name w:val="footer"/>
    <w:basedOn w:val="a"/>
    <w:link w:val="Char0"/>
    <w:uiPriority w:val="99"/>
    <w:unhideWhenUsed/>
    <w:qFormat/>
    <w:rsid w:val="00780483"/>
    <w:pPr>
      <w:tabs>
        <w:tab w:val="center" w:pos="4153"/>
        <w:tab w:val="right" w:pos="8306"/>
      </w:tabs>
      <w:snapToGrid w:val="0"/>
    </w:pPr>
    <w:rPr>
      <w:sz w:val="18"/>
      <w:szCs w:val="18"/>
    </w:rPr>
  </w:style>
  <w:style w:type="paragraph" w:styleId="a5">
    <w:name w:val="header"/>
    <w:basedOn w:val="a"/>
    <w:link w:val="Char1"/>
    <w:uiPriority w:val="99"/>
    <w:semiHidden/>
    <w:unhideWhenUsed/>
    <w:qFormat/>
    <w:rsid w:val="00780483"/>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780483"/>
    <w:pPr>
      <w:spacing w:before="100" w:beforeAutospacing="1" w:after="100" w:afterAutospacing="1"/>
    </w:pPr>
  </w:style>
  <w:style w:type="table" w:styleId="a7">
    <w:name w:val="Table Grid"/>
    <w:basedOn w:val="a1"/>
    <w:uiPriority w:val="59"/>
    <w:qFormat/>
    <w:rsid w:val="007804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uiPriority w:val="99"/>
    <w:semiHidden/>
    <w:unhideWhenUsed/>
    <w:qFormat/>
    <w:rsid w:val="00780483"/>
    <w:rPr>
      <w:color w:val="800080"/>
      <w:u w:val="single"/>
    </w:rPr>
  </w:style>
  <w:style w:type="character" w:styleId="a9">
    <w:name w:val="Hyperlink"/>
    <w:basedOn w:val="a0"/>
    <w:uiPriority w:val="99"/>
    <w:semiHidden/>
    <w:unhideWhenUsed/>
    <w:qFormat/>
    <w:rsid w:val="00780483"/>
    <w:rPr>
      <w:color w:val="0000FF"/>
      <w:u w:val="single"/>
    </w:rPr>
  </w:style>
  <w:style w:type="character" w:customStyle="1" w:styleId="Char1">
    <w:name w:val="页眉 Char"/>
    <w:basedOn w:val="a0"/>
    <w:link w:val="a5"/>
    <w:uiPriority w:val="99"/>
    <w:semiHidden/>
    <w:qFormat/>
    <w:locked/>
    <w:rsid w:val="00780483"/>
    <w:rPr>
      <w:rFonts w:ascii="宋体" w:eastAsia="宋体" w:hAnsi="宋体" w:cs="宋体" w:hint="eastAsia"/>
      <w:sz w:val="18"/>
      <w:szCs w:val="18"/>
    </w:rPr>
  </w:style>
  <w:style w:type="character" w:customStyle="1" w:styleId="Char0">
    <w:name w:val="页脚 Char"/>
    <w:basedOn w:val="a0"/>
    <w:link w:val="a4"/>
    <w:uiPriority w:val="99"/>
    <w:qFormat/>
    <w:locked/>
    <w:rsid w:val="00780483"/>
    <w:rPr>
      <w:rFonts w:ascii="宋体" w:eastAsia="宋体" w:hAnsi="宋体" w:cs="宋体" w:hint="eastAsia"/>
      <w:sz w:val="18"/>
      <w:szCs w:val="18"/>
    </w:rPr>
  </w:style>
  <w:style w:type="character" w:customStyle="1" w:styleId="apple-converted-space">
    <w:name w:val="apple-converted-space"/>
    <w:basedOn w:val="a0"/>
    <w:qFormat/>
    <w:rsid w:val="00780483"/>
  </w:style>
  <w:style w:type="paragraph" w:customStyle="1" w:styleId="font5">
    <w:name w:val="font5"/>
    <w:basedOn w:val="a"/>
    <w:qFormat/>
    <w:rsid w:val="00780483"/>
    <w:pPr>
      <w:spacing w:before="100" w:beforeAutospacing="1" w:after="100" w:afterAutospacing="1"/>
    </w:pPr>
    <w:rPr>
      <w:sz w:val="18"/>
      <w:szCs w:val="18"/>
    </w:rPr>
  </w:style>
  <w:style w:type="paragraph" w:customStyle="1" w:styleId="xl63">
    <w:name w:val="xl63"/>
    <w:basedOn w:val="a"/>
    <w:qFormat/>
    <w:rsid w:val="00780483"/>
    <w:pPr>
      <w:spacing w:before="100" w:beforeAutospacing="1" w:after="100" w:afterAutospacing="1"/>
      <w:jc w:val="center"/>
    </w:pPr>
  </w:style>
  <w:style w:type="paragraph" w:customStyle="1" w:styleId="xl64">
    <w:name w:val="xl64"/>
    <w:basedOn w:val="a"/>
    <w:qFormat/>
    <w:rsid w:val="0078048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a"/>
    <w:qFormat/>
    <w:rsid w:val="0078048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仿宋_GB2312" w:eastAsia="仿宋_GB2312"/>
    </w:rPr>
  </w:style>
  <w:style w:type="paragraph" w:customStyle="1" w:styleId="xl66">
    <w:name w:val="xl66"/>
    <w:basedOn w:val="a"/>
    <w:qFormat/>
    <w:rsid w:val="00780483"/>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7">
    <w:name w:val="xl67"/>
    <w:basedOn w:val="a"/>
    <w:qFormat/>
    <w:rsid w:val="00780483"/>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rPr>
  </w:style>
  <w:style w:type="paragraph" w:customStyle="1" w:styleId="xl68">
    <w:name w:val="xl68"/>
    <w:basedOn w:val="a"/>
    <w:qFormat/>
    <w:rsid w:val="0078048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仿宋_GB2312" w:eastAsia="仿宋_GB2312"/>
      <w:color w:val="FF0000"/>
    </w:rPr>
  </w:style>
  <w:style w:type="paragraph" w:customStyle="1" w:styleId="xl69">
    <w:name w:val="xl69"/>
    <w:basedOn w:val="a"/>
    <w:qFormat/>
    <w:rsid w:val="0078048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rPr>
  </w:style>
  <w:style w:type="character" w:customStyle="1" w:styleId="Char">
    <w:name w:val="批注框文本 Char"/>
    <w:basedOn w:val="a0"/>
    <w:link w:val="a3"/>
    <w:uiPriority w:val="99"/>
    <w:semiHidden/>
    <w:qFormat/>
    <w:rsid w:val="00780483"/>
    <w:rPr>
      <w:rFonts w:ascii="宋体" w:hAnsi="宋体" w:cs="宋体"/>
      <w:sz w:val="18"/>
      <w:szCs w:val="18"/>
    </w:rPr>
  </w:style>
  <w:style w:type="character" w:customStyle="1" w:styleId="font31">
    <w:name w:val="font31"/>
    <w:basedOn w:val="a0"/>
    <w:qFormat/>
    <w:rsid w:val="00780483"/>
    <w:rPr>
      <w:rFonts w:ascii="宋体" w:eastAsia="宋体" w:hAnsi="宋体" w:cs="宋体" w:hint="eastAsia"/>
      <w:color w:val="000000"/>
      <w:sz w:val="28"/>
      <w:szCs w:val="28"/>
      <w:u w:val="none"/>
    </w:rPr>
  </w:style>
  <w:style w:type="character" w:customStyle="1" w:styleId="font41">
    <w:name w:val="font41"/>
    <w:basedOn w:val="a0"/>
    <w:qFormat/>
    <w:rsid w:val="00780483"/>
    <w:rPr>
      <w:rFonts w:ascii="宋体" w:eastAsia="宋体" w:hAnsi="宋体" w:cs="宋体" w:hint="eastAsia"/>
      <w:color w:val="FF0000"/>
      <w:sz w:val="28"/>
      <w:szCs w:val="2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3"/>
    <customShpInfo spid="_x0000_s2052"/>
    <customShpInfo spid="_x0000_s205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4D3788-2E33-4D2A-AE65-14E80EAE6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1190</Words>
  <Characters>6789</Characters>
  <Application>Microsoft Office Word</Application>
  <DocSecurity>0</DocSecurity>
  <Lines>56</Lines>
  <Paragraphs>15</Paragraphs>
  <ScaleCrop>false</ScaleCrop>
  <Company>微软中国</Company>
  <LinksUpToDate>false</LinksUpToDate>
  <CharactersWithSpaces>7964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49799</cp:lastModifiedBy>
  <cp:revision>3</cp:revision>
  <cp:lastPrinted>2022-03-21T08:37:00Z</cp:lastPrinted>
  <dcterms:created xsi:type="dcterms:W3CDTF">2022-03-25T06:21:00Z</dcterms:created>
  <dcterms:modified xsi:type="dcterms:W3CDTF">2022-03-25T06:27:00Z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E5DA79E869C649A18E5FDC8217155025</vt:lpwstr>
  </property>
</Properties>
</file>